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53E3F" w14:textId="043C10DD" w:rsidR="009A578E" w:rsidRPr="00EB1DEB" w:rsidRDefault="005E3013" w:rsidP="00166F83">
      <w:pPr>
        <w:spacing w:line="276" w:lineRule="auto"/>
        <w:jc w:val="center"/>
        <w:rPr>
          <w:b/>
          <w:bCs/>
          <w:sz w:val="28"/>
          <w:szCs w:val="28"/>
        </w:rPr>
      </w:pPr>
      <w:r w:rsidRPr="00EB1DEB">
        <w:rPr>
          <w:b/>
          <w:bCs/>
          <w:sz w:val="28"/>
          <w:szCs w:val="28"/>
        </w:rPr>
        <w:t>The E</w:t>
      </w:r>
      <w:r w:rsidR="00311CF5" w:rsidRPr="00EB1DEB">
        <w:rPr>
          <w:b/>
          <w:bCs/>
          <w:sz w:val="28"/>
          <w:szCs w:val="28"/>
        </w:rPr>
        <w:t xml:space="preserve">uropean Union Databases User Group </w:t>
      </w:r>
    </w:p>
    <w:p w14:paraId="25AC858D" w14:textId="162D71A8" w:rsidR="00263102" w:rsidRDefault="00311CF5" w:rsidP="00166F83">
      <w:pPr>
        <w:spacing w:line="276" w:lineRule="auto"/>
        <w:jc w:val="center"/>
      </w:pPr>
      <w:r w:rsidRPr="00311CF5">
        <w:t>Frederico Rocha</w:t>
      </w:r>
      <w:r w:rsidR="00263102">
        <w:t>, Manager</w:t>
      </w:r>
      <w:r w:rsidR="00176BAC">
        <w:t xml:space="preserve">, </w:t>
      </w:r>
      <w:r w:rsidR="00176BAC" w:rsidRPr="00176BAC">
        <w:t>European Documentation Centre, Cardiff University</w:t>
      </w:r>
      <w:r w:rsidR="00EB1DEB">
        <w:t>; Chair of EUDUG</w:t>
      </w:r>
    </w:p>
    <w:p w14:paraId="4ED549A0" w14:textId="410C4B66" w:rsidR="00B76B76" w:rsidRDefault="00311CF5" w:rsidP="00166F83">
      <w:pPr>
        <w:spacing w:line="276" w:lineRule="auto"/>
        <w:jc w:val="center"/>
      </w:pPr>
      <w:r w:rsidRPr="00311CF5">
        <w:t>Hester Swift</w:t>
      </w:r>
      <w:r w:rsidR="00263102">
        <w:t>, Foreign and International Law Librarian, Institute of Advanced Legal Studies Library</w:t>
      </w:r>
      <w:r w:rsidR="00EB1DEB">
        <w:t>; EUDUG Secretary</w:t>
      </w:r>
    </w:p>
    <w:p w14:paraId="0FB567F7" w14:textId="358B3580" w:rsidR="0034274F" w:rsidRPr="00311CF5" w:rsidRDefault="003E7A0E" w:rsidP="003E7A0E">
      <w:pPr>
        <w:spacing w:line="276" w:lineRule="auto"/>
      </w:pPr>
      <w:r>
        <w:t xml:space="preserve">[Published in </w:t>
      </w:r>
      <w:r>
        <w:t>L.I.M. 2023, 23(1), 21-23</w:t>
      </w:r>
      <w:r>
        <w:t>]</w:t>
      </w:r>
    </w:p>
    <w:p w14:paraId="0E766A76" w14:textId="1889A8F7" w:rsidR="00054DB6" w:rsidRPr="008F34CF" w:rsidRDefault="00D11E2D" w:rsidP="00166F83">
      <w:pPr>
        <w:spacing w:line="276" w:lineRule="auto"/>
        <w:rPr>
          <w:b/>
          <w:bCs/>
          <w:sz w:val="28"/>
          <w:szCs w:val="28"/>
        </w:rPr>
      </w:pPr>
      <w:r>
        <w:rPr>
          <w:b/>
          <w:bCs/>
          <w:sz w:val="28"/>
          <w:szCs w:val="28"/>
        </w:rPr>
        <w:t>Introduction: t</w:t>
      </w:r>
      <w:r w:rsidR="00054DB6" w:rsidRPr="008F34CF">
        <w:rPr>
          <w:b/>
          <w:bCs/>
          <w:sz w:val="28"/>
          <w:szCs w:val="28"/>
        </w:rPr>
        <w:t>he E</w:t>
      </w:r>
      <w:r w:rsidR="00786D86">
        <w:rPr>
          <w:b/>
          <w:bCs/>
          <w:sz w:val="28"/>
          <w:szCs w:val="28"/>
        </w:rPr>
        <w:t>U</w:t>
      </w:r>
      <w:r w:rsidR="00054DB6" w:rsidRPr="008F34CF">
        <w:rPr>
          <w:b/>
          <w:bCs/>
          <w:sz w:val="28"/>
          <w:szCs w:val="28"/>
        </w:rPr>
        <w:t xml:space="preserve"> Databases User Group</w:t>
      </w:r>
    </w:p>
    <w:p w14:paraId="2589131D" w14:textId="55872828" w:rsidR="00FF395D" w:rsidRDefault="00F11702" w:rsidP="00166F83">
      <w:pPr>
        <w:spacing w:line="276" w:lineRule="auto"/>
        <w:jc w:val="both"/>
      </w:pPr>
      <w:r>
        <w:t xml:space="preserve">The European Union Databases User Group (EUDUG) </w:t>
      </w:r>
      <w:r w:rsidR="008616D5">
        <w:t>is a special interest gro</w:t>
      </w:r>
      <w:r w:rsidR="00F16C65">
        <w:t xml:space="preserve">up for information professionals and others. </w:t>
      </w:r>
      <w:r w:rsidR="000F53FD">
        <w:t>It</w:t>
      </w:r>
      <w:r w:rsidR="000B2F39">
        <w:t xml:space="preserve">s history goes back </w:t>
      </w:r>
      <w:r w:rsidR="000F53FD">
        <w:t>more than thirty years: t</w:t>
      </w:r>
      <w:r w:rsidR="00DF062E">
        <w:t xml:space="preserve">he </w:t>
      </w:r>
      <w:r w:rsidR="002A2713">
        <w:t xml:space="preserve">current name </w:t>
      </w:r>
      <w:r w:rsidR="00B96223">
        <w:t xml:space="preserve">dates from </w:t>
      </w:r>
      <w:r w:rsidR="002A2713">
        <w:t xml:space="preserve">1999, but </w:t>
      </w:r>
      <w:r w:rsidR="00DF062E">
        <w:t>it</w:t>
      </w:r>
      <w:r w:rsidR="00E8579E">
        <w:t xml:space="preserve"> has had</w:t>
      </w:r>
      <w:r w:rsidR="00EB5AB7">
        <w:t xml:space="preserve"> </w:t>
      </w:r>
      <w:r w:rsidR="008E2041">
        <w:t xml:space="preserve">previous incarnations as </w:t>
      </w:r>
      <w:r w:rsidR="003E216A">
        <w:t xml:space="preserve">the </w:t>
      </w:r>
      <w:r w:rsidR="008E2041">
        <w:t>UK Eurobases User Group</w:t>
      </w:r>
      <w:r w:rsidR="00607D0A">
        <w:t xml:space="preserve">, which was </w:t>
      </w:r>
      <w:r w:rsidR="00E8579E">
        <w:t>formal</w:t>
      </w:r>
      <w:r w:rsidR="006C2EBC">
        <w:t>ised</w:t>
      </w:r>
      <w:r w:rsidR="00E8579E">
        <w:t xml:space="preserve"> in 1992</w:t>
      </w:r>
      <w:r w:rsidR="00607D0A">
        <w:t>,</w:t>
      </w:r>
      <w:r w:rsidR="008E2041">
        <w:t xml:space="preserve"> and </w:t>
      </w:r>
      <w:r w:rsidR="00607D0A">
        <w:t xml:space="preserve">the </w:t>
      </w:r>
      <w:r w:rsidR="003E216A">
        <w:t>C</w:t>
      </w:r>
      <w:r w:rsidR="00762EED">
        <w:t>ELEX</w:t>
      </w:r>
      <w:r w:rsidR="003E216A">
        <w:t xml:space="preserve"> User Group</w:t>
      </w:r>
      <w:r w:rsidR="00607D0A">
        <w:t xml:space="preserve">, </w:t>
      </w:r>
      <w:r w:rsidR="00E8579E">
        <w:t>founded in 1988</w:t>
      </w:r>
      <w:r w:rsidR="002A2713">
        <w:t>.</w:t>
      </w:r>
      <w:r w:rsidR="005E13DC">
        <w:rPr>
          <w:rStyle w:val="FootnoteReference"/>
        </w:rPr>
        <w:footnoteReference w:id="1"/>
      </w:r>
    </w:p>
    <w:p w14:paraId="37FCEE4B" w14:textId="6A6FE586" w:rsidR="00840147" w:rsidRDefault="00F11702" w:rsidP="00166F83">
      <w:pPr>
        <w:spacing w:line="276" w:lineRule="auto"/>
        <w:jc w:val="both"/>
      </w:pPr>
      <w:r>
        <w:t>EUDUG’s primary aim is to provide a support network to users of online information sources cover</w:t>
      </w:r>
      <w:r w:rsidR="00286083">
        <w:t>ing</w:t>
      </w:r>
      <w:r w:rsidR="007C776C">
        <w:t xml:space="preserve"> EU matters</w:t>
      </w:r>
      <w:r>
        <w:t xml:space="preserve">. Its members </w:t>
      </w:r>
      <w:r w:rsidR="0081135F">
        <w:t>come</w:t>
      </w:r>
      <w:r w:rsidR="00B7225F">
        <w:t xml:space="preserve"> from sectors including </w:t>
      </w:r>
      <w:r w:rsidR="005D28C4">
        <w:t>law</w:t>
      </w:r>
      <w:r w:rsidR="00B7225F">
        <w:t xml:space="preserve">, </w:t>
      </w:r>
      <w:r w:rsidR="005D28C4">
        <w:t>academia</w:t>
      </w:r>
      <w:r w:rsidR="005F2D44">
        <w:t>, government</w:t>
      </w:r>
      <w:r w:rsidR="00B7225F">
        <w:t xml:space="preserve"> and publishing</w:t>
      </w:r>
      <w:r>
        <w:t>. The group organises meetings</w:t>
      </w:r>
      <w:r w:rsidR="001C343D">
        <w:t xml:space="preserve"> twice a year</w:t>
      </w:r>
      <w:r w:rsidR="00EB5865">
        <w:t>,</w:t>
      </w:r>
      <w:r w:rsidR="00FC262F">
        <w:t xml:space="preserve"> at which speakers from the EU, </w:t>
      </w:r>
      <w:r w:rsidR="00840147">
        <w:t xml:space="preserve">commercial publishing, government and elsewhere </w:t>
      </w:r>
      <w:r w:rsidR="008D7C3D">
        <w:t xml:space="preserve">demonstrate </w:t>
      </w:r>
      <w:r w:rsidR="00832A47">
        <w:t xml:space="preserve">e-resources and </w:t>
      </w:r>
      <w:r w:rsidR="00FC262F">
        <w:t xml:space="preserve">answer </w:t>
      </w:r>
      <w:r w:rsidR="00832A47">
        <w:t>questions</w:t>
      </w:r>
      <w:r>
        <w:t>.</w:t>
      </w:r>
    </w:p>
    <w:p w14:paraId="27242FF6" w14:textId="1C83C3D0" w:rsidR="00F56854" w:rsidRDefault="00D11E2D" w:rsidP="00166F83">
      <w:pPr>
        <w:spacing w:line="276" w:lineRule="auto"/>
        <w:rPr>
          <w:rFonts w:cstheme="minorHAnsi"/>
          <w:b/>
          <w:bCs/>
          <w:sz w:val="28"/>
          <w:szCs w:val="28"/>
        </w:rPr>
      </w:pPr>
      <w:r>
        <w:rPr>
          <w:rFonts w:cstheme="minorHAnsi"/>
          <w:b/>
          <w:bCs/>
          <w:sz w:val="28"/>
          <w:szCs w:val="28"/>
        </w:rPr>
        <w:t xml:space="preserve">EUDUG </w:t>
      </w:r>
      <w:r w:rsidR="00B25C05">
        <w:rPr>
          <w:rFonts w:cstheme="minorHAnsi"/>
          <w:b/>
          <w:bCs/>
          <w:sz w:val="28"/>
          <w:szCs w:val="28"/>
        </w:rPr>
        <w:t>m</w:t>
      </w:r>
      <w:r>
        <w:rPr>
          <w:rFonts w:cstheme="minorHAnsi"/>
          <w:b/>
          <w:bCs/>
          <w:sz w:val="28"/>
          <w:szCs w:val="28"/>
        </w:rPr>
        <w:t xml:space="preserve">eetings as a reflection of </w:t>
      </w:r>
      <w:r w:rsidR="00161784">
        <w:rPr>
          <w:rFonts w:cstheme="minorHAnsi"/>
          <w:b/>
          <w:bCs/>
          <w:sz w:val="28"/>
          <w:szCs w:val="28"/>
        </w:rPr>
        <w:t>recent history</w:t>
      </w:r>
    </w:p>
    <w:p w14:paraId="6C894C40" w14:textId="69753033" w:rsidR="00D11E2D" w:rsidRDefault="00024D8A" w:rsidP="00166F83">
      <w:pPr>
        <w:spacing w:line="276" w:lineRule="auto"/>
        <w:jc w:val="both"/>
        <w:rPr>
          <w:rFonts w:cstheme="minorHAnsi"/>
        </w:rPr>
      </w:pPr>
      <w:r>
        <w:rPr>
          <w:rFonts w:cstheme="minorHAnsi"/>
        </w:rPr>
        <w:t xml:space="preserve">The events organised by EUDUG over the years </w:t>
      </w:r>
      <w:r w:rsidR="00B25C05">
        <w:rPr>
          <w:rFonts w:cstheme="minorHAnsi"/>
        </w:rPr>
        <w:t xml:space="preserve">have </w:t>
      </w:r>
      <w:r>
        <w:rPr>
          <w:rFonts w:cstheme="minorHAnsi"/>
        </w:rPr>
        <w:t xml:space="preserve">largely reflected the </w:t>
      </w:r>
      <w:r w:rsidR="00992150">
        <w:rPr>
          <w:rFonts w:cstheme="minorHAnsi"/>
        </w:rPr>
        <w:t xml:space="preserve">recent history of the European Union and </w:t>
      </w:r>
      <w:r w:rsidR="00530F05">
        <w:rPr>
          <w:rFonts w:cstheme="minorHAnsi"/>
        </w:rPr>
        <w:t xml:space="preserve">the UK’s involvement in EU affairs. </w:t>
      </w:r>
      <w:r w:rsidR="002A4C86">
        <w:rPr>
          <w:rFonts w:cstheme="minorHAnsi"/>
        </w:rPr>
        <w:t xml:space="preserve">They have </w:t>
      </w:r>
      <w:r w:rsidR="00530F05">
        <w:rPr>
          <w:rFonts w:cstheme="minorHAnsi"/>
        </w:rPr>
        <w:t xml:space="preserve">also highlighted the liberalisation of the information market and the </w:t>
      </w:r>
      <w:r w:rsidR="0072567C">
        <w:rPr>
          <w:rFonts w:cstheme="minorHAnsi"/>
        </w:rPr>
        <w:t>increasing availability of information resources.</w:t>
      </w:r>
    </w:p>
    <w:p w14:paraId="358F4886" w14:textId="7C3DF2A1" w:rsidR="0072567C" w:rsidRDefault="00A1553E" w:rsidP="00166F83">
      <w:pPr>
        <w:spacing w:line="276" w:lineRule="auto"/>
        <w:jc w:val="both"/>
        <w:rPr>
          <w:rFonts w:cstheme="minorHAnsi"/>
        </w:rPr>
      </w:pPr>
      <w:r>
        <w:rPr>
          <w:rFonts w:cstheme="minorHAnsi"/>
        </w:rPr>
        <w:t xml:space="preserve">In 2001, the Treasury’s John Cooke, Business Adviser at the Euro Preparations Unit, gave a talk addressing </w:t>
      </w:r>
      <w:r w:rsidR="00437498">
        <w:rPr>
          <w:rFonts w:cstheme="minorHAnsi"/>
        </w:rPr>
        <w:t>the preparations carried out by the UK as a country remaining outside the Eurozone</w:t>
      </w:r>
      <w:r w:rsidR="00333771">
        <w:rPr>
          <w:rFonts w:cstheme="minorHAnsi"/>
        </w:rPr>
        <w:t>. The following year, Carolin</w:t>
      </w:r>
      <w:r w:rsidR="00192EC4">
        <w:rPr>
          <w:rFonts w:cstheme="minorHAnsi"/>
        </w:rPr>
        <w:t>e</w:t>
      </w:r>
      <w:r w:rsidR="00333771">
        <w:rPr>
          <w:rFonts w:cstheme="minorHAnsi"/>
        </w:rPr>
        <w:t xml:space="preserve"> Rees from the Foreign and Commonwealth Office spoke on the subject of EU enlargement, looking ahead </w:t>
      </w:r>
      <w:r w:rsidR="00352DE7">
        <w:rPr>
          <w:rFonts w:cstheme="minorHAnsi"/>
        </w:rPr>
        <w:t xml:space="preserve">to the expansion to twenty-five </w:t>
      </w:r>
      <w:r w:rsidR="002A4C86">
        <w:rPr>
          <w:rFonts w:cstheme="minorHAnsi"/>
        </w:rPr>
        <w:t>m</w:t>
      </w:r>
      <w:r w:rsidR="00352DE7">
        <w:rPr>
          <w:rFonts w:cstheme="minorHAnsi"/>
        </w:rPr>
        <w:t>ember</w:t>
      </w:r>
      <w:r w:rsidR="002A4C86">
        <w:rPr>
          <w:rFonts w:cstheme="minorHAnsi"/>
        </w:rPr>
        <w:t xml:space="preserve"> s</w:t>
      </w:r>
      <w:r w:rsidR="00352DE7">
        <w:rPr>
          <w:rFonts w:cstheme="minorHAnsi"/>
        </w:rPr>
        <w:t>tates in 2004.</w:t>
      </w:r>
    </w:p>
    <w:p w14:paraId="212A714A" w14:textId="61732568" w:rsidR="00CA18EE" w:rsidRDefault="00352C6F" w:rsidP="00166F83">
      <w:pPr>
        <w:spacing w:line="276" w:lineRule="auto"/>
        <w:jc w:val="both"/>
        <w:rPr>
          <w:rFonts w:cstheme="minorHAnsi"/>
        </w:rPr>
      </w:pPr>
      <w:r>
        <w:rPr>
          <w:rFonts w:cstheme="minorHAnsi"/>
        </w:rPr>
        <w:t>Unsurprisingly, B</w:t>
      </w:r>
      <w:r w:rsidR="00DE4227">
        <w:rPr>
          <w:rFonts w:cstheme="minorHAnsi"/>
        </w:rPr>
        <w:t xml:space="preserve">rexit became a </w:t>
      </w:r>
      <w:r>
        <w:rPr>
          <w:rFonts w:cstheme="minorHAnsi"/>
        </w:rPr>
        <w:t>very salient matter for EUDUG leading up to and in the aftermath</w:t>
      </w:r>
      <w:r w:rsidR="00D43868">
        <w:rPr>
          <w:rFonts w:cstheme="minorHAnsi"/>
        </w:rPr>
        <w:t xml:space="preserve"> of the referendum. In May 2016, Ian Thomson from Cardiff University’s European Documentation Centre </w:t>
      </w:r>
      <w:r w:rsidR="00DB1704">
        <w:rPr>
          <w:rFonts w:cstheme="minorHAnsi"/>
        </w:rPr>
        <w:t xml:space="preserve">delivered a presentation called </w:t>
      </w:r>
      <w:r w:rsidR="00DB1704">
        <w:rPr>
          <w:rFonts w:cstheme="minorHAnsi"/>
          <w:i/>
          <w:iCs/>
        </w:rPr>
        <w:t>Hard Facts and Strong Opinion: A Neutral Guide to Information Sources on Brexit and the EU Referendum</w:t>
      </w:r>
      <w:r w:rsidR="00DB1704">
        <w:rPr>
          <w:rFonts w:cstheme="minorHAnsi"/>
        </w:rPr>
        <w:t>.</w:t>
      </w:r>
      <w:r w:rsidR="009B4540">
        <w:rPr>
          <w:rStyle w:val="FootnoteReference"/>
          <w:rFonts w:cstheme="minorHAnsi"/>
        </w:rPr>
        <w:footnoteReference w:id="2"/>
      </w:r>
      <w:r w:rsidR="008635F4">
        <w:rPr>
          <w:rFonts w:cstheme="minorHAnsi"/>
        </w:rPr>
        <w:t xml:space="preserve"> Later – as discussions on the future relationship of the UK with the European continent </w:t>
      </w:r>
      <w:r w:rsidR="004C574F">
        <w:rPr>
          <w:rFonts w:cstheme="minorHAnsi"/>
        </w:rPr>
        <w:t xml:space="preserve">unfolded – </w:t>
      </w:r>
      <w:r w:rsidR="00D230DA">
        <w:rPr>
          <w:rFonts w:cstheme="minorHAnsi"/>
        </w:rPr>
        <w:t>EUDUG invited Laurie Anne Agnese of the EFTA Secretariat to speak.</w:t>
      </w:r>
    </w:p>
    <w:p w14:paraId="1D04DB13" w14:textId="4FD7CDC0" w:rsidR="006659BA" w:rsidRDefault="00D230DA" w:rsidP="00166F83">
      <w:pPr>
        <w:spacing w:line="276" w:lineRule="auto"/>
        <w:jc w:val="both"/>
        <w:rPr>
          <w:rFonts w:cstheme="minorHAnsi"/>
        </w:rPr>
      </w:pPr>
      <w:r>
        <w:rPr>
          <w:rFonts w:cstheme="minorHAnsi"/>
        </w:rPr>
        <w:t xml:space="preserve">The UK </w:t>
      </w:r>
      <w:r w:rsidR="00880256">
        <w:rPr>
          <w:rFonts w:cstheme="minorHAnsi"/>
        </w:rPr>
        <w:t>was a founding member of the European Free Trade Association (EFTA)</w:t>
      </w:r>
      <w:r w:rsidR="002A4C86">
        <w:rPr>
          <w:rFonts w:cstheme="minorHAnsi"/>
        </w:rPr>
        <w:t xml:space="preserve">, </w:t>
      </w:r>
      <w:r w:rsidR="00880256">
        <w:rPr>
          <w:rFonts w:cstheme="minorHAnsi"/>
        </w:rPr>
        <w:t xml:space="preserve">but left when it joined the EEC. </w:t>
      </w:r>
      <w:r w:rsidR="000B4B30">
        <w:rPr>
          <w:rFonts w:cstheme="minorHAnsi"/>
        </w:rPr>
        <w:t>Ms Agnese introduced EUDUG members to EFTA and the EEA</w:t>
      </w:r>
      <w:r w:rsidR="0059165A">
        <w:rPr>
          <w:rFonts w:cstheme="minorHAnsi"/>
        </w:rPr>
        <w:t xml:space="preserve"> and demonstrated resources including </w:t>
      </w:r>
      <w:r w:rsidR="0059165A" w:rsidRPr="007A6183">
        <w:rPr>
          <w:rFonts w:cstheme="minorHAnsi"/>
          <w:i/>
          <w:iCs/>
        </w:rPr>
        <w:t>EEA-LEX</w:t>
      </w:r>
      <w:r w:rsidR="0059165A">
        <w:rPr>
          <w:rFonts w:cstheme="minorHAnsi"/>
        </w:rPr>
        <w:t xml:space="preserve"> and the </w:t>
      </w:r>
      <w:r w:rsidR="0059165A" w:rsidRPr="007A6183">
        <w:rPr>
          <w:rFonts w:cstheme="minorHAnsi"/>
          <w:i/>
          <w:iCs/>
        </w:rPr>
        <w:t>EFTA Surveillance Authority Implementation Status Database</w:t>
      </w:r>
      <w:r w:rsidR="0059165A">
        <w:rPr>
          <w:rFonts w:cstheme="minorHAnsi"/>
        </w:rPr>
        <w:t>.</w:t>
      </w:r>
      <w:r w:rsidR="00DE020D">
        <w:rPr>
          <w:rStyle w:val="FootnoteReference"/>
          <w:rFonts w:cstheme="minorHAnsi"/>
        </w:rPr>
        <w:footnoteReference w:id="3"/>
      </w:r>
      <w:r w:rsidR="0059165A">
        <w:rPr>
          <w:rFonts w:cstheme="minorHAnsi"/>
        </w:rPr>
        <w:t xml:space="preserve"> </w:t>
      </w:r>
      <w:r w:rsidR="000B34DE">
        <w:rPr>
          <w:rFonts w:cstheme="minorHAnsi"/>
        </w:rPr>
        <w:t xml:space="preserve">EEA-LEX can </w:t>
      </w:r>
      <w:r w:rsidR="000B34DE">
        <w:rPr>
          <w:rFonts w:cstheme="minorHAnsi"/>
        </w:rPr>
        <w:lastRenderedPageBreak/>
        <w:t>be used to check whether an EU instrument is in force in the European Economic Area (EEA)</w:t>
      </w:r>
      <w:r w:rsidR="004871E2">
        <w:rPr>
          <w:rFonts w:cstheme="minorHAnsi"/>
        </w:rPr>
        <w:t>. It also has information about proposed EU legislation that might be incorporated into the EEA Agreement, as well as legisl</w:t>
      </w:r>
      <w:r w:rsidR="007A6183">
        <w:rPr>
          <w:rFonts w:cstheme="minorHAnsi"/>
        </w:rPr>
        <w:t>ation that is no longer in force.</w:t>
      </w:r>
      <w:r w:rsidR="006659BA">
        <w:rPr>
          <w:rFonts w:cstheme="minorHAnsi"/>
        </w:rPr>
        <w:t xml:space="preserve"> </w:t>
      </w:r>
      <w:r w:rsidR="006659BA" w:rsidRPr="00DE4227">
        <w:rPr>
          <w:rFonts w:cstheme="minorHAnsi"/>
        </w:rPr>
        <w:t xml:space="preserve">The </w:t>
      </w:r>
      <w:r w:rsidR="006659BA" w:rsidRPr="006659BA">
        <w:rPr>
          <w:rFonts w:cstheme="minorHAnsi"/>
          <w:i/>
          <w:iCs/>
        </w:rPr>
        <w:t>Surveillance Authority Database</w:t>
      </w:r>
      <w:r w:rsidR="006659BA">
        <w:rPr>
          <w:rFonts w:cstheme="minorHAnsi"/>
        </w:rPr>
        <w:t xml:space="preserve"> </w:t>
      </w:r>
      <w:r w:rsidR="006659BA" w:rsidRPr="00DE4227">
        <w:rPr>
          <w:rFonts w:cstheme="minorHAnsi"/>
        </w:rPr>
        <w:t>covers transposition of EU directives into national law by EEA-EFTA states.</w:t>
      </w:r>
    </w:p>
    <w:p w14:paraId="160FA683" w14:textId="32449780" w:rsidR="00991446" w:rsidRDefault="00130CDB" w:rsidP="00166F83">
      <w:pPr>
        <w:spacing w:line="276" w:lineRule="auto"/>
        <w:jc w:val="both"/>
        <w:rPr>
          <w:rFonts w:cstheme="minorHAnsi"/>
        </w:rPr>
      </w:pPr>
      <w:r>
        <w:rPr>
          <w:rFonts w:cstheme="minorHAnsi"/>
        </w:rPr>
        <w:t xml:space="preserve">EUDUG’s meetings in 2017 and 2018 were largely dedicated to Brexit-related information. Speakers from the House of Commons covered the activities of the </w:t>
      </w:r>
      <w:r w:rsidR="006F00BD">
        <w:rPr>
          <w:rFonts w:cstheme="minorHAnsi"/>
        </w:rPr>
        <w:t>Committee on Exiting the European Union and relevant material made available on the UK Parliament’s website.</w:t>
      </w:r>
      <w:r w:rsidR="00C478E5">
        <w:rPr>
          <w:rFonts w:cstheme="minorHAnsi"/>
        </w:rPr>
        <w:t xml:space="preserve"> </w:t>
      </w:r>
      <w:r w:rsidR="00CA02D5">
        <w:rPr>
          <w:rFonts w:cstheme="minorHAnsi"/>
        </w:rPr>
        <w:t xml:space="preserve">Stephen Adams from </w:t>
      </w:r>
      <w:r w:rsidR="00CA02D5" w:rsidRPr="00CA02D5">
        <w:rPr>
          <w:rFonts w:cstheme="minorHAnsi"/>
        </w:rPr>
        <w:t>Magister</w:t>
      </w:r>
      <w:r w:rsidR="00CA02D5">
        <w:rPr>
          <w:rFonts w:cstheme="minorHAnsi"/>
        </w:rPr>
        <w:t xml:space="preserve">, a consultancy service, gave a talk relating to European </w:t>
      </w:r>
      <w:r w:rsidR="002E1ADF">
        <w:rPr>
          <w:rFonts w:cstheme="minorHAnsi"/>
        </w:rPr>
        <w:t>p</w:t>
      </w:r>
      <w:r w:rsidR="00CA02D5">
        <w:rPr>
          <w:rFonts w:cstheme="minorHAnsi"/>
        </w:rPr>
        <w:t xml:space="preserve">atent information and the effects of Brexit on intellectual property. </w:t>
      </w:r>
      <w:r w:rsidR="00991446">
        <w:rPr>
          <w:rFonts w:cstheme="minorHAnsi"/>
        </w:rPr>
        <w:t>Matt Bell and Clar</w:t>
      </w:r>
      <w:r w:rsidR="002E1ADF">
        <w:rPr>
          <w:rFonts w:cstheme="minorHAnsi"/>
        </w:rPr>
        <w:t>e</w:t>
      </w:r>
      <w:r w:rsidR="00991446">
        <w:rPr>
          <w:rFonts w:cstheme="minorHAnsi"/>
        </w:rPr>
        <w:t xml:space="preserve"> Allison of the National Archives spoke about the </w:t>
      </w:r>
      <w:r w:rsidR="00991446">
        <w:rPr>
          <w:rFonts w:cstheme="minorHAnsi"/>
          <w:i/>
          <w:iCs/>
        </w:rPr>
        <w:t>Brexit Legislation Archive</w:t>
      </w:r>
      <w:r w:rsidR="00F57347">
        <w:rPr>
          <w:rFonts w:cstheme="minorHAnsi"/>
        </w:rPr>
        <w:t>.</w:t>
      </w:r>
    </w:p>
    <w:p w14:paraId="40E54180" w14:textId="5AD61944" w:rsidR="00F57347" w:rsidRDefault="00F57347" w:rsidP="00166F83">
      <w:pPr>
        <w:spacing w:line="276" w:lineRule="auto"/>
        <w:jc w:val="both"/>
        <w:rPr>
          <w:rFonts w:cstheme="minorHAnsi"/>
        </w:rPr>
      </w:pPr>
      <w:r>
        <w:rPr>
          <w:rFonts w:cstheme="minorHAnsi"/>
        </w:rPr>
        <w:t xml:space="preserve">Presentations from commercial databases such as Westlaw, Practical Law EU and MLex also focused on the extensive </w:t>
      </w:r>
      <w:r w:rsidR="00EF750D">
        <w:rPr>
          <w:rFonts w:cstheme="minorHAnsi"/>
        </w:rPr>
        <w:t>Brexit collections and tools that Thomson Reuters and LexisNexis have developed. Lexis PSL’s EU module</w:t>
      </w:r>
      <w:r w:rsidR="00506182">
        <w:rPr>
          <w:rFonts w:cstheme="minorHAnsi"/>
        </w:rPr>
        <w:t xml:space="preserve"> was demonstrated to EUDUG members in 2021</w:t>
      </w:r>
      <w:r w:rsidR="004801B6">
        <w:rPr>
          <w:rFonts w:cstheme="minorHAnsi"/>
        </w:rPr>
        <w:t>;</w:t>
      </w:r>
      <w:r w:rsidR="004E07C4">
        <w:rPr>
          <w:rFonts w:cstheme="minorHAnsi"/>
        </w:rPr>
        <w:t xml:space="preserve"> it focuses on EU law as it continues to apply in the E</w:t>
      </w:r>
      <w:r w:rsidR="004801B6">
        <w:rPr>
          <w:rFonts w:cstheme="minorHAnsi"/>
        </w:rPr>
        <w:t>uropean Union</w:t>
      </w:r>
      <w:r w:rsidR="004E07C4">
        <w:rPr>
          <w:rFonts w:cstheme="minorHAnsi"/>
        </w:rPr>
        <w:t>.</w:t>
      </w:r>
    </w:p>
    <w:p w14:paraId="2BB09A0A" w14:textId="47C67EFC" w:rsidR="004E07C4" w:rsidRPr="00991446" w:rsidRDefault="004E07C4" w:rsidP="00166F83">
      <w:pPr>
        <w:spacing w:line="276" w:lineRule="auto"/>
        <w:jc w:val="both"/>
        <w:rPr>
          <w:rFonts w:cstheme="minorHAnsi"/>
        </w:rPr>
      </w:pPr>
      <w:r>
        <w:rPr>
          <w:rFonts w:cstheme="minorHAnsi"/>
        </w:rPr>
        <w:t xml:space="preserve">The future of the European Documentation Centres (EDCs) </w:t>
      </w:r>
      <w:r w:rsidR="00AE4226">
        <w:rPr>
          <w:rFonts w:cstheme="minorHAnsi"/>
        </w:rPr>
        <w:t xml:space="preserve">following the UK’s withdrawal of the European Union was the focus of a talk by Frederico Rocha, manager of the Cardiff EDC, in 2019. </w:t>
      </w:r>
      <w:r w:rsidR="00E80220">
        <w:rPr>
          <w:rFonts w:cstheme="minorHAnsi"/>
        </w:rPr>
        <w:t>As the EDCs are not funded by the EU, their future largely depend</w:t>
      </w:r>
      <w:r w:rsidR="00BD341C">
        <w:rPr>
          <w:rFonts w:cstheme="minorHAnsi"/>
        </w:rPr>
        <w:t>s</w:t>
      </w:r>
      <w:r w:rsidR="00E80220">
        <w:rPr>
          <w:rFonts w:cstheme="minorHAnsi"/>
        </w:rPr>
        <w:t xml:space="preserve"> on their host institution’s willingness to continue supporting the provision of European information expertise.</w:t>
      </w:r>
      <w:r w:rsidR="00C12D75">
        <w:rPr>
          <w:rFonts w:cstheme="minorHAnsi"/>
        </w:rPr>
        <w:t xml:space="preserve"> Future plans for the Cardiff EDC</w:t>
      </w:r>
      <w:r w:rsidR="00BD341C">
        <w:rPr>
          <w:rFonts w:cstheme="minorHAnsi"/>
        </w:rPr>
        <w:t xml:space="preserve"> </w:t>
      </w:r>
      <w:r w:rsidR="00C12D75">
        <w:rPr>
          <w:rFonts w:cstheme="minorHAnsi"/>
        </w:rPr>
        <w:t>were unveiled and its own information service, European Sources Online (ESO)</w:t>
      </w:r>
      <w:r w:rsidR="00BD341C">
        <w:rPr>
          <w:rFonts w:cstheme="minorHAnsi"/>
        </w:rPr>
        <w:t>,</w:t>
      </w:r>
      <w:r w:rsidR="00072194">
        <w:rPr>
          <w:rStyle w:val="FootnoteReference"/>
          <w:rFonts w:cstheme="minorHAnsi"/>
        </w:rPr>
        <w:footnoteReference w:id="4"/>
      </w:r>
      <w:r w:rsidR="00967241">
        <w:rPr>
          <w:rFonts w:cstheme="minorHAnsi"/>
        </w:rPr>
        <w:t xml:space="preserve"> </w:t>
      </w:r>
      <w:r w:rsidR="00C12D75">
        <w:rPr>
          <w:rFonts w:cstheme="minorHAnsi"/>
        </w:rPr>
        <w:t>was also demonstrated.</w:t>
      </w:r>
      <w:r w:rsidR="001B5468">
        <w:rPr>
          <w:rFonts w:cstheme="minorHAnsi"/>
        </w:rPr>
        <w:t xml:space="preserve"> ESO is not limited to EU matters, but covers European information generally.</w:t>
      </w:r>
    </w:p>
    <w:p w14:paraId="3BCBBE93" w14:textId="7434273D" w:rsidR="0065521B" w:rsidRDefault="000F4138" w:rsidP="00166F83">
      <w:pPr>
        <w:spacing w:line="276" w:lineRule="auto"/>
        <w:jc w:val="both"/>
        <w:rPr>
          <w:rFonts w:cstheme="minorHAnsi"/>
        </w:rPr>
      </w:pPr>
      <w:r>
        <w:rPr>
          <w:rFonts w:cstheme="minorHAnsi"/>
        </w:rPr>
        <w:t xml:space="preserve">More widely, representatives of EU institutions </w:t>
      </w:r>
      <w:r w:rsidR="00357924">
        <w:rPr>
          <w:rFonts w:cstheme="minorHAnsi"/>
        </w:rPr>
        <w:t>have been</w:t>
      </w:r>
      <w:r>
        <w:rPr>
          <w:rFonts w:cstheme="minorHAnsi"/>
        </w:rPr>
        <w:t xml:space="preserve"> frequent speakers </w:t>
      </w:r>
      <w:r w:rsidR="00CD378D">
        <w:rPr>
          <w:rFonts w:cstheme="minorHAnsi"/>
        </w:rPr>
        <w:t>throughout EUDUG’s history</w:t>
      </w:r>
      <w:r>
        <w:rPr>
          <w:rFonts w:cstheme="minorHAnsi"/>
        </w:rPr>
        <w:t>.</w:t>
      </w:r>
      <w:r w:rsidR="0065521B">
        <w:rPr>
          <w:rFonts w:cstheme="minorHAnsi"/>
        </w:rPr>
        <w:t xml:space="preserve"> </w:t>
      </w:r>
      <w:r w:rsidR="008A3C92">
        <w:rPr>
          <w:rFonts w:cstheme="minorHAnsi"/>
        </w:rPr>
        <w:t>For example,</w:t>
      </w:r>
      <w:r w:rsidR="00CD378D">
        <w:rPr>
          <w:rFonts w:cstheme="minorHAnsi"/>
        </w:rPr>
        <w:t xml:space="preserve"> </w:t>
      </w:r>
      <w:r w:rsidR="008A3C92">
        <w:rPr>
          <w:rFonts w:cstheme="minorHAnsi"/>
        </w:rPr>
        <w:t>s</w:t>
      </w:r>
      <w:r w:rsidR="0065521B">
        <w:rPr>
          <w:rFonts w:cstheme="minorHAnsi"/>
        </w:rPr>
        <w:t xml:space="preserve">peakers from the European Commission </w:t>
      </w:r>
      <w:r w:rsidR="00CD378D">
        <w:rPr>
          <w:rFonts w:cstheme="minorHAnsi"/>
        </w:rPr>
        <w:t xml:space="preserve">have </w:t>
      </w:r>
      <w:r w:rsidR="0065521B">
        <w:rPr>
          <w:rFonts w:cstheme="minorHAnsi"/>
        </w:rPr>
        <w:t>presented resources such as EUR-LEX, TED (Tenders Electronic Daily), the Competition Directorate-General’s website, N-LEX</w:t>
      </w:r>
      <w:r w:rsidR="008A3C92">
        <w:rPr>
          <w:rFonts w:cstheme="minorHAnsi"/>
        </w:rPr>
        <w:t>, the Europe e-Justice Portal</w:t>
      </w:r>
      <w:r w:rsidR="00B54D55">
        <w:rPr>
          <w:rFonts w:cstheme="minorHAnsi"/>
        </w:rPr>
        <w:t xml:space="preserve"> (a</w:t>
      </w:r>
      <w:r w:rsidR="00B54D55">
        <w:t xml:space="preserve"> source of </w:t>
      </w:r>
      <w:r w:rsidR="00B54D55" w:rsidRPr="001C2265">
        <w:t xml:space="preserve">information about the judicial and legal systems of </w:t>
      </w:r>
      <w:r w:rsidR="00B54D55">
        <w:t xml:space="preserve">the EU </w:t>
      </w:r>
      <w:r w:rsidR="00B54D55" w:rsidRPr="001C2265">
        <w:t>member states</w:t>
      </w:r>
      <w:r w:rsidR="00B54D55">
        <w:rPr>
          <w:rFonts w:cstheme="minorHAnsi"/>
        </w:rPr>
        <w:t>)</w:t>
      </w:r>
      <w:r w:rsidR="007C7912">
        <w:rPr>
          <w:rFonts w:cstheme="minorHAnsi"/>
        </w:rPr>
        <w:t xml:space="preserve"> </w:t>
      </w:r>
      <w:r w:rsidR="008A3C92">
        <w:rPr>
          <w:rFonts w:cstheme="minorHAnsi"/>
        </w:rPr>
        <w:t>and the Interinstitutional Register of Delegated Acts</w:t>
      </w:r>
      <w:r w:rsidR="00B54D55">
        <w:rPr>
          <w:rFonts w:cstheme="minorHAnsi"/>
        </w:rPr>
        <w:t xml:space="preserve"> (</w:t>
      </w:r>
      <w:r w:rsidR="00B54D55">
        <w:t>a tracker for EU delegated legislation)</w:t>
      </w:r>
      <w:r w:rsidR="008A3C92">
        <w:rPr>
          <w:rFonts w:cstheme="minorHAnsi"/>
        </w:rPr>
        <w:t>.</w:t>
      </w:r>
      <w:r w:rsidR="008E0FC3">
        <w:rPr>
          <w:rStyle w:val="FootnoteReference"/>
          <w:rFonts w:cstheme="minorHAnsi"/>
        </w:rPr>
        <w:footnoteReference w:id="5"/>
      </w:r>
    </w:p>
    <w:p w14:paraId="3223EBAF" w14:textId="6B74F907" w:rsidR="00D079B1" w:rsidRDefault="008A3C92" w:rsidP="00166F83">
      <w:pPr>
        <w:spacing w:line="276" w:lineRule="auto"/>
        <w:jc w:val="both"/>
        <w:rPr>
          <w:rFonts w:cstheme="minorHAnsi"/>
        </w:rPr>
      </w:pPr>
      <w:r w:rsidRPr="008A3C92">
        <w:rPr>
          <w:rFonts w:cstheme="minorHAnsi"/>
        </w:rPr>
        <w:t>EUR-L</w:t>
      </w:r>
      <w:r w:rsidR="00FF39B9">
        <w:rPr>
          <w:rFonts w:cstheme="minorHAnsi"/>
        </w:rPr>
        <w:t>ex</w:t>
      </w:r>
      <w:r w:rsidRPr="008A3C92">
        <w:rPr>
          <w:rFonts w:cstheme="minorHAnsi"/>
        </w:rPr>
        <w:t xml:space="preserve">, the EU’s main law </w:t>
      </w:r>
      <w:r>
        <w:rPr>
          <w:rFonts w:cstheme="minorHAnsi"/>
        </w:rPr>
        <w:t xml:space="preserve">database, has been </w:t>
      </w:r>
      <w:r w:rsidR="008B45AC">
        <w:rPr>
          <w:rFonts w:cstheme="minorHAnsi"/>
        </w:rPr>
        <w:t xml:space="preserve">the </w:t>
      </w:r>
      <w:r>
        <w:rPr>
          <w:rFonts w:cstheme="minorHAnsi"/>
        </w:rPr>
        <w:t xml:space="preserve">subject of numerous EUDUG talks </w:t>
      </w:r>
      <w:r w:rsidR="008B45AC">
        <w:rPr>
          <w:rFonts w:cstheme="minorHAnsi"/>
        </w:rPr>
        <w:t xml:space="preserve">as </w:t>
      </w:r>
      <w:r w:rsidR="00685622">
        <w:rPr>
          <w:rFonts w:cstheme="minorHAnsi"/>
        </w:rPr>
        <w:t>its functionalities evolved.</w:t>
      </w:r>
      <w:r w:rsidR="00D079B1">
        <w:rPr>
          <w:rFonts w:cstheme="minorHAnsi"/>
        </w:rPr>
        <w:t xml:space="preserve"> In 2004,</w:t>
      </w:r>
      <w:r w:rsidR="002A0BE9">
        <w:rPr>
          <w:rFonts w:cstheme="minorHAnsi"/>
        </w:rPr>
        <w:t xml:space="preserve"> Pascale Berteloot from the EU’s Publications Office </w:t>
      </w:r>
      <w:r w:rsidR="00196B9B">
        <w:rPr>
          <w:rFonts w:cstheme="minorHAnsi"/>
        </w:rPr>
        <w:t>dem</w:t>
      </w:r>
      <w:r w:rsidR="00D079B1">
        <w:rPr>
          <w:rFonts w:cstheme="minorHAnsi"/>
        </w:rPr>
        <w:t xml:space="preserve">onstrated for the first time in public the new integrated service that originated from the merger </w:t>
      </w:r>
      <w:r w:rsidR="00CB4D62">
        <w:rPr>
          <w:rFonts w:cstheme="minorHAnsi"/>
        </w:rPr>
        <w:t>of</w:t>
      </w:r>
      <w:r w:rsidR="00D079B1">
        <w:rPr>
          <w:rFonts w:cstheme="minorHAnsi"/>
        </w:rPr>
        <w:t xml:space="preserve"> EUR-L</w:t>
      </w:r>
      <w:r w:rsidR="00FF39B9">
        <w:rPr>
          <w:rFonts w:cstheme="minorHAnsi"/>
        </w:rPr>
        <w:t>ex</w:t>
      </w:r>
      <w:r w:rsidR="00D079B1">
        <w:rPr>
          <w:rFonts w:cstheme="minorHAnsi"/>
        </w:rPr>
        <w:t xml:space="preserve"> and CELEX</w:t>
      </w:r>
      <w:r w:rsidR="00CB4D62">
        <w:rPr>
          <w:rFonts w:cstheme="minorHAnsi"/>
        </w:rPr>
        <w:t>, even before it had been formally launched.</w:t>
      </w:r>
      <w:r w:rsidR="0013735F">
        <w:rPr>
          <w:rFonts w:cstheme="minorHAnsi"/>
        </w:rPr>
        <w:t xml:space="preserve"> In 2015, the Commission’s </w:t>
      </w:r>
      <w:r w:rsidR="002A15EE">
        <w:rPr>
          <w:rFonts w:cstheme="minorHAnsi"/>
        </w:rPr>
        <w:t>Paulo S</w:t>
      </w:r>
      <w:r w:rsidR="008B45AC">
        <w:rPr>
          <w:rFonts w:cstheme="minorHAnsi"/>
        </w:rPr>
        <w:t>e</w:t>
      </w:r>
      <w:r w:rsidR="002A15EE">
        <w:rPr>
          <w:rFonts w:cstheme="minorHAnsi"/>
        </w:rPr>
        <w:t xml:space="preserve">romenho spoke about </w:t>
      </w:r>
      <w:r w:rsidR="002A15EE" w:rsidRPr="00AB33A5">
        <w:rPr>
          <w:rFonts w:cstheme="minorHAnsi"/>
        </w:rPr>
        <w:t>the European Legislation Identifier (ELI)</w:t>
      </w:r>
      <w:r w:rsidR="002A15EE">
        <w:rPr>
          <w:rFonts w:cstheme="minorHAnsi"/>
        </w:rPr>
        <w:t xml:space="preserve"> and transposition of </w:t>
      </w:r>
      <w:r w:rsidR="00AB33A5">
        <w:rPr>
          <w:rFonts w:cstheme="minorHAnsi"/>
        </w:rPr>
        <w:t>d</w:t>
      </w:r>
      <w:r w:rsidR="002A15EE">
        <w:rPr>
          <w:rFonts w:cstheme="minorHAnsi"/>
        </w:rPr>
        <w:t>irectives</w:t>
      </w:r>
      <w:r w:rsidR="00AB33A5">
        <w:rPr>
          <w:rFonts w:cstheme="minorHAnsi"/>
        </w:rPr>
        <w:t xml:space="preserve"> (</w:t>
      </w:r>
      <w:r w:rsidR="002A15EE">
        <w:rPr>
          <w:rFonts w:cstheme="minorHAnsi"/>
        </w:rPr>
        <w:t xml:space="preserve">which was known at the time as </w:t>
      </w:r>
      <w:r w:rsidR="00AB33A5">
        <w:rPr>
          <w:rFonts w:cstheme="minorHAnsi"/>
        </w:rPr>
        <w:t>‘</w:t>
      </w:r>
      <w:r w:rsidR="00AB33A5" w:rsidRPr="00AB33A5">
        <w:rPr>
          <w:rFonts w:cstheme="minorHAnsi"/>
        </w:rPr>
        <w:t>i</w:t>
      </w:r>
      <w:r w:rsidR="002A15EE" w:rsidRPr="00AB33A5">
        <w:rPr>
          <w:rFonts w:cstheme="minorHAnsi"/>
        </w:rPr>
        <w:t>mplementation</w:t>
      </w:r>
      <w:r w:rsidR="00AB33A5">
        <w:rPr>
          <w:rFonts w:cstheme="minorHAnsi"/>
        </w:rPr>
        <w:t xml:space="preserve">’). </w:t>
      </w:r>
      <w:r w:rsidR="00B01E59">
        <w:rPr>
          <w:rFonts w:cstheme="minorHAnsi"/>
        </w:rPr>
        <w:t>Mr S</w:t>
      </w:r>
      <w:r w:rsidR="00AB33A5">
        <w:rPr>
          <w:rFonts w:cstheme="minorHAnsi"/>
        </w:rPr>
        <w:t>e</w:t>
      </w:r>
      <w:r w:rsidR="00B01E59">
        <w:rPr>
          <w:rFonts w:cstheme="minorHAnsi"/>
        </w:rPr>
        <w:t xml:space="preserve">romenho unveiled </w:t>
      </w:r>
      <w:r w:rsidR="00A9567E">
        <w:rPr>
          <w:rFonts w:cstheme="minorHAnsi"/>
        </w:rPr>
        <w:t xml:space="preserve">long-term </w:t>
      </w:r>
      <w:r w:rsidR="00B01E59">
        <w:rPr>
          <w:rFonts w:cstheme="minorHAnsi"/>
        </w:rPr>
        <w:t>plans to make the full text of national implementation measures available via EUR-L</w:t>
      </w:r>
      <w:r w:rsidR="00FF39B9">
        <w:rPr>
          <w:rFonts w:cstheme="minorHAnsi"/>
        </w:rPr>
        <w:t>ex</w:t>
      </w:r>
      <w:r w:rsidR="00B01E59">
        <w:rPr>
          <w:rFonts w:cstheme="minorHAnsi"/>
        </w:rPr>
        <w:t xml:space="preserve">. This project came to fruition </w:t>
      </w:r>
      <w:r w:rsidR="00A9567E">
        <w:rPr>
          <w:rFonts w:cstheme="minorHAnsi"/>
        </w:rPr>
        <w:t>in the form of</w:t>
      </w:r>
      <w:r w:rsidR="00C5642F">
        <w:rPr>
          <w:rFonts w:cstheme="minorHAnsi"/>
        </w:rPr>
        <w:t xml:space="preserve"> </w:t>
      </w:r>
      <w:r w:rsidR="00605AD1">
        <w:rPr>
          <w:rFonts w:cstheme="minorHAnsi"/>
        </w:rPr>
        <w:t xml:space="preserve">the </w:t>
      </w:r>
      <w:r w:rsidR="00003CD9" w:rsidRPr="00A9567E">
        <w:rPr>
          <w:rFonts w:cstheme="minorHAnsi"/>
          <w:i/>
          <w:iCs/>
        </w:rPr>
        <w:t>National Transposition</w:t>
      </w:r>
      <w:r w:rsidR="00003CD9">
        <w:rPr>
          <w:rFonts w:cstheme="minorHAnsi"/>
          <w:i/>
          <w:iCs/>
        </w:rPr>
        <w:t xml:space="preserve"> </w:t>
      </w:r>
      <w:r w:rsidR="00003CD9">
        <w:rPr>
          <w:rFonts w:cstheme="minorHAnsi"/>
        </w:rPr>
        <w:t>collection on EUR-L</w:t>
      </w:r>
      <w:r w:rsidR="00FF39B9">
        <w:rPr>
          <w:rFonts w:cstheme="minorHAnsi"/>
        </w:rPr>
        <w:t>ex</w:t>
      </w:r>
      <w:r w:rsidR="00003CD9">
        <w:rPr>
          <w:rFonts w:cstheme="minorHAnsi"/>
        </w:rPr>
        <w:t>, which offers full-text national measures from Member States that have agreed to provide them.</w:t>
      </w:r>
    </w:p>
    <w:p w14:paraId="3363CAE1" w14:textId="065C5F83" w:rsidR="00003CD9" w:rsidRDefault="002E5CB9" w:rsidP="00166F83">
      <w:pPr>
        <w:spacing w:line="276" w:lineRule="auto"/>
        <w:jc w:val="both"/>
        <w:rPr>
          <w:rFonts w:cstheme="minorHAnsi"/>
        </w:rPr>
      </w:pPr>
      <w:r>
        <w:rPr>
          <w:rFonts w:cstheme="minorHAnsi"/>
        </w:rPr>
        <w:lastRenderedPageBreak/>
        <w:t xml:space="preserve">Chris Fretwell from the EU’s Court of Justice </w:t>
      </w:r>
      <w:r w:rsidR="00E2283B">
        <w:rPr>
          <w:rFonts w:cstheme="minorHAnsi"/>
        </w:rPr>
        <w:t xml:space="preserve">has </w:t>
      </w:r>
      <w:r>
        <w:rPr>
          <w:rFonts w:cstheme="minorHAnsi"/>
        </w:rPr>
        <w:t xml:space="preserve">appeared three times at EUDUG meetings, sharing his knowledge </w:t>
      </w:r>
      <w:r w:rsidR="009D7E90">
        <w:rPr>
          <w:rFonts w:cstheme="minorHAnsi"/>
        </w:rPr>
        <w:t>of case information and C</w:t>
      </w:r>
      <w:r w:rsidR="00E2283B">
        <w:rPr>
          <w:rFonts w:cstheme="minorHAnsi"/>
        </w:rPr>
        <w:t>uria</w:t>
      </w:r>
      <w:r w:rsidR="005D1200">
        <w:rPr>
          <w:rFonts w:cstheme="minorHAnsi"/>
        </w:rPr>
        <w:t xml:space="preserve">, the Court’s </w:t>
      </w:r>
      <w:r w:rsidR="009D7E90">
        <w:rPr>
          <w:rFonts w:cstheme="minorHAnsi"/>
        </w:rPr>
        <w:t>website.</w:t>
      </w:r>
      <w:r w:rsidR="005D1200">
        <w:rPr>
          <w:rStyle w:val="FootnoteReference"/>
          <w:rFonts w:cstheme="minorHAnsi"/>
        </w:rPr>
        <w:footnoteReference w:id="6"/>
      </w:r>
      <w:r w:rsidR="009D7E90">
        <w:rPr>
          <w:rFonts w:cstheme="minorHAnsi"/>
        </w:rPr>
        <w:t xml:space="preserve"> Among the many gems of information in his most recent talk</w:t>
      </w:r>
      <w:r w:rsidR="00E2283B">
        <w:rPr>
          <w:rFonts w:cstheme="minorHAnsi"/>
        </w:rPr>
        <w:t xml:space="preserve">, in </w:t>
      </w:r>
      <w:r w:rsidR="009D7E90">
        <w:rPr>
          <w:rFonts w:cstheme="minorHAnsi"/>
        </w:rPr>
        <w:t>2014</w:t>
      </w:r>
      <w:r w:rsidR="00E2283B">
        <w:rPr>
          <w:rFonts w:cstheme="minorHAnsi"/>
        </w:rPr>
        <w:t>,</w:t>
      </w:r>
      <w:r w:rsidR="009D7E90">
        <w:rPr>
          <w:rFonts w:cstheme="minorHAnsi"/>
        </w:rPr>
        <w:t xml:space="preserve"> was the fact that by this time only around half of Court of Justice cases involved an </w:t>
      </w:r>
      <w:r w:rsidR="0019406C">
        <w:rPr>
          <w:rFonts w:cstheme="minorHAnsi"/>
        </w:rPr>
        <w:t>advocate general’s opinion (nearly all of them used to).</w:t>
      </w:r>
    </w:p>
    <w:p w14:paraId="59750C53" w14:textId="5E5A81E8" w:rsidR="004D6515" w:rsidRPr="004D6515" w:rsidRDefault="0019406C" w:rsidP="00166F83">
      <w:pPr>
        <w:spacing w:line="276" w:lineRule="auto"/>
        <w:jc w:val="both"/>
        <w:rPr>
          <w:rFonts w:cstheme="minorHAnsi"/>
        </w:rPr>
      </w:pPr>
      <w:r w:rsidRPr="0019406C">
        <w:rPr>
          <w:rFonts w:cstheme="minorHAnsi"/>
        </w:rPr>
        <w:t xml:space="preserve">The European Parliament (EP) hosted EUDUG events for many years at its former UK office in Queen Anne’s Gate, London. We benefited from two talks by the Librarian at the UK office, Avis Furness, during this period. The first, in 2000, was about the UK office’s information service and the EP’s Brussels library; the second, five years later, covered the EP’S legislation tracking service, OEIL </w:t>
      </w:r>
      <w:r w:rsidR="004D6515">
        <w:rPr>
          <w:rFonts w:cstheme="minorHAnsi"/>
        </w:rPr>
        <w:t xml:space="preserve">(also known as the </w:t>
      </w:r>
      <w:r w:rsidR="004D6515">
        <w:rPr>
          <w:rFonts w:cstheme="minorHAnsi"/>
          <w:i/>
          <w:iCs/>
        </w:rPr>
        <w:t>Legislative Observatory</w:t>
      </w:r>
      <w:r w:rsidR="004D6515">
        <w:rPr>
          <w:rFonts w:cstheme="minorHAnsi"/>
        </w:rPr>
        <w:t>).</w:t>
      </w:r>
      <w:r w:rsidR="00314EC3">
        <w:rPr>
          <w:rStyle w:val="FootnoteReference"/>
          <w:rFonts w:cstheme="minorHAnsi"/>
        </w:rPr>
        <w:footnoteReference w:id="7"/>
      </w:r>
    </w:p>
    <w:p w14:paraId="4DFDDE53" w14:textId="099AF74D" w:rsidR="004D6515" w:rsidRDefault="00AE223E" w:rsidP="00166F83">
      <w:pPr>
        <w:spacing w:line="276" w:lineRule="auto"/>
        <w:jc w:val="both"/>
        <w:rPr>
          <w:rFonts w:cstheme="minorHAnsi"/>
        </w:rPr>
      </w:pPr>
      <w:r>
        <w:rPr>
          <w:rFonts w:cstheme="minorHAnsi"/>
        </w:rPr>
        <w:t>In 2017,</w:t>
      </w:r>
      <w:r w:rsidR="004D6515">
        <w:rPr>
          <w:rFonts w:cstheme="minorHAnsi"/>
        </w:rPr>
        <w:t xml:space="preserve"> </w:t>
      </w:r>
      <w:r w:rsidR="00FC6CF1">
        <w:rPr>
          <w:rFonts w:cstheme="minorHAnsi"/>
        </w:rPr>
        <w:t>Alec</w:t>
      </w:r>
      <w:r w:rsidR="007C09DB">
        <w:rPr>
          <w:rFonts w:cstheme="minorHAnsi"/>
        </w:rPr>
        <w:t xml:space="preserve"> </w:t>
      </w:r>
      <w:r w:rsidR="003A3C09" w:rsidRPr="003A3C09">
        <w:rPr>
          <w:rFonts w:cstheme="minorHAnsi"/>
        </w:rPr>
        <w:t>Vuijlsteke</w:t>
      </w:r>
      <w:r w:rsidR="003A3C09">
        <w:rPr>
          <w:rFonts w:cstheme="minorHAnsi"/>
        </w:rPr>
        <w:t xml:space="preserve"> </w:t>
      </w:r>
      <w:r>
        <w:rPr>
          <w:rFonts w:cstheme="minorHAnsi"/>
        </w:rPr>
        <w:t xml:space="preserve">from the European Parliamentary Research Service (EPRS) </w:t>
      </w:r>
      <w:r w:rsidR="00093680">
        <w:rPr>
          <w:rFonts w:cstheme="minorHAnsi"/>
        </w:rPr>
        <w:t xml:space="preserve">spoke about tracking the EU’s policy and legislative cycle. </w:t>
      </w:r>
      <w:r w:rsidR="00093680" w:rsidRPr="00093680">
        <w:rPr>
          <w:rFonts w:cstheme="minorHAnsi"/>
        </w:rPr>
        <w:t xml:space="preserve">He demonstrated the </w:t>
      </w:r>
      <w:r w:rsidR="00093680" w:rsidRPr="00093680">
        <w:rPr>
          <w:rFonts w:cstheme="minorHAnsi"/>
          <w:i/>
          <w:iCs/>
        </w:rPr>
        <w:t>Legislative Train Schedule</w:t>
      </w:r>
      <w:r w:rsidR="00093680" w:rsidRPr="00093680">
        <w:rPr>
          <w:rFonts w:cstheme="minorHAnsi"/>
        </w:rPr>
        <w:t>, an online monitoring service that uses railway terminology</w:t>
      </w:r>
      <w:r w:rsidR="00093680">
        <w:rPr>
          <w:rFonts w:cstheme="minorHAnsi"/>
        </w:rPr>
        <w:t>.</w:t>
      </w:r>
      <w:r w:rsidR="00A92277">
        <w:rPr>
          <w:rStyle w:val="FootnoteReference"/>
          <w:rFonts w:cstheme="minorHAnsi"/>
        </w:rPr>
        <w:footnoteReference w:id="8"/>
      </w:r>
      <w:r w:rsidR="00093680">
        <w:rPr>
          <w:rFonts w:cstheme="minorHAnsi"/>
        </w:rPr>
        <w:t xml:space="preserve"> </w:t>
      </w:r>
      <w:r w:rsidR="00693D01">
        <w:rPr>
          <w:rFonts w:cstheme="minorHAnsi"/>
        </w:rPr>
        <w:t>In 2019, EUDUG heard a presentation from Daniel Rac</w:t>
      </w:r>
      <w:r w:rsidR="003A01A4">
        <w:rPr>
          <w:rFonts w:cstheme="minorHAnsi"/>
        </w:rPr>
        <w:t>t</w:t>
      </w:r>
      <w:r w:rsidR="00693D01">
        <w:rPr>
          <w:rFonts w:cstheme="minorHAnsi"/>
        </w:rPr>
        <w:t>liffe of the EP’s UK Liaison Office</w:t>
      </w:r>
      <w:r w:rsidR="00F119FF">
        <w:rPr>
          <w:rFonts w:cstheme="minorHAnsi"/>
        </w:rPr>
        <w:t xml:space="preserve"> about the role of the EP and the provision of EU information in the UK. In summer 2022, </w:t>
      </w:r>
      <w:r w:rsidR="00F119FF" w:rsidRPr="00F119FF">
        <w:rPr>
          <w:rFonts w:cstheme="minorHAnsi"/>
        </w:rPr>
        <w:t>Calin-Mihai Racoti gave a talk about IPEX, the online information exchange between the European Parliament and the parliaments of the EU</w:t>
      </w:r>
      <w:r w:rsidR="00F119FF">
        <w:rPr>
          <w:rFonts w:cstheme="minorHAnsi"/>
        </w:rPr>
        <w:t xml:space="preserve"> </w:t>
      </w:r>
      <w:r w:rsidR="00253DB3">
        <w:rPr>
          <w:rFonts w:cstheme="minorHAnsi"/>
        </w:rPr>
        <w:t>m</w:t>
      </w:r>
      <w:r w:rsidR="00F119FF">
        <w:rPr>
          <w:rFonts w:cstheme="minorHAnsi"/>
        </w:rPr>
        <w:t xml:space="preserve">ember </w:t>
      </w:r>
      <w:r w:rsidR="00253DB3">
        <w:rPr>
          <w:rFonts w:cstheme="minorHAnsi"/>
        </w:rPr>
        <w:t>s</w:t>
      </w:r>
      <w:r w:rsidR="00F119FF">
        <w:rPr>
          <w:rFonts w:cstheme="minorHAnsi"/>
        </w:rPr>
        <w:t>t</w:t>
      </w:r>
      <w:r w:rsidR="00190F61">
        <w:rPr>
          <w:rFonts w:cstheme="minorHAnsi"/>
        </w:rPr>
        <w:t>ates.</w:t>
      </w:r>
    </w:p>
    <w:p w14:paraId="6AC180C1" w14:textId="36C2F41E" w:rsidR="00927DF2" w:rsidRDefault="0019406C" w:rsidP="00166F83">
      <w:pPr>
        <w:spacing w:line="276" w:lineRule="auto"/>
        <w:jc w:val="both"/>
        <w:rPr>
          <w:rFonts w:cstheme="minorHAnsi"/>
        </w:rPr>
      </w:pPr>
      <w:r w:rsidRPr="0019406C">
        <w:rPr>
          <w:rFonts w:cstheme="minorHAnsi"/>
        </w:rPr>
        <w:t xml:space="preserve">The Council of the European Union sent a speaker to EUDUG’s January 2008 meeting: Jakob Thomsen, Head of the Transparency Service, who gave a presentation about the Council’s information and communications services. Although we do not have a record of other appearances by Council staff, the Council stages of legislative procedure featured </w:t>
      </w:r>
      <w:r w:rsidRPr="004D333E">
        <w:rPr>
          <w:rFonts w:cstheme="minorHAnsi"/>
          <w:i/>
          <w:iCs/>
        </w:rPr>
        <w:t>in The EU Law</w:t>
      </w:r>
      <w:r w:rsidR="00192D3D">
        <w:rPr>
          <w:rFonts w:cstheme="minorHAnsi"/>
          <w:i/>
          <w:iCs/>
        </w:rPr>
        <w:t>-</w:t>
      </w:r>
      <w:r w:rsidRPr="004D333E">
        <w:rPr>
          <w:rFonts w:cstheme="minorHAnsi"/>
          <w:i/>
          <w:iCs/>
        </w:rPr>
        <w:t>making Process and the Role of Trilogues</w:t>
      </w:r>
      <w:r w:rsidRPr="0019406C">
        <w:rPr>
          <w:rFonts w:cstheme="minorHAnsi"/>
        </w:rPr>
        <w:t>, a talk by Malcolm Harbour CBE, Senior Adviser at the European Policy Centre and former MEP, in 2015.</w:t>
      </w:r>
    </w:p>
    <w:p w14:paraId="23DA8F69" w14:textId="351B803C" w:rsidR="00666C3A" w:rsidRDefault="004D333E" w:rsidP="00166F83">
      <w:pPr>
        <w:spacing w:line="276" w:lineRule="auto"/>
        <w:jc w:val="both"/>
        <w:rPr>
          <w:rFonts w:cstheme="minorHAnsi"/>
        </w:rPr>
      </w:pPr>
      <w:r>
        <w:rPr>
          <w:rFonts w:cstheme="minorHAnsi"/>
        </w:rPr>
        <w:t>As</w:t>
      </w:r>
      <w:r w:rsidR="003C37E4">
        <w:rPr>
          <w:rFonts w:cstheme="minorHAnsi"/>
        </w:rPr>
        <w:t xml:space="preserve"> previously highlighted, the commercial database sector has been widely represented at EUDUG meetings throughout the years. </w:t>
      </w:r>
      <w:r w:rsidR="0019406C" w:rsidRPr="0019406C">
        <w:rPr>
          <w:rFonts w:cstheme="minorHAnsi"/>
        </w:rPr>
        <w:t>Numerous Sweet &amp; Maxwell/Thomson Reuters and LexisNexis services have been demonstrated, including Westlaw UK, Lawtel EU, Practical Law EU, Lexis PSL’s EU module, and MLex, the regulatory risk news service</w:t>
      </w:r>
      <w:r w:rsidR="00482D52">
        <w:rPr>
          <w:rStyle w:val="FootnoteReference"/>
          <w:rFonts w:cstheme="minorHAnsi"/>
        </w:rPr>
        <w:footnoteReference w:id="9"/>
      </w:r>
      <w:r w:rsidR="0019406C" w:rsidRPr="0019406C">
        <w:rPr>
          <w:rFonts w:cstheme="minorHAnsi"/>
        </w:rPr>
        <w:t>.</w:t>
      </w:r>
      <w:r w:rsidR="00666C3A">
        <w:rPr>
          <w:rFonts w:cstheme="minorHAnsi"/>
        </w:rPr>
        <w:t xml:space="preserve"> EUDUG members </w:t>
      </w:r>
      <w:r w:rsidR="00914EA0">
        <w:rPr>
          <w:rFonts w:cstheme="minorHAnsi"/>
        </w:rPr>
        <w:t xml:space="preserve">have also </w:t>
      </w:r>
      <w:r w:rsidR="00666C3A">
        <w:rPr>
          <w:rFonts w:cstheme="minorHAnsi"/>
        </w:rPr>
        <w:t>had the opportunity to follow the development of Justis Celex into JustisOne’s EU collection and then into vLex EU</w:t>
      </w:r>
      <w:r w:rsidR="00914EA0">
        <w:rPr>
          <w:rFonts w:cstheme="minorHAnsi"/>
        </w:rPr>
        <w:t xml:space="preserve"> via successive EUDUG talks.</w:t>
      </w:r>
      <w:r w:rsidR="00666C3A">
        <w:rPr>
          <w:rFonts w:cstheme="minorHAnsi"/>
        </w:rPr>
        <w:t xml:space="preserve"> </w:t>
      </w:r>
    </w:p>
    <w:p w14:paraId="68CA1EDA" w14:textId="74961C59" w:rsidR="0019406C" w:rsidRDefault="0019406C" w:rsidP="00166F83">
      <w:pPr>
        <w:spacing w:line="276" w:lineRule="auto"/>
        <w:jc w:val="both"/>
        <w:rPr>
          <w:rFonts w:cstheme="minorHAnsi"/>
        </w:rPr>
      </w:pPr>
      <w:r w:rsidRPr="0019406C">
        <w:rPr>
          <w:rFonts w:cstheme="minorHAnsi"/>
        </w:rPr>
        <w:t xml:space="preserve">Less well-known services have also been featured at EUDUG meetings, such as Eurocases, an APIS Europe product focusing on national case law relating to EU law.  In March 2000 there was a talk from ELLIS Publications about their CD-ROM and online products and at the opposite end of the timescale, </w:t>
      </w:r>
      <w:r w:rsidRPr="0019406C">
        <w:rPr>
          <w:rFonts w:cstheme="minorHAnsi"/>
        </w:rPr>
        <w:lastRenderedPageBreak/>
        <w:t>in November 2022, we had a demonstration of the Caselex competition law and merger control database.</w:t>
      </w:r>
      <w:r w:rsidR="00C3235B">
        <w:rPr>
          <w:rStyle w:val="FootnoteReference"/>
          <w:rFonts w:cstheme="minorHAnsi"/>
        </w:rPr>
        <w:footnoteReference w:id="10"/>
      </w:r>
    </w:p>
    <w:p w14:paraId="32FEB1BD" w14:textId="43D6DD94" w:rsidR="00666C3A" w:rsidRDefault="00BB6460" w:rsidP="00166F83">
      <w:pPr>
        <w:spacing w:line="276" w:lineRule="auto"/>
        <w:jc w:val="both"/>
        <w:rPr>
          <w:rFonts w:cstheme="minorHAnsi"/>
          <w:b/>
          <w:bCs/>
          <w:sz w:val="28"/>
          <w:szCs w:val="28"/>
        </w:rPr>
      </w:pPr>
      <w:r>
        <w:rPr>
          <w:rFonts w:cstheme="minorHAnsi"/>
          <w:b/>
          <w:bCs/>
          <w:sz w:val="28"/>
          <w:szCs w:val="28"/>
        </w:rPr>
        <w:t>EUDUG looking ahead</w:t>
      </w:r>
    </w:p>
    <w:p w14:paraId="24FF4B5D" w14:textId="6C694F5D" w:rsidR="00BB6460" w:rsidRDefault="00130336" w:rsidP="00166F83">
      <w:pPr>
        <w:spacing w:line="276" w:lineRule="auto"/>
        <w:jc w:val="both"/>
        <w:rPr>
          <w:rFonts w:cstheme="minorHAnsi"/>
        </w:rPr>
      </w:pPr>
      <w:r>
        <w:rPr>
          <w:rFonts w:cstheme="minorHAnsi"/>
        </w:rPr>
        <w:t>Despite recent political developments concerning the relationship between the United Kingdom and the European Union</w:t>
      </w:r>
      <w:r w:rsidR="00443E10">
        <w:rPr>
          <w:rFonts w:cstheme="minorHAnsi"/>
        </w:rPr>
        <w:t>, the need for European information in the UK remains self-e</w:t>
      </w:r>
      <w:r w:rsidR="00E90FBB">
        <w:rPr>
          <w:rFonts w:cstheme="minorHAnsi"/>
        </w:rPr>
        <w:t>vident</w:t>
      </w:r>
      <w:r w:rsidR="002C1F6A">
        <w:rPr>
          <w:rFonts w:cstheme="minorHAnsi"/>
        </w:rPr>
        <w:t>.</w:t>
      </w:r>
      <w:r w:rsidR="004A15AB">
        <w:rPr>
          <w:rFonts w:cstheme="minorHAnsi"/>
        </w:rPr>
        <w:t xml:space="preserve"> </w:t>
      </w:r>
      <w:r w:rsidR="002C1F6A">
        <w:rPr>
          <w:rFonts w:cstheme="minorHAnsi"/>
        </w:rPr>
        <w:t>In this context,</w:t>
      </w:r>
      <w:r w:rsidR="00E61BD5">
        <w:rPr>
          <w:rFonts w:cstheme="minorHAnsi"/>
        </w:rPr>
        <w:t xml:space="preserve"> librarians and</w:t>
      </w:r>
      <w:r w:rsidR="002C1F6A">
        <w:rPr>
          <w:rFonts w:cstheme="minorHAnsi"/>
        </w:rPr>
        <w:t xml:space="preserve"> i</w:t>
      </w:r>
      <w:r w:rsidR="0027583D">
        <w:rPr>
          <w:rFonts w:cstheme="minorHAnsi"/>
        </w:rPr>
        <w:t xml:space="preserve">nformation specialists are best placed to </w:t>
      </w:r>
      <w:r w:rsidR="00225E33">
        <w:rPr>
          <w:rFonts w:cstheme="minorHAnsi"/>
        </w:rPr>
        <w:t xml:space="preserve">help </w:t>
      </w:r>
      <w:r w:rsidR="0027583D">
        <w:rPr>
          <w:rFonts w:cstheme="minorHAnsi"/>
        </w:rPr>
        <w:t xml:space="preserve">inform future debates and </w:t>
      </w:r>
      <w:r w:rsidR="00A73961">
        <w:rPr>
          <w:rFonts w:cstheme="minorHAnsi"/>
        </w:rPr>
        <w:t>forge</w:t>
      </w:r>
      <w:r w:rsidR="008924D8">
        <w:rPr>
          <w:rFonts w:cstheme="minorHAnsi"/>
        </w:rPr>
        <w:t xml:space="preserve"> a new </w:t>
      </w:r>
      <w:r w:rsidR="009820E7">
        <w:rPr>
          <w:rFonts w:cstheme="minorHAnsi"/>
        </w:rPr>
        <w:t>re</w:t>
      </w:r>
      <w:r w:rsidR="00B80B4A">
        <w:rPr>
          <w:rFonts w:cstheme="minorHAnsi"/>
        </w:rPr>
        <w:t>lationship</w:t>
      </w:r>
      <w:r w:rsidR="009820E7">
        <w:rPr>
          <w:rFonts w:cstheme="minorHAnsi"/>
        </w:rPr>
        <w:t xml:space="preserve"> between the two sides.</w:t>
      </w:r>
    </w:p>
    <w:p w14:paraId="32241169" w14:textId="6D0E396D" w:rsidR="007C582A" w:rsidRDefault="004A15AB" w:rsidP="00166F83">
      <w:pPr>
        <w:spacing w:line="276" w:lineRule="auto"/>
        <w:jc w:val="both"/>
        <w:rPr>
          <w:rFonts w:cstheme="minorHAnsi"/>
        </w:rPr>
      </w:pPr>
      <w:r>
        <w:rPr>
          <w:rFonts w:cstheme="minorHAnsi"/>
        </w:rPr>
        <w:t>EUDUG wishes to remain a facilitator of exchanges</w:t>
      </w:r>
      <w:r w:rsidR="00D44FDE">
        <w:rPr>
          <w:rFonts w:cstheme="minorHAnsi"/>
        </w:rPr>
        <w:t xml:space="preserve">, </w:t>
      </w:r>
      <w:r w:rsidR="00951346">
        <w:rPr>
          <w:rFonts w:cstheme="minorHAnsi"/>
        </w:rPr>
        <w:t xml:space="preserve">a reflection of wider </w:t>
      </w:r>
      <w:r w:rsidR="007C582A">
        <w:rPr>
          <w:rFonts w:cstheme="minorHAnsi"/>
        </w:rPr>
        <w:t>trends and a contributor to informing society and its different sectors. The COVID-19 pandemic introduced virtual meetings, a development which has helped the Group reach out beyond UK borders.</w:t>
      </w:r>
    </w:p>
    <w:p w14:paraId="3F02743D" w14:textId="332EDB3E" w:rsidR="00E11E87" w:rsidRDefault="00951346" w:rsidP="00166F83">
      <w:pPr>
        <w:spacing w:line="276" w:lineRule="auto"/>
        <w:jc w:val="both"/>
        <w:rPr>
          <w:rFonts w:cstheme="minorHAnsi"/>
        </w:rPr>
      </w:pPr>
      <w:r>
        <w:rPr>
          <w:rFonts w:cstheme="minorHAnsi"/>
        </w:rPr>
        <w:t xml:space="preserve">Frederico Rocha took over </w:t>
      </w:r>
      <w:r w:rsidR="00363221">
        <w:rPr>
          <w:rFonts w:cstheme="minorHAnsi"/>
        </w:rPr>
        <w:t xml:space="preserve">as Chair of the EUDUG Committee in 2022 and is assisted by six other members. </w:t>
      </w:r>
      <w:r w:rsidR="001E6FBA">
        <w:rPr>
          <w:rFonts w:cstheme="minorHAnsi"/>
        </w:rPr>
        <w:t xml:space="preserve">The </w:t>
      </w:r>
      <w:r w:rsidR="00363221">
        <w:rPr>
          <w:rFonts w:cstheme="minorHAnsi"/>
        </w:rPr>
        <w:t xml:space="preserve">Committee </w:t>
      </w:r>
      <w:r w:rsidR="001F22E5">
        <w:rPr>
          <w:rFonts w:cstheme="minorHAnsi"/>
        </w:rPr>
        <w:t>have started looking</w:t>
      </w:r>
      <w:r w:rsidR="00363221">
        <w:rPr>
          <w:rFonts w:cstheme="minorHAnsi"/>
        </w:rPr>
        <w:t xml:space="preserve"> into ways of </w:t>
      </w:r>
      <w:r w:rsidR="001F0F1F">
        <w:rPr>
          <w:rFonts w:cstheme="minorHAnsi"/>
        </w:rPr>
        <w:t>balancing</w:t>
      </w:r>
      <w:r w:rsidR="00363221">
        <w:rPr>
          <w:rFonts w:cstheme="minorHAnsi"/>
        </w:rPr>
        <w:t xml:space="preserve"> the opportunities provided by online </w:t>
      </w:r>
      <w:r w:rsidR="00670D80">
        <w:rPr>
          <w:rFonts w:cstheme="minorHAnsi"/>
        </w:rPr>
        <w:t xml:space="preserve">events with </w:t>
      </w:r>
      <w:r w:rsidR="00A348F7">
        <w:rPr>
          <w:rFonts w:cstheme="minorHAnsi"/>
        </w:rPr>
        <w:t>the effectiveness of face-to-face meetings.</w:t>
      </w:r>
      <w:r w:rsidR="001F0F1F">
        <w:rPr>
          <w:rFonts w:cstheme="minorHAnsi"/>
        </w:rPr>
        <w:t xml:space="preserve"> </w:t>
      </w:r>
      <w:r w:rsidR="009F09B1">
        <w:rPr>
          <w:rFonts w:cstheme="minorHAnsi"/>
        </w:rPr>
        <w:t>The</w:t>
      </w:r>
      <w:r w:rsidR="00A348F7">
        <w:rPr>
          <w:rFonts w:cstheme="minorHAnsi"/>
        </w:rPr>
        <w:t xml:space="preserve"> decision to re-introduce a membership fee </w:t>
      </w:r>
      <w:r w:rsidR="009F09B1">
        <w:rPr>
          <w:rFonts w:cstheme="minorHAnsi"/>
        </w:rPr>
        <w:t xml:space="preserve">from 2023 has </w:t>
      </w:r>
      <w:r w:rsidR="001F22E5">
        <w:rPr>
          <w:rFonts w:cstheme="minorHAnsi"/>
        </w:rPr>
        <w:t>also</w:t>
      </w:r>
      <w:r w:rsidR="009F09B1">
        <w:rPr>
          <w:rFonts w:cstheme="minorHAnsi"/>
        </w:rPr>
        <w:t xml:space="preserve"> encouraged the Committee to work on </w:t>
      </w:r>
      <w:r w:rsidR="00E812FD">
        <w:rPr>
          <w:rFonts w:cstheme="minorHAnsi"/>
        </w:rPr>
        <w:t>further consolidat</w:t>
      </w:r>
      <w:r w:rsidR="00E11E87">
        <w:rPr>
          <w:rFonts w:cstheme="minorHAnsi"/>
        </w:rPr>
        <w:t>ing</w:t>
      </w:r>
      <w:r w:rsidR="00E812FD">
        <w:rPr>
          <w:rFonts w:cstheme="minorHAnsi"/>
        </w:rPr>
        <w:t xml:space="preserve"> the activities of the Group. </w:t>
      </w:r>
      <w:r w:rsidR="00E11E87">
        <w:rPr>
          <w:rFonts w:cstheme="minorHAnsi"/>
        </w:rPr>
        <w:t>In this context, the EUDUG website is likely to play a significant role going forward</w:t>
      </w:r>
      <w:r w:rsidR="00E45B83">
        <w:rPr>
          <w:rFonts w:cstheme="minorHAnsi"/>
        </w:rPr>
        <w:t>;</w:t>
      </w:r>
      <w:r w:rsidR="00E11E87">
        <w:rPr>
          <w:rFonts w:cstheme="minorHAnsi"/>
        </w:rPr>
        <w:t xml:space="preserve"> </w:t>
      </w:r>
      <w:r w:rsidR="0037075C">
        <w:rPr>
          <w:rFonts w:cstheme="minorHAnsi"/>
        </w:rPr>
        <w:t>it</w:t>
      </w:r>
      <w:r w:rsidR="00E11E87">
        <w:rPr>
          <w:rFonts w:cstheme="minorHAnsi"/>
        </w:rPr>
        <w:t xml:space="preserve"> already provides summaries</w:t>
      </w:r>
      <w:r w:rsidR="00B40E9B">
        <w:rPr>
          <w:rFonts w:cstheme="minorHAnsi"/>
        </w:rPr>
        <w:t xml:space="preserve"> </w:t>
      </w:r>
      <w:r w:rsidR="0037075C">
        <w:rPr>
          <w:rFonts w:cstheme="minorHAnsi"/>
        </w:rPr>
        <w:t xml:space="preserve">of </w:t>
      </w:r>
      <w:r w:rsidR="00B40E9B">
        <w:rPr>
          <w:rFonts w:cstheme="minorHAnsi"/>
        </w:rPr>
        <w:t>m</w:t>
      </w:r>
      <w:r w:rsidR="0037075C">
        <w:rPr>
          <w:rFonts w:cstheme="minorHAnsi"/>
        </w:rPr>
        <w:t>any</w:t>
      </w:r>
      <w:r w:rsidR="00B40E9B">
        <w:rPr>
          <w:rFonts w:cstheme="minorHAnsi"/>
        </w:rPr>
        <w:t xml:space="preserve"> </w:t>
      </w:r>
      <w:r w:rsidR="0037075C">
        <w:rPr>
          <w:rFonts w:cstheme="minorHAnsi"/>
        </w:rPr>
        <w:t>past</w:t>
      </w:r>
      <w:r w:rsidR="00B40E9B">
        <w:rPr>
          <w:rFonts w:cstheme="minorHAnsi"/>
        </w:rPr>
        <w:t xml:space="preserve"> meetings</w:t>
      </w:r>
      <w:r w:rsidR="00E11E87">
        <w:rPr>
          <w:rFonts w:cstheme="minorHAnsi"/>
        </w:rPr>
        <w:t xml:space="preserve">, information about forthcoming </w:t>
      </w:r>
      <w:r w:rsidR="00A73FD6">
        <w:rPr>
          <w:rFonts w:cstheme="minorHAnsi"/>
        </w:rPr>
        <w:t>events and committee details</w:t>
      </w:r>
      <w:r w:rsidR="0064416C">
        <w:rPr>
          <w:rStyle w:val="FootnoteReference"/>
          <w:rFonts w:cstheme="minorHAnsi"/>
        </w:rPr>
        <w:footnoteReference w:id="11"/>
      </w:r>
      <w:r w:rsidR="00A73FD6">
        <w:rPr>
          <w:rFonts w:cstheme="minorHAnsi"/>
        </w:rPr>
        <w:t>.</w:t>
      </w:r>
    </w:p>
    <w:p w14:paraId="1E6E089A" w14:textId="0BFAD459" w:rsidR="00B108E1" w:rsidRDefault="00A73FD6" w:rsidP="00166F83">
      <w:pPr>
        <w:spacing w:line="276" w:lineRule="auto"/>
        <w:jc w:val="both"/>
        <w:rPr>
          <w:rFonts w:cstheme="minorHAnsi"/>
        </w:rPr>
      </w:pPr>
      <w:r>
        <w:rPr>
          <w:rFonts w:cstheme="minorHAnsi"/>
        </w:rPr>
        <w:t xml:space="preserve">Future plans also include </w:t>
      </w:r>
      <w:r w:rsidR="00816709">
        <w:rPr>
          <w:rFonts w:cstheme="minorHAnsi"/>
        </w:rPr>
        <w:t xml:space="preserve">a renewed attempt to </w:t>
      </w:r>
      <w:r w:rsidR="001B6504">
        <w:rPr>
          <w:rFonts w:cstheme="minorHAnsi"/>
        </w:rPr>
        <w:t xml:space="preserve">expand the Group’s remit by introducing information resources </w:t>
      </w:r>
      <w:r w:rsidR="0067034D">
        <w:rPr>
          <w:rFonts w:cstheme="minorHAnsi"/>
        </w:rPr>
        <w:t xml:space="preserve">which </w:t>
      </w:r>
      <w:r w:rsidR="00722F0E">
        <w:rPr>
          <w:rFonts w:cstheme="minorHAnsi"/>
        </w:rPr>
        <w:t xml:space="preserve">do not focus on the </w:t>
      </w:r>
      <w:r w:rsidR="00495284">
        <w:rPr>
          <w:rFonts w:cstheme="minorHAnsi"/>
        </w:rPr>
        <w:t>European Union</w:t>
      </w:r>
      <w:r w:rsidR="0067034D">
        <w:rPr>
          <w:rFonts w:cstheme="minorHAnsi"/>
        </w:rPr>
        <w:t xml:space="preserve"> and yet</w:t>
      </w:r>
      <w:r w:rsidR="00495284">
        <w:rPr>
          <w:rFonts w:cstheme="minorHAnsi"/>
        </w:rPr>
        <w:t xml:space="preserve"> </w:t>
      </w:r>
      <w:r w:rsidR="00722F0E">
        <w:rPr>
          <w:rFonts w:cstheme="minorHAnsi"/>
        </w:rPr>
        <w:t xml:space="preserve">are </w:t>
      </w:r>
      <w:r w:rsidR="00495284">
        <w:rPr>
          <w:rFonts w:cstheme="minorHAnsi"/>
        </w:rPr>
        <w:t xml:space="preserve">relevant to </w:t>
      </w:r>
      <w:r w:rsidR="00C206A5">
        <w:rPr>
          <w:rFonts w:cstheme="minorHAnsi"/>
        </w:rPr>
        <w:t xml:space="preserve">the </w:t>
      </w:r>
      <w:r w:rsidR="00495284">
        <w:rPr>
          <w:rFonts w:cstheme="minorHAnsi"/>
        </w:rPr>
        <w:t>understand</w:t>
      </w:r>
      <w:r w:rsidR="00C206A5">
        <w:rPr>
          <w:rFonts w:cstheme="minorHAnsi"/>
        </w:rPr>
        <w:t>ing of</w:t>
      </w:r>
      <w:r w:rsidR="00495284">
        <w:rPr>
          <w:rFonts w:cstheme="minorHAnsi"/>
        </w:rPr>
        <w:t xml:space="preserve"> the European </w:t>
      </w:r>
      <w:r w:rsidR="007B2EF7">
        <w:rPr>
          <w:rFonts w:cstheme="minorHAnsi"/>
        </w:rPr>
        <w:t>reality. EUDUG has already had a taste of this</w:t>
      </w:r>
      <w:r w:rsidR="00C206A5">
        <w:rPr>
          <w:rFonts w:cstheme="minorHAnsi"/>
        </w:rPr>
        <w:t>,</w:t>
      </w:r>
      <w:r w:rsidR="007B2EF7">
        <w:rPr>
          <w:rFonts w:cstheme="minorHAnsi"/>
        </w:rPr>
        <w:t xml:space="preserve"> in 2018</w:t>
      </w:r>
      <w:r w:rsidR="00AB4645">
        <w:rPr>
          <w:rFonts w:cstheme="minorHAnsi"/>
        </w:rPr>
        <w:t xml:space="preserve">, when a speaker from the WTO Secretariat gave an overview of </w:t>
      </w:r>
      <w:r w:rsidR="00AB4645">
        <w:rPr>
          <w:rFonts w:cstheme="minorHAnsi"/>
          <w:i/>
          <w:iCs/>
        </w:rPr>
        <w:t>Documents Online</w:t>
      </w:r>
      <w:r w:rsidR="00AB4645">
        <w:rPr>
          <w:rFonts w:cstheme="minorHAnsi"/>
        </w:rPr>
        <w:t>, a database of WTO documentation</w:t>
      </w:r>
      <w:r w:rsidR="00661028">
        <w:rPr>
          <w:rFonts w:cstheme="minorHAnsi"/>
        </w:rPr>
        <w:t>, and in 2022, when Stefano Palermiti from the European Court of Human Rights (ECtHR)</w:t>
      </w:r>
      <w:r w:rsidR="0067034D">
        <w:rPr>
          <w:rFonts w:cstheme="minorHAnsi"/>
        </w:rPr>
        <w:t xml:space="preserve"> demonstrated the HUDOC case database. </w:t>
      </w:r>
    </w:p>
    <w:p w14:paraId="7206DC99" w14:textId="26F72DC2" w:rsidR="00E872C7" w:rsidRPr="0067034D" w:rsidRDefault="00B108E1" w:rsidP="00166F83">
      <w:pPr>
        <w:spacing w:line="276" w:lineRule="auto"/>
        <w:jc w:val="both"/>
        <w:rPr>
          <w:rFonts w:cstheme="minorHAnsi"/>
        </w:rPr>
      </w:pPr>
      <w:r>
        <w:rPr>
          <w:rFonts w:cstheme="minorHAnsi"/>
        </w:rPr>
        <w:t>Finally, t</w:t>
      </w:r>
      <w:r w:rsidR="0064416C">
        <w:rPr>
          <w:rFonts w:cstheme="minorHAnsi"/>
        </w:rPr>
        <w:t xml:space="preserve">he EUDUG Committee </w:t>
      </w:r>
      <w:r>
        <w:rPr>
          <w:rFonts w:cstheme="minorHAnsi"/>
        </w:rPr>
        <w:t>is also reflecting on how it can</w:t>
      </w:r>
      <w:r w:rsidR="0064416C">
        <w:rPr>
          <w:rFonts w:cstheme="minorHAnsi"/>
        </w:rPr>
        <w:t xml:space="preserve"> contribute to the</w:t>
      </w:r>
      <w:r w:rsidR="00D91FD7">
        <w:rPr>
          <w:rFonts w:cstheme="minorHAnsi"/>
        </w:rPr>
        <w:t xml:space="preserve"> wider</w:t>
      </w:r>
      <w:r w:rsidR="0064416C">
        <w:rPr>
          <w:rFonts w:cstheme="minorHAnsi"/>
        </w:rPr>
        <w:t xml:space="preserve"> discussion</w:t>
      </w:r>
      <w:r>
        <w:rPr>
          <w:rFonts w:cstheme="minorHAnsi"/>
        </w:rPr>
        <w:t xml:space="preserve"> </w:t>
      </w:r>
      <w:r w:rsidR="0064416C">
        <w:rPr>
          <w:rFonts w:cstheme="minorHAnsi"/>
        </w:rPr>
        <w:t>o</w:t>
      </w:r>
      <w:r w:rsidR="006F4003">
        <w:rPr>
          <w:rFonts w:cstheme="minorHAnsi"/>
        </w:rPr>
        <w:t>f</w:t>
      </w:r>
      <w:r w:rsidR="0064416C">
        <w:rPr>
          <w:rFonts w:cstheme="minorHAnsi"/>
        </w:rPr>
        <w:t xml:space="preserve"> </w:t>
      </w:r>
      <w:r w:rsidR="00D91FD7">
        <w:rPr>
          <w:rFonts w:cstheme="minorHAnsi"/>
        </w:rPr>
        <w:t>knowledge dissemination</w:t>
      </w:r>
      <w:r>
        <w:rPr>
          <w:rFonts w:cstheme="minorHAnsi"/>
        </w:rPr>
        <w:t xml:space="preserve"> in a</w:t>
      </w:r>
      <w:r w:rsidR="00D91FD7">
        <w:rPr>
          <w:rFonts w:cstheme="minorHAnsi"/>
        </w:rPr>
        <w:t>n ever-changing world of information.</w:t>
      </w:r>
      <w:r w:rsidR="00EB182A">
        <w:rPr>
          <w:rFonts w:cstheme="minorHAnsi"/>
        </w:rPr>
        <w:t xml:space="preserve"> The value of non-traditional sources of information</w:t>
      </w:r>
      <w:r w:rsidR="00E20C80">
        <w:rPr>
          <w:rFonts w:cstheme="minorHAnsi"/>
        </w:rPr>
        <w:t xml:space="preserve"> in providing a comprehensive response </w:t>
      </w:r>
      <w:r w:rsidR="001F22E5">
        <w:rPr>
          <w:rFonts w:cstheme="minorHAnsi"/>
        </w:rPr>
        <w:t xml:space="preserve">to needs is likely to be among the topics of discussion </w:t>
      </w:r>
      <w:r w:rsidR="005E3013">
        <w:rPr>
          <w:rFonts w:cstheme="minorHAnsi"/>
        </w:rPr>
        <w:t>at</w:t>
      </w:r>
      <w:r w:rsidR="001F22E5">
        <w:rPr>
          <w:rFonts w:cstheme="minorHAnsi"/>
        </w:rPr>
        <w:t xml:space="preserve"> future EUDUG meetings.</w:t>
      </w:r>
    </w:p>
    <w:sectPr w:rsidR="00E872C7" w:rsidRPr="0067034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5FA41" w14:textId="77777777" w:rsidR="00D04DA3" w:rsidRDefault="00D04DA3" w:rsidP="00B11A2B">
      <w:pPr>
        <w:spacing w:after="0" w:line="240" w:lineRule="auto"/>
      </w:pPr>
      <w:r>
        <w:separator/>
      </w:r>
    </w:p>
  </w:endnote>
  <w:endnote w:type="continuationSeparator" w:id="0">
    <w:p w14:paraId="773B54C4" w14:textId="77777777" w:rsidR="00D04DA3" w:rsidRDefault="00D04DA3" w:rsidP="00B11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0754170"/>
      <w:docPartObj>
        <w:docPartGallery w:val="Page Numbers (Bottom of Page)"/>
        <w:docPartUnique/>
      </w:docPartObj>
    </w:sdtPr>
    <w:sdtEndPr>
      <w:rPr>
        <w:noProof/>
      </w:rPr>
    </w:sdtEndPr>
    <w:sdtContent>
      <w:p w14:paraId="421958ED" w14:textId="5C704755" w:rsidR="00617509" w:rsidRDefault="006175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778E90" w14:textId="77777777" w:rsidR="00617509" w:rsidRDefault="006175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C253F" w14:textId="77777777" w:rsidR="00D04DA3" w:rsidRDefault="00D04DA3" w:rsidP="00B11A2B">
      <w:pPr>
        <w:spacing w:after="0" w:line="240" w:lineRule="auto"/>
      </w:pPr>
      <w:r>
        <w:separator/>
      </w:r>
    </w:p>
  </w:footnote>
  <w:footnote w:type="continuationSeparator" w:id="0">
    <w:p w14:paraId="145AF218" w14:textId="77777777" w:rsidR="00D04DA3" w:rsidRDefault="00D04DA3" w:rsidP="00B11A2B">
      <w:pPr>
        <w:spacing w:after="0" w:line="240" w:lineRule="auto"/>
      </w:pPr>
      <w:r>
        <w:continuationSeparator/>
      </w:r>
    </w:p>
  </w:footnote>
  <w:footnote w:id="1">
    <w:p w14:paraId="016B7370" w14:textId="11F404DD" w:rsidR="00C80EC6" w:rsidRPr="009506BD" w:rsidRDefault="005E13DC">
      <w:pPr>
        <w:pStyle w:val="FootnoteText"/>
      </w:pPr>
      <w:r>
        <w:rPr>
          <w:rStyle w:val="FootnoteReference"/>
        </w:rPr>
        <w:footnoteRef/>
      </w:r>
      <w:r>
        <w:t xml:space="preserve"> </w:t>
      </w:r>
      <w:r w:rsidR="003C3E5D" w:rsidRPr="005077E2">
        <w:rPr>
          <w:i/>
        </w:rPr>
        <w:t>UK Eurobases User Group</w:t>
      </w:r>
      <w:r w:rsidR="003C3E5D" w:rsidRPr="005077E2">
        <w:t xml:space="preserve"> </w:t>
      </w:r>
      <w:r w:rsidR="003C3E5D" w:rsidRPr="005077E2">
        <w:rPr>
          <w:i/>
        </w:rPr>
        <w:t>News</w:t>
      </w:r>
      <w:r w:rsidR="003C3E5D" w:rsidRPr="005077E2">
        <w:t>,</w:t>
      </w:r>
      <w:r w:rsidR="003C3E5D">
        <w:t xml:space="preserve"> Autumn 1992</w:t>
      </w:r>
      <w:r w:rsidR="005077E2">
        <w:t>, p.1</w:t>
      </w:r>
      <w:r w:rsidR="000B2F39">
        <w:t xml:space="preserve">; </w:t>
      </w:r>
      <w:r w:rsidR="009506BD">
        <w:t xml:space="preserve">Norman Nunn-Price, </w:t>
      </w:r>
      <w:r w:rsidR="009506BD" w:rsidRPr="009506BD">
        <w:rPr>
          <w:i/>
          <w:iCs/>
        </w:rPr>
        <w:t>The Celex database: a guide to European Community law</w:t>
      </w:r>
      <w:r w:rsidR="009506BD">
        <w:t xml:space="preserve"> (Context, 1992), p.</w:t>
      </w:r>
      <w:r w:rsidR="00255959">
        <w:t>48.</w:t>
      </w:r>
      <w:r w:rsidR="00931018">
        <w:br/>
      </w:r>
    </w:p>
  </w:footnote>
  <w:footnote w:id="2">
    <w:p w14:paraId="196EE0FF" w14:textId="596B3DBE" w:rsidR="009B4540" w:rsidRDefault="009B4540">
      <w:pPr>
        <w:pStyle w:val="FootnoteText"/>
      </w:pPr>
      <w:r>
        <w:rPr>
          <w:rStyle w:val="FootnoteReference"/>
        </w:rPr>
        <w:footnoteRef/>
      </w:r>
      <w:r>
        <w:t xml:space="preserve"> </w:t>
      </w:r>
      <w:r w:rsidR="006A1670">
        <w:t xml:space="preserve">Summaries of EUDUG </w:t>
      </w:r>
      <w:r w:rsidR="002C5038">
        <w:t>talks</w:t>
      </w:r>
      <w:r w:rsidR="006A1670">
        <w:t xml:space="preserve"> from </w:t>
      </w:r>
      <w:r w:rsidR="002C5038">
        <w:t>November 2014 onwards can be found on the EUDUG website</w:t>
      </w:r>
      <w:r w:rsidR="008E193F">
        <w:t>, at: &lt;</w:t>
      </w:r>
      <w:hyperlink r:id="rId1" w:history="1">
        <w:r w:rsidR="008E193F" w:rsidRPr="00DE3075">
          <w:rPr>
            <w:rStyle w:val="Hyperlink"/>
          </w:rPr>
          <w:t>https://eudatabaseusergroup.wordpress.com/previous-meetings/</w:t>
        </w:r>
      </w:hyperlink>
      <w:r w:rsidR="008E193F">
        <w:t>&gt;.</w:t>
      </w:r>
      <w:r w:rsidR="00931018">
        <w:br/>
      </w:r>
    </w:p>
  </w:footnote>
  <w:footnote w:id="3">
    <w:p w14:paraId="5A9F71FF" w14:textId="277BBD97" w:rsidR="00ED25E6" w:rsidRDefault="00DE020D">
      <w:pPr>
        <w:pStyle w:val="FootnoteText"/>
      </w:pPr>
      <w:r>
        <w:rPr>
          <w:rStyle w:val="FootnoteReference"/>
        </w:rPr>
        <w:footnoteRef/>
      </w:r>
      <w:r>
        <w:t xml:space="preserve"> </w:t>
      </w:r>
      <w:r w:rsidRPr="00DE020D">
        <w:t>EEA-Lex:</w:t>
      </w:r>
      <w:r w:rsidR="00931018">
        <w:t xml:space="preserve"> &lt;</w:t>
      </w:r>
      <w:hyperlink r:id="rId2" w:history="1">
        <w:r w:rsidRPr="00DE3075">
          <w:rPr>
            <w:rStyle w:val="Hyperlink"/>
          </w:rPr>
          <w:t>https://www.efta.int/eea-lex</w:t>
        </w:r>
      </w:hyperlink>
      <w:r w:rsidR="00931018">
        <w:t>&gt;</w:t>
      </w:r>
      <w:r>
        <w:t xml:space="preserve">; </w:t>
      </w:r>
      <w:r w:rsidR="00ED25E6">
        <w:t>t</w:t>
      </w:r>
      <w:r w:rsidRPr="00DE020D">
        <w:t xml:space="preserve">he EFTA Surveillance Authority Database </w:t>
      </w:r>
      <w:r w:rsidR="00931018">
        <w:t>was</w:t>
      </w:r>
      <w:r w:rsidRPr="00DE020D">
        <w:t xml:space="preserve"> at </w:t>
      </w:r>
      <w:r w:rsidR="00931018">
        <w:t>&lt;</w:t>
      </w:r>
      <w:hyperlink r:id="rId3" w:history="1">
        <w:r w:rsidR="00931018" w:rsidRPr="00DE3075">
          <w:rPr>
            <w:rStyle w:val="Hyperlink"/>
          </w:rPr>
          <w:t>http://www.eftasurv.int/internal-market-affairs/implementation-status-/</w:t>
        </w:r>
      </w:hyperlink>
      <w:r w:rsidR="00931018">
        <w:t>&gt;</w:t>
      </w:r>
      <w:r w:rsidR="00ED25E6">
        <w:t xml:space="preserve">, but has been taken down temporarily. </w:t>
      </w:r>
    </w:p>
    <w:p w14:paraId="1E8E858A" w14:textId="26996AB8" w:rsidR="00DE020D" w:rsidRDefault="00DE020D">
      <w:pPr>
        <w:pStyle w:val="FootnoteText"/>
      </w:pPr>
    </w:p>
  </w:footnote>
  <w:footnote w:id="4">
    <w:p w14:paraId="2502547A" w14:textId="669FCA69" w:rsidR="00072194" w:rsidRPr="003E7A0E" w:rsidRDefault="00072194">
      <w:pPr>
        <w:pStyle w:val="FootnoteText"/>
        <w:rPr>
          <w:lang w:val="es-ES"/>
        </w:rPr>
      </w:pPr>
      <w:r>
        <w:rPr>
          <w:rStyle w:val="FootnoteReference"/>
        </w:rPr>
        <w:footnoteRef/>
      </w:r>
      <w:r w:rsidRPr="003E7A0E">
        <w:rPr>
          <w:lang w:val="es-ES"/>
        </w:rPr>
        <w:t xml:space="preserve">  ESO: &lt;</w:t>
      </w:r>
      <w:hyperlink r:id="rId4" w:history="1">
        <w:r w:rsidRPr="003E7A0E">
          <w:rPr>
            <w:rStyle w:val="Hyperlink"/>
            <w:lang w:val="es-ES"/>
          </w:rPr>
          <w:t>https://www.europeansources.info/</w:t>
        </w:r>
      </w:hyperlink>
      <w:r w:rsidRPr="003E7A0E">
        <w:rPr>
          <w:lang w:val="es-ES"/>
        </w:rPr>
        <w:t>&gt;.</w:t>
      </w:r>
      <w:r w:rsidR="00931018" w:rsidRPr="003E7A0E">
        <w:rPr>
          <w:lang w:val="es-ES"/>
        </w:rPr>
        <w:br/>
      </w:r>
    </w:p>
  </w:footnote>
  <w:footnote w:id="5">
    <w:p w14:paraId="101F7860" w14:textId="4545E2FB" w:rsidR="008E0FC3" w:rsidRPr="003E7A0E" w:rsidRDefault="008E0FC3">
      <w:pPr>
        <w:pStyle w:val="FootnoteText"/>
        <w:rPr>
          <w:lang w:val="es-ES"/>
        </w:rPr>
      </w:pPr>
      <w:r>
        <w:rPr>
          <w:rStyle w:val="FootnoteReference"/>
        </w:rPr>
        <w:footnoteRef/>
      </w:r>
      <w:r w:rsidRPr="003E7A0E">
        <w:rPr>
          <w:lang w:val="es-ES"/>
        </w:rPr>
        <w:t xml:space="preserve"> EUR-Lex &lt;</w:t>
      </w:r>
      <w:hyperlink r:id="rId5" w:history="1">
        <w:r w:rsidRPr="003E7A0E">
          <w:rPr>
            <w:rStyle w:val="Hyperlink"/>
            <w:lang w:val="es-ES"/>
          </w:rPr>
          <w:t>https://eur-lex.europa.eu/</w:t>
        </w:r>
      </w:hyperlink>
      <w:r w:rsidRPr="003E7A0E">
        <w:rPr>
          <w:lang w:val="es-ES"/>
        </w:rPr>
        <w:t>&gt;; TED  &lt;</w:t>
      </w:r>
      <w:hyperlink r:id="rId6" w:history="1">
        <w:r w:rsidRPr="003E7A0E">
          <w:rPr>
            <w:rStyle w:val="Hyperlink"/>
            <w:lang w:val="es-ES"/>
          </w:rPr>
          <w:t>https://ted.europa.eu/</w:t>
        </w:r>
      </w:hyperlink>
      <w:r w:rsidRPr="003E7A0E">
        <w:rPr>
          <w:lang w:val="es-ES"/>
        </w:rPr>
        <w:t>&gt;; DG Competition &lt;</w:t>
      </w:r>
      <w:hyperlink r:id="rId7" w:history="1">
        <w:r w:rsidRPr="003E7A0E">
          <w:rPr>
            <w:rStyle w:val="Hyperlink"/>
            <w:lang w:val="es-ES"/>
          </w:rPr>
          <w:t>https://competition-policy.ec.europa.eu/index_en</w:t>
        </w:r>
      </w:hyperlink>
      <w:r w:rsidRPr="003E7A0E">
        <w:rPr>
          <w:lang w:val="es-ES"/>
        </w:rPr>
        <w:t>&gt;; European e-Justice Portal &lt;</w:t>
      </w:r>
      <w:hyperlink r:id="rId8" w:history="1">
        <w:r w:rsidRPr="003E7A0E">
          <w:rPr>
            <w:rStyle w:val="Hyperlink"/>
            <w:lang w:val="es-ES"/>
          </w:rPr>
          <w:t>https://e-justice.europa.eu/home?action=home</w:t>
        </w:r>
      </w:hyperlink>
      <w:r w:rsidRPr="003E7A0E">
        <w:rPr>
          <w:lang w:val="es-ES"/>
        </w:rPr>
        <w:t>&gt;; Interinstitutional Register, &lt;</w:t>
      </w:r>
      <w:hyperlink r:id="rId9" w:history="1">
        <w:r w:rsidRPr="003E7A0E">
          <w:rPr>
            <w:rStyle w:val="Hyperlink"/>
            <w:lang w:val="es-ES"/>
          </w:rPr>
          <w:t>https://webgate.ec.europa.eu/regdel/</w:t>
        </w:r>
      </w:hyperlink>
      <w:r w:rsidRPr="003E7A0E">
        <w:rPr>
          <w:lang w:val="es-ES"/>
        </w:rPr>
        <w:t>&gt;.</w:t>
      </w:r>
    </w:p>
  </w:footnote>
  <w:footnote w:id="6">
    <w:p w14:paraId="0173C964" w14:textId="279D9BFD" w:rsidR="005D1200" w:rsidRDefault="005D1200" w:rsidP="005D1200">
      <w:pPr>
        <w:pStyle w:val="FootnoteText"/>
      </w:pPr>
      <w:r>
        <w:rPr>
          <w:rStyle w:val="FootnoteReference"/>
        </w:rPr>
        <w:footnoteRef/>
      </w:r>
      <w:r>
        <w:t xml:space="preserve"> Curia: &lt;</w:t>
      </w:r>
      <w:hyperlink r:id="rId10" w:history="1">
        <w:r w:rsidRPr="00F73A3C">
          <w:rPr>
            <w:rStyle w:val="Hyperlink"/>
          </w:rPr>
          <w:t>https://curia.europa.eu/</w:t>
        </w:r>
      </w:hyperlink>
      <w:r>
        <w:t>&gt;.</w:t>
      </w:r>
    </w:p>
    <w:p w14:paraId="20C8E87A" w14:textId="5201B541" w:rsidR="005D1200" w:rsidRDefault="005D1200">
      <w:pPr>
        <w:pStyle w:val="FootnoteText"/>
      </w:pPr>
    </w:p>
  </w:footnote>
  <w:footnote w:id="7">
    <w:p w14:paraId="1CE88D7F" w14:textId="77777777" w:rsidR="00314EC3" w:rsidRDefault="00314EC3" w:rsidP="00314EC3">
      <w:pPr>
        <w:pStyle w:val="FootnoteText"/>
      </w:pPr>
      <w:r>
        <w:rPr>
          <w:rStyle w:val="FootnoteReference"/>
        </w:rPr>
        <w:footnoteRef/>
      </w:r>
      <w:r>
        <w:t xml:space="preserve"> Legislative Observatory: &lt;</w:t>
      </w:r>
      <w:hyperlink r:id="rId11" w:history="1">
        <w:r w:rsidRPr="00E14313">
          <w:rPr>
            <w:rStyle w:val="Hyperlink"/>
          </w:rPr>
          <w:t>https://oeil.secure.europarl.europa.eu/oeil/home/home.do</w:t>
        </w:r>
      </w:hyperlink>
      <w:r>
        <w:t>&gt;.</w:t>
      </w:r>
    </w:p>
    <w:p w14:paraId="51368DB4" w14:textId="2088EF85" w:rsidR="00314EC3" w:rsidRDefault="00314EC3">
      <w:pPr>
        <w:pStyle w:val="FootnoteText"/>
      </w:pPr>
    </w:p>
  </w:footnote>
  <w:footnote w:id="8">
    <w:p w14:paraId="190E0663" w14:textId="375DCDBD" w:rsidR="00A92277" w:rsidRDefault="00A92277">
      <w:pPr>
        <w:pStyle w:val="FootnoteText"/>
      </w:pPr>
      <w:r>
        <w:rPr>
          <w:rStyle w:val="FootnoteReference"/>
        </w:rPr>
        <w:footnoteRef/>
      </w:r>
      <w:r>
        <w:t xml:space="preserve"> Legislative Train Schedule: &lt;</w:t>
      </w:r>
      <w:hyperlink r:id="rId12" w:history="1">
        <w:r w:rsidRPr="00F73A3C">
          <w:rPr>
            <w:rStyle w:val="Hyperlink"/>
          </w:rPr>
          <w:t>https://www.europarl.europa.eu/legislative-train/schedule</w:t>
        </w:r>
      </w:hyperlink>
      <w:r w:rsidRPr="00F54B46">
        <w:t>&gt;.</w:t>
      </w:r>
      <w:r>
        <w:rPr>
          <w:rStyle w:val="Hyperlink"/>
        </w:rPr>
        <w:br/>
      </w:r>
    </w:p>
  </w:footnote>
  <w:footnote w:id="9">
    <w:p w14:paraId="568CC15C" w14:textId="4E514703" w:rsidR="00482D52" w:rsidRPr="00DF73A4" w:rsidRDefault="00482D52" w:rsidP="007C09DB">
      <w:pPr>
        <w:spacing w:after="0"/>
      </w:pPr>
      <w:r>
        <w:rPr>
          <w:rStyle w:val="FootnoteReference"/>
        </w:rPr>
        <w:footnoteRef/>
      </w:r>
      <w:r>
        <w:t xml:space="preserve"> </w:t>
      </w:r>
      <w:r w:rsidRPr="007F00F0">
        <w:rPr>
          <w:sz w:val="20"/>
          <w:szCs w:val="20"/>
        </w:rPr>
        <w:t xml:space="preserve">Jessica Brown, </w:t>
      </w:r>
      <w:r w:rsidRPr="007F00F0">
        <w:rPr>
          <w:i/>
          <w:iCs/>
          <w:sz w:val="20"/>
          <w:szCs w:val="20"/>
        </w:rPr>
        <w:t xml:space="preserve">Westlaw and </w:t>
      </w:r>
      <w:r w:rsidRPr="003926FC">
        <w:rPr>
          <w:i/>
          <w:iCs/>
          <w:sz w:val="20"/>
          <w:szCs w:val="20"/>
        </w:rPr>
        <w:t xml:space="preserve">Lawtel </w:t>
      </w:r>
      <w:r w:rsidRPr="00E31EB2">
        <w:rPr>
          <w:i/>
          <w:iCs/>
          <w:sz w:val="20"/>
          <w:szCs w:val="20"/>
        </w:rPr>
        <w:t>EU</w:t>
      </w:r>
      <w:r w:rsidRPr="00E31EB2">
        <w:rPr>
          <w:sz w:val="20"/>
          <w:szCs w:val="20"/>
        </w:rPr>
        <w:t xml:space="preserve"> (</w:t>
      </w:r>
      <w:r w:rsidRPr="007F00F0">
        <w:rPr>
          <w:sz w:val="20"/>
          <w:szCs w:val="20"/>
        </w:rPr>
        <w:t>January 2008);</w:t>
      </w:r>
      <w:r>
        <w:rPr>
          <w:sz w:val="20"/>
          <w:szCs w:val="20"/>
        </w:rPr>
        <w:t xml:space="preserve"> </w:t>
      </w:r>
      <w:r w:rsidRPr="001A38E1">
        <w:rPr>
          <w:sz w:val="20"/>
          <w:szCs w:val="20"/>
        </w:rPr>
        <w:t>Maylis Campbell</w:t>
      </w:r>
      <w:r>
        <w:rPr>
          <w:sz w:val="20"/>
          <w:szCs w:val="20"/>
        </w:rPr>
        <w:t xml:space="preserve"> </w:t>
      </w:r>
      <w:r w:rsidRPr="001A38E1">
        <w:rPr>
          <w:i/>
          <w:iCs/>
          <w:sz w:val="20"/>
          <w:szCs w:val="20"/>
        </w:rPr>
        <w:t>Practical Law</w:t>
      </w:r>
      <w:r w:rsidRPr="001A38E1">
        <w:rPr>
          <w:sz w:val="20"/>
          <w:szCs w:val="20"/>
        </w:rPr>
        <w:t xml:space="preserve"> </w:t>
      </w:r>
      <w:r>
        <w:rPr>
          <w:sz w:val="20"/>
          <w:szCs w:val="20"/>
        </w:rPr>
        <w:t xml:space="preserve">(July 2015); </w:t>
      </w:r>
      <w:r w:rsidRPr="007F00F0">
        <w:rPr>
          <w:sz w:val="20"/>
          <w:szCs w:val="20"/>
        </w:rPr>
        <w:t>Joanna Morris and Charlotte Brady,</w:t>
      </w:r>
      <w:r>
        <w:rPr>
          <w:sz w:val="20"/>
          <w:szCs w:val="20"/>
        </w:rPr>
        <w:t xml:space="preserve"> </w:t>
      </w:r>
      <w:r w:rsidRPr="007F00F0">
        <w:rPr>
          <w:i/>
          <w:iCs/>
          <w:sz w:val="20"/>
          <w:szCs w:val="20"/>
        </w:rPr>
        <w:t>Brexit Sources on Practical Law and Westlaw UK</w:t>
      </w:r>
      <w:r w:rsidRPr="007F00F0">
        <w:rPr>
          <w:sz w:val="20"/>
          <w:szCs w:val="20"/>
        </w:rPr>
        <w:t xml:space="preserve"> (November 2018;</w:t>
      </w:r>
      <w:r>
        <w:rPr>
          <w:sz w:val="20"/>
          <w:szCs w:val="20"/>
        </w:rPr>
        <w:t xml:space="preserve"> same speakers,</w:t>
      </w:r>
      <w:r w:rsidRPr="007F00F0">
        <w:rPr>
          <w:sz w:val="20"/>
          <w:szCs w:val="20"/>
        </w:rPr>
        <w:t xml:space="preserve"> </w:t>
      </w:r>
      <w:r w:rsidRPr="007F00F0">
        <w:rPr>
          <w:i/>
          <w:iCs/>
          <w:sz w:val="20"/>
          <w:szCs w:val="20"/>
        </w:rPr>
        <w:t>Update on Brexit-related content and tools on Westlaw and Practical Law</w:t>
      </w:r>
      <w:r w:rsidRPr="007F00F0">
        <w:rPr>
          <w:sz w:val="20"/>
          <w:szCs w:val="20"/>
        </w:rPr>
        <w:t xml:space="preserve"> (May 2021</w:t>
      </w:r>
      <w:r>
        <w:rPr>
          <w:sz w:val="20"/>
          <w:szCs w:val="20"/>
        </w:rPr>
        <w:t xml:space="preserve">); </w:t>
      </w:r>
      <w:r w:rsidRPr="007F00F0">
        <w:rPr>
          <w:sz w:val="20"/>
          <w:szCs w:val="20"/>
        </w:rPr>
        <w:t xml:space="preserve">Katherine Llewellyn, Lexis PSL, </w:t>
      </w:r>
      <w:r w:rsidRPr="007F00F0">
        <w:rPr>
          <w:i/>
          <w:iCs/>
          <w:sz w:val="20"/>
          <w:szCs w:val="20"/>
        </w:rPr>
        <w:t>Lexis PSL: EU module</w:t>
      </w:r>
      <w:r w:rsidRPr="007F00F0">
        <w:rPr>
          <w:sz w:val="20"/>
          <w:szCs w:val="20"/>
        </w:rPr>
        <w:t>, and Lewis Crofts, Mlex Market Insight</w:t>
      </w:r>
      <w:r w:rsidRPr="007F00F0">
        <w:rPr>
          <w:i/>
          <w:sz w:val="20"/>
          <w:szCs w:val="20"/>
        </w:rPr>
        <w:t>, Competition and Brexit: using MLex to stay informed</w:t>
      </w:r>
      <w:r w:rsidRPr="007F00F0">
        <w:rPr>
          <w:sz w:val="20"/>
          <w:szCs w:val="20"/>
        </w:rPr>
        <w:t xml:space="preserve"> (both November </w:t>
      </w:r>
      <w:r>
        <w:rPr>
          <w:sz w:val="20"/>
          <w:szCs w:val="20"/>
        </w:rPr>
        <w:t>2021)</w:t>
      </w:r>
      <w:r w:rsidR="0064416C">
        <w:rPr>
          <w:sz w:val="20"/>
          <w:szCs w:val="20"/>
        </w:rPr>
        <w:t>.</w:t>
      </w:r>
      <w:r w:rsidR="007C09DB">
        <w:rPr>
          <w:sz w:val="20"/>
          <w:szCs w:val="20"/>
        </w:rPr>
        <w:br/>
      </w:r>
    </w:p>
  </w:footnote>
  <w:footnote w:id="10">
    <w:p w14:paraId="3DCA889B" w14:textId="22ADA2C3" w:rsidR="00C3235B" w:rsidRPr="00C606DC" w:rsidRDefault="00C3235B" w:rsidP="00C3235B">
      <w:pPr>
        <w:tabs>
          <w:tab w:val="center" w:pos="1395"/>
        </w:tabs>
        <w:rPr>
          <w:sz w:val="20"/>
          <w:szCs w:val="20"/>
        </w:rPr>
      </w:pPr>
      <w:r>
        <w:rPr>
          <w:rStyle w:val="FootnoteReference"/>
        </w:rPr>
        <w:footnoteRef/>
      </w:r>
      <w:r>
        <w:t xml:space="preserve"> </w:t>
      </w:r>
      <w:r w:rsidRPr="00C3235B">
        <w:rPr>
          <w:sz w:val="20"/>
          <w:szCs w:val="20"/>
        </w:rPr>
        <w:t xml:space="preserve">A short report of the March 2000 meeting was published on the original EUDUG website, which </w:t>
      </w:r>
      <w:r w:rsidR="00F54B46">
        <w:rPr>
          <w:sz w:val="20"/>
          <w:szCs w:val="20"/>
        </w:rPr>
        <w:t xml:space="preserve">is still accessible, via the Wayback Machine: </w:t>
      </w:r>
      <w:r w:rsidR="0034274F">
        <w:rPr>
          <w:sz w:val="20"/>
          <w:szCs w:val="20"/>
        </w:rPr>
        <w:t xml:space="preserve"> </w:t>
      </w:r>
      <w:r w:rsidR="00C606DC">
        <w:rPr>
          <w:sz w:val="20"/>
          <w:szCs w:val="20"/>
        </w:rPr>
        <w:t xml:space="preserve"> </w:t>
      </w:r>
      <w:r w:rsidR="00C606DC" w:rsidRPr="00C606DC">
        <w:rPr>
          <w:sz w:val="20"/>
          <w:szCs w:val="20"/>
        </w:rPr>
        <w:t>&lt;</w:t>
      </w:r>
      <w:hyperlink r:id="rId13" w:history="1">
        <w:r w:rsidR="00C606DC" w:rsidRPr="00C606DC">
          <w:rPr>
            <w:rStyle w:val="Hyperlink"/>
            <w:sz w:val="20"/>
            <w:szCs w:val="20"/>
          </w:rPr>
          <w:t>https://web.archive.org/web/20010423001243fw_/http://www.eudug.org/meetings.htm</w:t>
        </w:r>
      </w:hyperlink>
      <w:r w:rsidR="00C606DC" w:rsidRPr="00C606DC">
        <w:rPr>
          <w:sz w:val="20"/>
          <w:szCs w:val="20"/>
        </w:rPr>
        <w:t>&gt;.</w:t>
      </w:r>
    </w:p>
  </w:footnote>
  <w:footnote w:id="11">
    <w:p w14:paraId="7ED97F2B" w14:textId="4F6D52AE" w:rsidR="0064416C" w:rsidRPr="0064416C" w:rsidRDefault="0064416C" w:rsidP="0064416C">
      <w:pPr>
        <w:pStyle w:val="FootnoteText"/>
        <w:rPr>
          <w:lang w:val="nl-NL"/>
        </w:rPr>
      </w:pPr>
      <w:r>
        <w:rPr>
          <w:rStyle w:val="FootnoteReference"/>
        </w:rPr>
        <w:footnoteRef/>
      </w:r>
      <w:r w:rsidRPr="0064416C">
        <w:rPr>
          <w:lang w:val="nl-NL"/>
        </w:rPr>
        <w:t xml:space="preserve"> </w:t>
      </w:r>
      <w:r w:rsidRPr="005702B0">
        <w:rPr>
          <w:lang w:val="nl-NL"/>
        </w:rPr>
        <w:t xml:space="preserve">EUDUG website: </w:t>
      </w:r>
      <w:r w:rsidR="00E45B83">
        <w:rPr>
          <w:lang w:val="nl-NL"/>
        </w:rPr>
        <w:t>&lt;</w:t>
      </w:r>
      <w:hyperlink r:id="rId14" w:history="1">
        <w:r w:rsidR="00E45B83" w:rsidRPr="00A9189F">
          <w:rPr>
            <w:rStyle w:val="Hyperlink"/>
            <w:lang w:val="nl-NL"/>
          </w:rPr>
          <w:t>https://eudatabaseusergroup.wordpress.com/</w:t>
        </w:r>
      </w:hyperlink>
      <w:r w:rsidR="00E45B83" w:rsidRPr="00E45B83">
        <w:t>&gt;.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866A6D"/>
    <w:multiLevelType w:val="hybridMultilevel"/>
    <w:tmpl w:val="8B9E94EA"/>
    <w:lvl w:ilvl="0" w:tplc="A5449528">
      <w:start w:val="24"/>
      <w:numFmt w:val="bullet"/>
      <w:lvlText w:val="-"/>
      <w:lvlJc w:val="left"/>
      <w:pPr>
        <w:ind w:left="720" w:hanging="360"/>
      </w:pPr>
      <w:rPr>
        <w:rFonts w:ascii="Calibri" w:eastAsiaTheme="minorHAnsi" w:hAnsi="Calibri" w:cs="Calibri"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489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8F5"/>
    <w:rsid w:val="00000F27"/>
    <w:rsid w:val="00003CD9"/>
    <w:rsid w:val="00003E7E"/>
    <w:rsid w:val="00005363"/>
    <w:rsid w:val="0001011F"/>
    <w:rsid w:val="00012CBD"/>
    <w:rsid w:val="0001740E"/>
    <w:rsid w:val="000178F0"/>
    <w:rsid w:val="00020D48"/>
    <w:rsid w:val="0002263D"/>
    <w:rsid w:val="00024D8A"/>
    <w:rsid w:val="00025AA3"/>
    <w:rsid w:val="00030F80"/>
    <w:rsid w:val="00032CAA"/>
    <w:rsid w:val="0004237F"/>
    <w:rsid w:val="000444C4"/>
    <w:rsid w:val="00047558"/>
    <w:rsid w:val="00047969"/>
    <w:rsid w:val="00047D99"/>
    <w:rsid w:val="000538EC"/>
    <w:rsid w:val="00054DB6"/>
    <w:rsid w:val="00055DD3"/>
    <w:rsid w:val="00061DA2"/>
    <w:rsid w:val="0006259C"/>
    <w:rsid w:val="00064926"/>
    <w:rsid w:val="00064E8B"/>
    <w:rsid w:val="00066D17"/>
    <w:rsid w:val="00072194"/>
    <w:rsid w:val="00076656"/>
    <w:rsid w:val="00087A55"/>
    <w:rsid w:val="00087B5C"/>
    <w:rsid w:val="00087DBA"/>
    <w:rsid w:val="0009026E"/>
    <w:rsid w:val="000935A4"/>
    <w:rsid w:val="00093680"/>
    <w:rsid w:val="000944DD"/>
    <w:rsid w:val="00097760"/>
    <w:rsid w:val="000A16BC"/>
    <w:rsid w:val="000A2F40"/>
    <w:rsid w:val="000A67D0"/>
    <w:rsid w:val="000B1936"/>
    <w:rsid w:val="000B2F39"/>
    <w:rsid w:val="000B34DE"/>
    <w:rsid w:val="000B4B30"/>
    <w:rsid w:val="000B7C96"/>
    <w:rsid w:val="000C2DA5"/>
    <w:rsid w:val="000C450E"/>
    <w:rsid w:val="000C70D4"/>
    <w:rsid w:val="000E01D2"/>
    <w:rsid w:val="000E40D9"/>
    <w:rsid w:val="000F349C"/>
    <w:rsid w:val="000F4138"/>
    <w:rsid w:val="000F53FD"/>
    <w:rsid w:val="00101867"/>
    <w:rsid w:val="00101AD5"/>
    <w:rsid w:val="0010346C"/>
    <w:rsid w:val="00104F4C"/>
    <w:rsid w:val="00106E34"/>
    <w:rsid w:val="0011085A"/>
    <w:rsid w:val="00112F4A"/>
    <w:rsid w:val="00113238"/>
    <w:rsid w:val="001277B4"/>
    <w:rsid w:val="00130336"/>
    <w:rsid w:val="00130754"/>
    <w:rsid w:val="00130CDB"/>
    <w:rsid w:val="0013191B"/>
    <w:rsid w:val="00133529"/>
    <w:rsid w:val="00135E22"/>
    <w:rsid w:val="001363E8"/>
    <w:rsid w:val="0013735F"/>
    <w:rsid w:val="00141456"/>
    <w:rsid w:val="00145D0A"/>
    <w:rsid w:val="00146D0B"/>
    <w:rsid w:val="001477BA"/>
    <w:rsid w:val="00153221"/>
    <w:rsid w:val="0015410E"/>
    <w:rsid w:val="00157E42"/>
    <w:rsid w:val="00160B04"/>
    <w:rsid w:val="001616FA"/>
    <w:rsid w:val="00161784"/>
    <w:rsid w:val="0016282B"/>
    <w:rsid w:val="00163B4D"/>
    <w:rsid w:val="00166F83"/>
    <w:rsid w:val="00176BAC"/>
    <w:rsid w:val="00180A6F"/>
    <w:rsid w:val="001827F7"/>
    <w:rsid w:val="00187AB9"/>
    <w:rsid w:val="0019075A"/>
    <w:rsid w:val="00190F61"/>
    <w:rsid w:val="00192D3D"/>
    <w:rsid w:val="00192EC4"/>
    <w:rsid w:val="0019406C"/>
    <w:rsid w:val="00196B9B"/>
    <w:rsid w:val="001970BC"/>
    <w:rsid w:val="001A0761"/>
    <w:rsid w:val="001A38E1"/>
    <w:rsid w:val="001A4A40"/>
    <w:rsid w:val="001B23BE"/>
    <w:rsid w:val="001B3947"/>
    <w:rsid w:val="001B5468"/>
    <w:rsid w:val="001B6504"/>
    <w:rsid w:val="001C2265"/>
    <w:rsid w:val="001C343D"/>
    <w:rsid w:val="001C5714"/>
    <w:rsid w:val="001D2C23"/>
    <w:rsid w:val="001D34DD"/>
    <w:rsid w:val="001E0E1A"/>
    <w:rsid w:val="001E47F7"/>
    <w:rsid w:val="001E55C2"/>
    <w:rsid w:val="001E6FBA"/>
    <w:rsid w:val="001F097A"/>
    <w:rsid w:val="001F0F1F"/>
    <w:rsid w:val="001F22E5"/>
    <w:rsid w:val="001F31C1"/>
    <w:rsid w:val="001F3784"/>
    <w:rsid w:val="001F3A5B"/>
    <w:rsid w:val="001F4543"/>
    <w:rsid w:val="001F58BC"/>
    <w:rsid w:val="001F7CE9"/>
    <w:rsid w:val="002003F2"/>
    <w:rsid w:val="00200793"/>
    <w:rsid w:val="00205161"/>
    <w:rsid w:val="00211765"/>
    <w:rsid w:val="00217621"/>
    <w:rsid w:val="00222A5C"/>
    <w:rsid w:val="002230A5"/>
    <w:rsid w:val="00225E33"/>
    <w:rsid w:val="00226E65"/>
    <w:rsid w:val="00235912"/>
    <w:rsid w:val="002366C6"/>
    <w:rsid w:val="002371B4"/>
    <w:rsid w:val="00237E3A"/>
    <w:rsid w:val="00242B0B"/>
    <w:rsid w:val="00243E17"/>
    <w:rsid w:val="002516C6"/>
    <w:rsid w:val="00253DB3"/>
    <w:rsid w:val="00255959"/>
    <w:rsid w:val="00255DB6"/>
    <w:rsid w:val="00257ED3"/>
    <w:rsid w:val="00263102"/>
    <w:rsid w:val="00264ABC"/>
    <w:rsid w:val="00272ABA"/>
    <w:rsid w:val="00274BBC"/>
    <w:rsid w:val="0027583D"/>
    <w:rsid w:val="00277067"/>
    <w:rsid w:val="00283552"/>
    <w:rsid w:val="002848AA"/>
    <w:rsid w:val="00284F9B"/>
    <w:rsid w:val="00285613"/>
    <w:rsid w:val="00286083"/>
    <w:rsid w:val="00287A1D"/>
    <w:rsid w:val="00293A97"/>
    <w:rsid w:val="002A0BE9"/>
    <w:rsid w:val="002A15EE"/>
    <w:rsid w:val="002A2535"/>
    <w:rsid w:val="002A2713"/>
    <w:rsid w:val="002A3238"/>
    <w:rsid w:val="002A3545"/>
    <w:rsid w:val="002A3753"/>
    <w:rsid w:val="002A4575"/>
    <w:rsid w:val="002A4C86"/>
    <w:rsid w:val="002B168B"/>
    <w:rsid w:val="002B2EE1"/>
    <w:rsid w:val="002B39FC"/>
    <w:rsid w:val="002B5A3F"/>
    <w:rsid w:val="002C145C"/>
    <w:rsid w:val="002C1F6A"/>
    <w:rsid w:val="002C2CC7"/>
    <w:rsid w:val="002C5038"/>
    <w:rsid w:val="002C630C"/>
    <w:rsid w:val="002D0B3C"/>
    <w:rsid w:val="002D1D65"/>
    <w:rsid w:val="002D2D37"/>
    <w:rsid w:val="002D40A1"/>
    <w:rsid w:val="002D41A5"/>
    <w:rsid w:val="002D41D7"/>
    <w:rsid w:val="002D7CCB"/>
    <w:rsid w:val="002E1ADF"/>
    <w:rsid w:val="002E5CB9"/>
    <w:rsid w:val="002E6F9A"/>
    <w:rsid w:val="002F555B"/>
    <w:rsid w:val="002F67D8"/>
    <w:rsid w:val="002F7023"/>
    <w:rsid w:val="00301073"/>
    <w:rsid w:val="00301BEB"/>
    <w:rsid w:val="0030477A"/>
    <w:rsid w:val="00304A29"/>
    <w:rsid w:val="003107C5"/>
    <w:rsid w:val="00311463"/>
    <w:rsid w:val="00311CF5"/>
    <w:rsid w:val="00313203"/>
    <w:rsid w:val="00313619"/>
    <w:rsid w:val="00314EC3"/>
    <w:rsid w:val="00316C53"/>
    <w:rsid w:val="00324A8C"/>
    <w:rsid w:val="00325B91"/>
    <w:rsid w:val="00327F25"/>
    <w:rsid w:val="00330468"/>
    <w:rsid w:val="00330D70"/>
    <w:rsid w:val="0033205B"/>
    <w:rsid w:val="0033249B"/>
    <w:rsid w:val="00332836"/>
    <w:rsid w:val="00333771"/>
    <w:rsid w:val="00334507"/>
    <w:rsid w:val="0034274F"/>
    <w:rsid w:val="00343F07"/>
    <w:rsid w:val="00346FD3"/>
    <w:rsid w:val="00351E44"/>
    <w:rsid w:val="00352C6F"/>
    <w:rsid w:val="00352DE7"/>
    <w:rsid w:val="00355831"/>
    <w:rsid w:val="00357924"/>
    <w:rsid w:val="003624E1"/>
    <w:rsid w:val="003626ED"/>
    <w:rsid w:val="00363221"/>
    <w:rsid w:val="00363601"/>
    <w:rsid w:val="0037075C"/>
    <w:rsid w:val="00372B85"/>
    <w:rsid w:val="00374400"/>
    <w:rsid w:val="00381926"/>
    <w:rsid w:val="00386F98"/>
    <w:rsid w:val="003926FC"/>
    <w:rsid w:val="00393F9F"/>
    <w:rsid w:val="00395101"/>
    <w:rsid w:val="003958CF"/>
    <w:rsid w:val="00397637"/>
    <w:rsid w:val="003A01A4"/>
    <w:rsid w:val="003A3C09"/>
    <w:rsid w:val="003A5D04"/>
    <w:rsid w:val="003A6421"/>
    <w:rsid w:val="003A733F"/>
    <w:rsid w:val="003B192E"/>
    <w:rsid w:val="003B3B79"/>
    <w:rsid w:val="003B4D28"/>
    <w:rsid w:val="003B5C75"/>
    <w:rsid w:val="003B7CF6"/>
    <w:rsid w:val="003C2D38"/>
    <w:rsid w:val="003C37E4"/>
    <w:rsid w:val="003C3DDD"/>
    <w:rsid w:val="003C3E26"/>
    <w:rsid w:val="003C3E5D"/>
    <w:rsid w:val="003C4F99"/>
    <w:rsid w:val="003D00C5"/>
    <w:rsid w:val="003D0CEC"/>
    <w:rsid w:val="003D30D5"/>
    <w:rsid w:val="003D3DCB"/>
    <w:rsid w:val="003D6358"/>
    <w:rsid w:val="003D765F"/>
    <w:rsid w:val="003E216A"/>
    <w:rsid w:val="003E2948"/>
    <w:rsid w:val="003E336B"/>
    <w:rsid w:val="003E4224"/>
    <w:rsid w:val="003E5C8C"/>
    <w:rsid w:val="003E68BA"/>
    <w:rsid w:val="003E7A0E"/>
    <w:rsid w:val="003F0133"/>
    <w:rsid w:val="003F0666"/>
    <w:rsid w:val="003F0B2A"/>
    <w:rsid w:val="0040053E"/>
    <w:rsid w:val="00402B58"/>
    <w:rsid w:val="0040344F"/>
    <w:rsid w:val="00405A2D"/>
    <w:rsid w:val="004134E1"/>
    <w:rsid w:val="00416BF6"/>
    <w:rsid w:val="00430B1F"/>
    <w:rsid w:val="00431140"/>
    <w:rsid w:val="004314E2"/>
    <w:rsid w:val="0043516E"/>
    <w:rsid w:val="00437498"/>
    <w:rsid w:val="00443E10"/>
    <w:rsid w:val="00443E1E"/>
    <w:rsid w:val="004449C7"/>
    <w:rsid w:val="004503CD"/>
    <w:rsid w:val="00467F76"/>
    <w:rsid w:val="00474C6A"/>
    <w:rsid w:val="0047559E"/>
    <w:rsid w:val="00475EFA"/>
    <w:rsid w:val="004801B6"/>
    <w:rsid w:val="00480F4A"/>
    <w:rsid w:val="0048263F"/>
    <w:rsid w:val="00482D52"/>
    <w:rsid w:val="00483052"/>
    <w:rsid w:val="00483B4D"/>
    <w:rsid w:val="0048449E"/>
    <w:rsid w:val="00486ACE"/>
    <w:rsid w:val="004871E2"/>
    <w:rsid w:val="004928E7"/>
    <w:rsid w:val="00492BBB"/>
    <w:rsid w:val="00495284"/>
    <w:rsid w:val="00496F82"/>
    <w:rsid w:val="004A15AB"/>
    <w:rsid w:val="004A58EB"/>
    <w:rsid w:val="004B17B7"/>
    <w:rsid w:val="004B627A"/>
    <w:rsid w:val="004C06E1"/>
    <w:rsid w:val="004C0A0E"/>
    <w:rsid w:val="004C1F92"/>
    <w:rsid w:val="004C574F"/>
    <w:rsid w:val="004C5C5A"/>
    <w:rsid w:val="004C7929"/>
    <w:rsid w:val="004D049F"/>
    <w:rsid w:val="004D1EA9"/>
    <w:rsid w:val="004D333E"/>
    <w:rsid w:val="004D57D7"/>
    <w:rsid w:val="004D6515"/>
    <w:rsid w:val="004E07C4"/>
    <w:rsid w:val="004E1F63"/>
    <w:rsid w:val="004E59E5"/>
    <w:rsid w:val="004F21BF"/>
    <w:rsid w:val="004F5C74"/>
    <w:rsid w:val="004F6A0A"/>
    <w:rsid w:val="004F6E23"/>
    <w:rsid w:val="00503AEA"/>
    <w:rsid w:val="0050468E"/>
    <w:rsid w:val="00506182"/>
    <w:rsid w:val="005077E2"/>
    <w:rsid w:val="00507A67"/>
    <w:rsid w:val="005101D3"/>
    <w:rsid w:val="005116CF"/>
    <w:rsid w:val="00521054"/>
    <w:rsid w:val="00521168"/>
    <w:rsid w:val="005255E6"/>
    <w:rsid w:val="00525FA7"/>
    <w:rsid w:val="0052765F"/>
    <w:rsid w:val="00530F05"/>
    <w:rsid w:val="00531333"/>
    <w:rsid w:val="00536D45"/>
    <w:rsid w:val="005379DB"/>
    <w:rsid w:val="00541007"/>
    <w:rsid w:val="0054627D"/>
    <w:rsid w:val="00553CD7"/>
    <w:rsid w:val="00554F0C"/>
    <w:rsid w:val="00557048"/>
    <w:rsid w:val="00567200"/>
    <w:rsid w:val="005702B0"/>
    <w:rsid w:val="00571490"/>
    <w:rsid w:val="005733AC"/>
    <w:rsid w:val="005757BD"/>
    <w:rsid w:val="00575DFF"/>
    <w:rsid w:val="005822FE"/>
    <w:rsid w:val="00586B8D"/>
    <w:rsid w:val="00591132"/>
    <w:rsid w:val="0059165A"/>
    <w:rsid w:val="00591F3E"/>
    <w:rsid w:val="0059389A"/>
    <w:rsid w:val="00597511"/>
    <w:rsid w:val="005A6276"/>
    <w:rsid w:val="005A6E2A"/>
    <w:rsid w:val="005B1B62"/>
    <w:rsid w:val="005B2CE4"/>
    <w:rsid w:val="005B36D5"/>
    <w:rsid w:val="005B47E0"/>
    <w:rsid w:val="005B5923"/>
    <w:rsid w:val="005C0CF9"/>
    <w:rsid w:val="005C30C3"/>
    <w:rsid w:val="005C5D81"/>
    <w:rsid w:val="005D0C3B"/>
    <w:rsid w:val="005D1200"/>
    <w:rsid w:val="005D28C4"/>
    <w:rsid w:val="005D2F11"/>
    <w:rsid w:val="005E0C22"/>
    <w:rsid w:val="005E13DC"/>
    <w:rsid w:val="005E1BF1"/>
    <w:rsid w:val="005E2F55"/>
    <w:rsid w:val="005E3013"/>
    <w:rsid w:val="005E379C"/>
    <w:rsid w:val="005E483D"/>
    <w:rsid w:val="005E5DDC"/>
    <w:rsid w:val="005E6DF1"/>
    <w:rsid w:val="005F2A49"/>
    <w:rsid w:val="005F2D44"/>
    <w:rsid w:val="005F3703"/>
    <w:rsid w:val="005F3D19"/>
    <w:rsid w:val="005F5FAC"/>
    <w:rsid w:val="00603585"/>
    <w:rsid w:val="00605424"/>
    <w:rsid w:val="00605AD1"/>
    <w:rsid w:val="00607D0A"/>
    <w:rsid w:val="00612363"/>
    <w:rsid w:val="00614DA5"/>
    <w:rsid w:val="00614E84"/>
    <w:rsid w:val="00617509"/>
    <w:rsid w:val="00625243"/>
    <w:rsid w:val="00625E50"/>
    <w:rsid w:val="00630B61"/>
    <w:rsid w:val="0063101D"/>
    <w:rsid w:val="00632D41"/>
    <w:rsid w:val="006351FE"/>
    <w:rsid w:val="00637BE0"/>
    <w:rsid w:val="006423CE"/>
    <w:rsid w:val="0064416C"/>
    <w:rsid w:val="00645764"/>
    <w:rsid w:val="0065224E"/>
    <w:rsid w:val="0065279A"/>
    <w:rsid w:val="0065521B"/>
    <w:rsid w:val="00655A24"/>
    <w:rsid w:val="00661028"/>
    <w:rsid w:val="00662041"/>
    <w:rsid w:val="00662E27"/>
    <w:rsid w:val="006659BA"/>
    <w:rsid w:val="00665D09"/>
    <w:rsid w:val="00666228"/>
    <w:rsid w:val="0066627F"/>
    <w:rsid w:val="00666C3A"/>
    <w:rsid w:val="0067034D"/>
    <w:rsid w:val="00670D80"/>
    <w:rsid w:val="0067262A"/>
    <w:rsid w:val="0067308E"/>
    <w:rsid w:val="00681301"/>
    <w:rsid w:val="00685622"/>
    <w:rsid w:val="00691B2B"/>
    <w:rsid w:val="00692E76"/>
    <w:rsid w:val="00693D01"/>
    <w:rsid w:val="006A1670"/>
    <w:rsid w:val="006B05E6"/>
    <w:rsid w:val="006B3FDB"/>
    <w:rsid w:val="006B531B"/>
    <w:rsid w:val="006C2EBC"/>
    <w:rsid w:val="006C5653"/>
    <w:rsid w:val="006D3473"/>
    <w:rsid w:val="006E0B3B"/>
    <w:rsid w:val="006E0F33"/>
    <w:rsid w:val="006E2537"/>
    <w:rsid w:val="006E26C6"/>
    <w:rsid w:val="006F0064"/>
    <w:rsid w:val="006F00BD"/>
    <w:rsid w:val="006F1D5A"/>
    <w:rsid w:val="006F2642"/>
    <w:rsid w:val="006F4003"/>
    <w:rsid w:val="00702505"/>
    <w:rsid w:val="00712517"/>
    <w:rsid w:val="0071352D"/>
    <w:rsid w:val="00713F50"/>
    <w:rsid w:val="00720162"/>
    <w:rsid w:val="007207A6"/>
    <w:rsid w:val="00721622"/>
    <w:rsid w:val="00722F0E"/>
    <w:rsid w:val="00723242"/>
    <w:rsid w:val="007237E1"/>
    <w:rsid w:val="00724B7C"/>
    <w:rsid w:val="0072567C"/>
    <w:rsid w:val="00727F79"/>
    <w:rsid w:val="00733661"/>
    <w:rsid w:val="00737806"/>
    <w:rsid w:val="00737A4B"/>
    <w:rsid w:val="00744F74"/>
    <w:rsid w:val="00751B41"/>
    <w:rsid w:val="00752037"/>
    <w:rsid w:val="00753EC5"/>
    <w:rsid w:val="0076066F"/>
    <w:rsid w:val="00760BD4"/>
    <w:rsid w:val="00760EDB"/>
    <w:rsid w:val="00762EED"/>
    <w:rsid w:val="00764D53"/>
    <w:rsid w:val="007725B9"/>
    <w:rsid w:val="00772DE2"/>
    <w:rsid w:val="00775B26"/>
    <w:rsid w:val="0077659A"/>
    <w:rsid w:val="00783C05"/>
    <w:rsid w:val="00786D86"/>
    <w:rsid w:val="00790722"/>
    <w:rsid w:val="007923AA"/>
    <w:rsid w:val="007A1626"/>
    <w:rsid w:val="007A25A1"/>
    <w:rsid w:val="007A3863"/>
    <w:rsid w:val="007A5B11"/>
    <w:rsid w:val="007A6183"/>
    <w:rsid w:val="007A76C5"/>
    <w:rsid w:val="007B2EF7"/>
    <w:rsid w:val="007B5656"/>
    <w:rsid w:val="007B7912"/>
    <w:rsid w:val="007C09DB"/>
    <w:rsid w:val="007C373D"/>
    <w:rsid w:val="007C3BB2"/>
    <w:rsid w:val="007C3D24"/>
    <w:rsid w:val="007C49F9"/>
    <w:rsid w:val="007C582A"/>
    <w:rsid w:val="007C776C"/>
    <w:rsid w:val="007C7912"/>
    <w:rsid w:val="007D05CF"/>
    <w:rsid w:val="007D2866"/>
    <w:rsid w:val="007D676B"/>
    <w:rsid w:val="007D7669"/>
    <w:rsid w:val="007D76FB"/>
    <w:rsid w:val="007D7F45"/>
    <w:rsid w:val="007E1742"/>
    <w:rsid w:val="007F00F0"/>
    <w:rsid w:val="007F05E2"/>
    <w:rsid w:val="007F2200"/>
    <w:rsid w:val="007F2825"/>
    <w:rsid w:val="007F34FA"/>
    <w:rsid w:val="007F38D5"/>
    <w:rsid w:val="007F79A9"/>
    <w:rsid w:val="0080230A"/>
    <w:rsid w:val="0080407E"/>
    <w:rsid w:val="00805F47"/>
    <w:rsid w:val="0081135F"/>
    <w:rsid w:val="00814000"/>
    <w:rsid w:val="00814767"/>
    <w:rsid w:val="00816709"/>
    <w:rsid w:val="00817B67"/>
    <w:rsid w:val="00822683"/>
    <w:rsid w:val="00823CF6"/>
    <w:rsid w:val="008264F2"/>
    <w:rsid w:val="00827185"/>
    <w:rsid w:val="008308F6"/>
    <w:rsid w:val="00830AE6"/>
    <w:rsid w:val="00831111"/>
    <w:rsid w:val="008319F8"/>
    <w:rsid w:val="00832A47"/>
    <w:rsid w:val="00832C34"/>
    <w:rsid w:val="008337DF"/>
    <w:rsid w:val="00833F99"/>
    <w:rsid w:val="008377C5"/>
    <w:rsid w:val="00840147"/>
    <w:rsid w:val="0084376B"/>
    <w:rsid w:val="00845C46"/>
    <w:rsid w:val="00846337"/>
    <w:rsid w:val="00846831"/>
    <w:rsid w:val="00847106"/>
    <w:rsid w:val="00850D29"/>
    <w:rsid w:val="00853C4C"/>
    <w:rsid w:val="008568C1"/>
    <w:rsid w:val="008606AB"/>
    <w:rsid w:val="008616D5"/>
    <w:rsid w:val="00861CD5"/>
    <w:rsid w:val="008635F4"/>
    <w:rsid w:val="008701C6"/>
    <w:rsid w:val="00877F17"/>
    <w:rsid w:val="00880256"/>
    <w:rsid w:val="008868F4"/>
    <w:rsid w:val="00890ADA"/>
    <w:rsid w:val="008924D8"/>
    <w:rsid w:val="008A1D7B"/>
    <w:rsid w:val="008A2516"/>
    <w:rsid w:val="008A3C92"/>
    <w:rsid w:val="008A427E"/>
    <w:rsid w:val="008A60A2"/>
    <w:rsid w:val="008B0EF5"/>
    <w:rsid w:val="008B1006"/>
    <w:rsid w:val="008B1D0E"/>
    <w:rsid w:val="008B45AC"/>
    <w:rsid w:val="008B6191"/>
    <w:rsid w:val="008B6723"/>
    <w:rsid w:val="008C0879"/>
    <w:rsid w:val="008C1956"/>
    <w:rsid w:val="008C25D5"/>
    <w:rsid w:val="008D27EC"/>
    <w:rsid w:val="008D7C3D"/>
    <w:rsid w:val="008E0BA6"/>
    <w:rsid w:val="008E0FC3"/>
    <w:rsid w:val="008E118C"/>
    <w:rsid w:val="008E193F"/>
    <w:rsid w:val="008E2041"/>
    <w:rsid w:val="008E311C"/>
    <w:rsid w:val="008E54F6"/>
    <w:rsid w:val="008E793F"/>
    <w:rsid w:val="008F1EEB"/>
    <w:rsid w:val="008F34CF"/>
    <w:rsid w:val="008F6A67"/>
    <w:rsid w:val="00901A99"/>
    <w:rsid w:val="009046F4"/>
    <w:rsid w:val="00906833"/>
    <w:rsid w:val="0090696D"/>
    <w:rsid w:val="0090785C"/>
    <w:rsid w:val="009102B2"/>
    <w:rsid w:val="00910F9B"/>
    <w:rsid w:val="00911635"/>
    <w:rsid w:val="009138F5"/>
    <w:rsid w:val="009143C8"/>
    <w:rsid w:val="00914EA0"/>
    <w:rsid w:val="0092107B"/>
    <w:rsid w:val="00922CAC"/>
    <w:rsid w:val="009234DE"/>
    <w:rsid w:val="00924B56"/>
    <w:rsid w:val="00927DF2"/>
    <w:rsid w:val="00931018"/>
    <w:rsid w:val="009335B6"/>
    <w:rsid w:val="00944B59"/>
    <w:rsid w:val="00945FD1"/>
    <w:rsid w:val="009465CC"/>
    <w:rsid w:val="0094795D"/>
    <w:rsid w:val="00947AEA"/>
    <w:rsid w:val="009506BD"/>
    <w:rsid w:val="00950D57"/>
    <w:rsid w:val="00951346"/>
    <w:rsid w:val="009518F1"/>
    <w:rsid w:val="00951B46"/>
    <w:rsid w:val="00967241"/>
    <w:rsid w:val="00970BC7"/>
    <w:rsid w:val="0097334C"/>
    <w:rsid w:val="009820E7"/>
    <w:rsid w:val="00982B4B"/>
    <w:rsid w:val="00991446"/>
    <w:rsid w:val="00992150"/>
    <w:rsid w:val="009955D2"/>
    <w:rsid w:val="00995D57"/>
    <w:rsid w:val="0099675F"/>
    <w:rsid w:val="009A1D34"/>
    <w:rsid w:val="009A3F0F"/>
    <w:rsid w:val="009A578E"/>
    <w:rsid w:val="009B4540"/>
    <w:rsid w:val="009B56D9"/>
    <w:rsid w:val="009B5B76"/>
    <w:rsid w:val="009B5FE5"/>
    <w:rsid w:val="009B7FAB"/>
    <w:rsid w:val="009C2AC1"/>
    <w:rsid w:val="009C4E5F"/>
    <w:rsid w:val="009C55F8"/>
    <w:rsid w:val="009C5673"/>
    <w:rsid w:val="009D1FE5"/>
    <w:rsid w:val="009D2D5B"/>
    <w:rsid w:val="009D4FB5"/>
    <w:rsid w:val="009D7E90"/>
    <w:rsid w:val="009E25F0"/>
    <w:rsid w:val="009E4FA2"/>
    <w:rsid w:val="009E5063"/>
    <w:rsid w:val="009E5718"/>
    <w:rsid w:val="009E6307"/>
    <w:rsid w:val="009F09B1"/>
    <w:rsid w:val="009F4B57"/>
    <w:rsid w:val="009F6AFE"/>
    <w:rsid w:val="00A01988"/>
    <w:rsid w:val="00A13051"/>
    <w:rsid w:val="00A131D5"/>
    <w:rsid w:val="00A153FA"/>
    <w:rsid w:val="00A1553E"/>
    <w:rsid w:val="00A17529"/>
    <w:rsid w:val="00A2600C"/>
    <w:rsid w:val="00A27B54"/>
    <w:rsid w:val="00A3284D"/>
    <w:rsid w:val="00A348F7"/>
    <w:rsid w:val="00A35E59"/>
    <w:rsid w:val="00A37136"/>
    <w:rsid w:val="00A4301D"/>
    <w:rsid w:val="00A4334B"/>
    <w:rsid w:val="00A46BB1"/>
    <w:rsid w:val="00A474BB"/>
    <w:rsid w:val="00A47C63"/>
    <w:rsid w:val="00A5252F"/>
    <w:rsid w:val="00A54928"/>
    <w:rsid w:val="00A54E32"/>
    <w:rsid w:val="00A54FA0"/>
    <w:rsid w:val="00A57A36"/>
    <w:rsid w:val="00A62FCE"/>
    <w:rsid w:val="00A65510"/>
    <w:rsid w:val="00A73961"/>
    <w:rsid w:val="00A73FD6"/>
    <w:rsid w:val="00A82316"/>
    <w:rsid w:val="00A850BB"/>
    <w:rsid w:val="00A874ED"/>
    <w:rsid w:val="00A92277"/>
    <w:rsid w:val="00A949DF"/>
    <w:rsid w:val="00A94DD9"/>
    <w:rsid w:val="00A9567E"/>
    <w:rsid w:val="00A95AD9"/>
    <w:rsid w:val="00A960F6"/>
    <w:rsid w:val="00AA7716"/>
    <w:rsid w:val="00AA78DD"/>
    <w:rsid w:val="00AB270A"/>
    <w:rsid w:val="00AB2EF7"/>
    <w:rsid w:val="00AB33A5"/>
    <w:rsid w:val="00AB4645"/>
    <w:rsid w:val="00AB4B24"/>
    <w:rsid w:val="00AB58B8"/>
    <w:rsid w:val="00AB754C"/>
    <w:rsid w:val="00AC15E8"/>
    <w:rsid w:val="00AC1E75"/>
    <w:rsid w:val="00AC62B5"/>
    <w:rsid w:val="00AD2C44"/>
    <w:rsid w:val="00AD5413"/>
    <w:rsid w:val="00AE1C32"/>
    <w:rsid w:val="00AE223E"/>
    <w:rsid w:val="00AE4226"/>
    <w:rsid w:val="00AE5D4F"/>
    <w:rsid w:val="00AF3387"/>
    <w:rsid w:val="00AF62CC"/>
    <w:rsid w:val="00AF6C23"/>
    <w:rsid w:val="00B0110D"/>
    <w:rsid w:val="00B01E59"/>
    <w:rsid w:val="00B06569"/>
    <w:rsid w:val="00B06943"/>
    <w:rsid w:val="00B06D9C"/>
    <w:rsid w:val="00B108E1"/>
    <w:rsid w:val="00B11A2B"/>
    <w:rsid w:val="00B12804"/>
    <w:rsid w:val="00B14333"/>
    <w:rsid w:val="00B16090"/>
    <w:rsid w:val="00B1730F"/>
    <w:rsid w:val="00B1738D"/>
    <w:rsid w:val="00B17983"/>
    <w:rsid w:val="00B2395F"/>
    <w:rsid w:val="00B25A30"/>
    <w:rsid w:val="00B25C05"/>
    <w:rsid w:val="00B3001B"/>
    <w:rsid w:val="00B35314"/>
    <w:rsid w:val="00B4049E"/>
    <w:rsid w:val="00B40E9B"/>
    <w:rsid w:val="00B41B17"/>
    <w:rsid w:val="00B42DEC"/>
    <w:rsid w:val="00B5197F"/>
    <w:rsid w:val="00B54C4D"/>
    <w:rsid w:val="00B54D55"/>
    <w:rsid w:val="00B55CAD"/>
    <w:rsid w:val="00B5783A"/>
    <w:rsid w:val="00B6133C"/>
    <w:rsid w:val="00B6217A"/>
    <w:rsid w:val="00B648AD"/>
    <w:rsid w:val="00B651B8"/>
    <w:rsid w:val="00B65457"/>
    <w:rsid w:val="00B70533"/>
    <w:rsid w:val="00B70A51"/>
    <w:rsid w:val="00B7225F"/>
    <w:rsid w:val="00B7234A"/>
    <w:rsid w:val="00B7267F"/>
    <w:rsid w:val="00B7288E"/>
    <w:rsid w:val="00B756C2"/>
    <w:rsid w:val="00B76B76"/>
    <w:rsid w:val="00B804E4"/>
    <w:rsid w:val="00B80B4A"/>
    <w:rsid w:val="00B83C2D"/>
    <w:rsid w:val="00B851FB"/>
    <w:rsid w:val="00B9230F"/>
    <w:rsid w:val="00B96223"/>
    <w:rsid w:val="00BA3D6D"/>
    <w:rsid w:val="00BA4193"/>
    <w:rsid w:val="00BB0B3E"/>
    <w:rsid w:val="00BB2C6C"/>
    <w:rsid w:val="00BB6460"/>
    <w:rsid w:val="00BC1C36"/>
    <w:rsid w:val="00BC46A7"/>
    <w:rsid w:val="00BD341C"/>
    <w:rsid w:val="00BD61AB"/>
    <w:rsid w:val="00BE01CD"/>
    <w:rsid w:val="00BE11E1"/>
    <w:rsid w:val="00BE3635"/>
    <w:rsid w:val="00BF1179"/>
    <w:rsid w:val="00BF47E1"/>
    <w:rsid w:val="00BF4976"/>
    <w:rsid w:val="00BF4E40"/>
    <w:rsid w:val="00BF52BB"/>
    <w:rsid w:val="00BF6B64"/>
    <w:rsid w:val="00BF70F2"/>
    <w:rsid w:val="00C01B98"/>
    <w:rsid w:val="00C04449"/>
    <w:rsid w:val="00C1187B"/>
    <w:rsid w:val="00C12D75"/>
    <w:rsid w:val="00C206A5"/>
    <w:rsid w:val="00C23A1E"/>
    <w:rsid w:val="00C24039"/>
    <w:rsid w:val="00C26363"/>
    <w:rsid w:val="00C3235B"/>
    <w:rsid w:val="00C409BB"/>
    <w:rsid w:val="00C42B35"/>
    <w:rsid w:val="00C4455C"/>
    <w:rsid w:val="00C478E5"/>
    <w:rsid w:val="00C5448F"/>
    <w:rsid w:val="00C5607D"/>
    <w:rsid w:val="00C5642F"/>
    <w:rsid w:val="00C5770C"/>
    <w:rsid w:val="00C57B4F"/>
    <w:rsid w:val="00C606DC"/>
    <w:rsid w:val="00C610F7"/>
    <w:rsid w:val="00C727C6"/>
    <w:rsid w:val="00C74477"/>
    <w:rsid w:val="00C74D6B"/>
    <w:rsid w:val="00C80EC6"/>
    <w:rsid w:val="00C82A36"/>
    <w:rsid w:val="00C84017"/>
    <w:rsid w:val="00C86A34"/>
    <w:rsid w:val="00C87A0C"/>
    <w:rsid w:val="00C91352"/>
    <w:rsid w:val="00C91400"/>
    <w:rsid w:val="00C91C1B"/>
    <w:rsid w:val="00C930B5"/>
    <w:rsid w:val="00C93C8D"/>
    <w:rsid w:val="00C97CBE"/>
    <w:rsid w:val="00CA02D5"/>
    <w:rsid w:val="00CA18EE"/>
    <w:rsid w:val="00CA7093"/>
    <w:rsid w:val="00CA7CA7"/>
    <w:rsid w:val="00CA7DCB"/>
    <w:rsid w:val="00CB31F3"/>
    <w:rsid w:val="00CB3FB3"/>
    <w:rsid w:val="00CB4D62"/>
    <w:rsid w:val="00CB6942"/>
    <w:rsid w:val="00CC3A89"/>
    <w:rsid w:val="00CC5268"/>
    <w:rsid w:val="00CD337E"/>
    <w:rsid w:val="00CD378D"/>
    <w:rsid w:val="00CE0014"/>
    <w:rsid w:val="00CE1EC1"/>
    <w:rsid w:val="00CF243D"/>
    <w:rsid w:val="00D01AB7"/>
    <w:rsid w:val="00D04DA3"/>
    <w:rsid w:val="00D079B1"/>
    <w:rsid w:val="00D11E2D"/>
    <w:rsid w:val="00D12D03"/>
    <w:rsid w:val="00D17DE9"/>
    <w:rsid w:val="00D21275"/>
    <w:rsid w:val="00D230DA"/>
    <w:rsid w:val="00D25D0E"/>
    <w:rsid w:val="00D302A9"/>
    <w:rsid w:val="00D3295E"/>
    <w:rsid w:val="00D32A40"/>
    <w:rsid w:val="00D335B0"/>
    <w:rsid w:val="00D365B6"/>
    <w:rsid w:val="00D36957"/>
    <w:rsid w:val="00D37CA7"/>
    <w:rsid w:val="00D424F2"/>
    <w:rsid w:val="00D42FE2"/>
    <w:rsid w:val="00D43868"/>
    <w:rsid w:val="00D44FDE"/>
    <w:rsid w:val="00D45CF2"/>
    <w:rsid w:val="00D50C9D"/>
    <w:rsid w:val="00D52330"/>
    <w:rsid w:val="00D5514B"/>
    <w:rsid w:val="00D60FAB"/>
    <w:rsid w:val="00D61711"/>
    <w:rsid w:val="00D625D2"/>
    <w:rsid w:val="00D704DB"/>
    <w:rsid w:val="00D72031"/>
    <w:rsid w:val="00D73220"/>
    <w:rsid w:val="00D74E2E"/>
    <w:rsid w:val="00D82F48"/>
    <w:rsid w:val="00D85519"/>
    <w:rsid w:val="00D86D64"/>
    <w:rsid w:val="00D90606"/>
    <w:rsid w:val="00D91A4D"/>
    <w:rsid w:val="00D91FD7"/>
    <w:rsid w:val="00D96179"/>
    <w:rsid w:val="00D973D3"/>
    <w:rsid w:val="00DA155C"/>
    <w:rsid w:val="00DA3AD5"/>
    <w:rsid w:val="00DA414D"/>
    <w:rsid w:val="00DB1704"/>
    <w:rsid w:val="00DB5158"/>
    <w:rsid w:val="00DC02A6"/>
    <w:rsid w:val="00DD5B45"/>
    <w:rsid w:val="00DD79DA"/>
    <w:rsid w:val="00DE020D"/>
    <w:rsid w:val="00DE0B08"/>
    <w:rsid w:val="00DE1C9B"/>
    <w:rsid w:val="00DE4227"/>
    <w:rsid w:val="00DE4C10"/>
    <w:rsid w:val="00DF0368"/>
    <w:rsid w:val="00DF062E"/>
    <w:rsid w:val="00DF10ED"/>
    <w:rsid w:val="00DF1B91"/>
    <w:rsid w:val="00DF21D6"/>
    <w:rsid w:val="00DF2D06"/>
    <w:rsid w:val="00DF3870"/>
    <w:rsid w:val="00DF53D7"/>
    <w:rsid w:val="00DF6719"/>
    <w:rsid w:val="00DF73A4"/>
    <w:rsid w:val="00E11E87"/>
    <w:rsid w:val="00E153AE"/>
    <w:rsid w:val="00E20C80"/>
    <w:rsid w:val="00E221CD"/>
    <w:rsid w:val="00E2283B"/>
    <w:rsid w:val="00E23781"/>
    <w:rsid w:val="00E257BB"/>
    <w:rsid w:val="00E279DD"/>
    <w:rsid w:val="00E31311"/>
    <w:rsid w:val="00E31EB2"/>
    <w:rsid w:val="00E4189D"/>
    <w:rsid w:val="00E41B30"/>
    <w:rsid w:val="00E4299C"/>
    <w:rsid w:val="00E457F7"/>
    <w:rsid w:val="00E45B83"/>
    <w:rsid w:val="00E47C74"/>
    <w:rsid w:val="00E51F29"/>
    <w:rsid w:val="00E528B4"/>
    <w:rsid w:val="00E54E99"/>
    <w:rsid w:val="00E5547C"/>
    <w:rsid w:val="00E57C89"/>
    <w:rsid w:val="00E61BD5"/>
    <w:rsid w:val="00E63A33"/>
    <w:rsid w:val="00E653C3"/>
    <w:rsid w:val="00E65493"/>
    <w:rsid w:val="00E702B3"/>
    <w:rsid w:val="00E7218B"/>
    <w:rsid w:val="00E72864"/>
    <w:rsid w:val="00E75D64"/>
    <w:rsid w:val="00E80220"/>
    <w:rsid w:val="00E812FD"/>
    <w:rsid w:val="00E8579E"/>
    <w:rsid w:val="00E8594F"/>
    <w:rsid w:val="00E872C7"/>
    <w:rsid w:val="00E90FBB"/>
    <w:rsid w:val="00E92F12"/>
    <w:rsid w:val="00EA33D8"/>
    <w:rsid w:val="00EA6AF7"/>
    <w:rsid w:val="00EB030D"/>
    <w:rsid w:val="00EB182A"/>
    <w:rsid w:val="00EB1DEB"/>
    <w:rsid w:val="00EB4A4D"/>
    <w:rsid w:val="00EB5865"/>
    <w:rsid w:val="00EB5AB7"/>
    <w:rsid w:val="00EB5EB0"/>
    <w:rsid w:val="00EC030A"/>
    <w:rsid w:val="00EC099F"/>
    <w:rsid w:val="00EC18B3"/>
    <w:rsid w:val="00EC33B3"/>
    <w:rsid w:val="00EC6F66"/>
    <w:rsid w:val="00EC7AD8"/>
    <w:rsid w:val="00EC7DE2"/>
    <w:rsid w:val="00ED25E6"/>
    <w:rsid w:val="00ED49C6"/>
    <w:rsid w:val="00EE09B8"/>
    <w:rsid w:val="00EE41AA"/>
    <w:rsid w:val="00EE74C5"/>
    <w:rsid w:val="00EF750D"/>
    <w:rsid w:val="00EF761A"/>
    <w:rsid w:val="00F0288A"/>
    <w:rsid w:val="00F06741"/>
    <w:rsid w:val="00F11702"/>
    <w:rsid w:val="00F119FF"/>
    <w:rsid w:val="00F11B39"/>
    <w:rsid w:val="00F13CFB"/>
    <w:rsid w:val="00F16C65"/>
    <w:rsid w:val="00F20C3E"/>
    <w:rsid w:val="00F25C2D"/>
    <w:rsid w:val="00F26138"/>
    <w:rsid w:val="00F332B0"/>
    <w:rsid w:val="00F3372D"/>
    <w:rsid w:val="00F44CAE"/>
    <w:rsid w:val="00F4769C"/>
    <w:rsid w:val="00F53370"/>
    <w:rsid w:val="00F5437C"/>
    <w:rsid w:val="00F54720"/>
    <w:rsid w:val="00F54B46"/>
    <w:rsid w:val="00F550E2"/>
    <w:rsid w:val="00F56854"/>
    <w:rsid w:val="00F57347"/>
    <w:rsid w:val="00F57663"/>
    <w:rsid w:val="00F60EF5"/>
    <w:rsid w:val="00F61509"/>
    <w:rsid w:val="00F63D9D"/>
    <w:rsid w:val="00F7123A"/>
    <w:rsid w:val="00F8058E"/>
    <w:rsid w:val="00F84C75"/>
    <w:rsid w:val="00F86B67"/>
    <w:rsid w:val="00F90C57"/>
    <w:rsid w:val="00F92A78"/>
    <w:rsid w:val="00F95D99"/>
    <w:rsid w:val="00F96937"/>
    <w:rsid w:val="00FA2610"/>
    <w:rsid w:val="00FA2B51"/>
    <w:rsid w:val="00FA3BD6"/>
    <w:rsid w:val="00FB0B71"/>
    <w:rsid w:val="00FB297A"/>
    <w:rsid w:val="00FB4832"/>
    <w:rsid w:val="00FB625A"/>
    <w:rsid w:val="00FC262F"/>
    <w:rsid w:val="00FC2EB5"/>
    <w:rsid w:val="00FC4B5B"/>
    <w:rsid w:val="00FC676A"/>
    <w:rsid w:val="00FC6CF1"/>
    <w:rsid w:val="00FD2615"/>
    <w:rsid w:val="00FD4A3C"/>
    <w:rsid w:val="00FE15B6"/>
    <w:rsid w:val="00FE44B8"/>
    <w:rsid w:val="00FF3275"/>
    <w:rsid w:val="00FF395D"/>
    <w:rsid w:val="00FF39B9"/>
    <w:rsid w:val="00FF567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C4F3C"/>
  <w15:chartTrackingRefBased/>
  <w15:docId w15:val="{0EE82B7D-0C00-408B-A844-C8D45A37A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9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776C"/>
    <w:rPr>
      <w:color w:val="0563C1" w:themeColor="hyperlink"/>
      <w:u w:val="single"/>
    </w:rPr>
  </w:style>
  <w:style w:type="character" w:styleId="UnresolvedMention">
    <w:name w:val="Unresolved Mention"/>
    <w:basedOn w:val="DefaultParagraphFont"/>
    <w:uiPriority w:val="99"/>
    <w:semiHidden/>
    <w:unhideWhenUsed/>
    <w:rsid w:val="007C776C"/>
    <w:rPr>
      <w:color w:val="605E5C"/>
      <w:shd w:val="clear" w:color="auto" w:fill="E1DFDD"/>
    </w:rPr>
  </w:style>
  <w:style w:type="table" w:styleId="TableGrid">
    <w:name w:val="Table Grid"/>
    <w:basedOn w:val="TableNormal"/>
    <w:uiPriority w:val="39"/>
    <w:rsid w:val="008E1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BA3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BA3D6D"/>
    <w:rPr>
      <w:rFonts w:ascii="Courier New" w:eastAsia="Times New Roman" w:hAnsi="Courier New" w:cs="Courier New"/>
      <w:sz w:val="20"/>
      <w:szCs w:val="20"/>
      <w:lang w:eastAsia="en-GB"/>
    </w:rPr>
  </w:style>
  <w:style w:type="paragraph" w:styleId="BodyText">
    <w:name w:val="Body Text"/>
    <w:basedOn w:val="Normal"/>
    <w:link w:val="BodyTextChar"/>
    <w:uiPriority w:val="99"/>
    <w:unhideWhenUsed/>
    <w:rsid w:val="000B7C96"/>
    <w:pPr>
      <w:spacing w:after="120" w:line="240" w:lineRule="auto"/>
    </w:pPr>
    <w:rPr>
      <w:rFonts w:ascii="Times New Roman" w:hAnsi="Times New Roman" w:cs="Times New Roman"/>
      <w:sz w:val="24"/>
      <w:szCs w:val="24"/>
      <w:lang w:eastAsia="en-GB"/>
    </w:rPr>
  </w:style>
  <w:style w:type="character" w:customStyle="1" w:styleId="BodyTextChar">
    <w:name w:val="Body Text Char"/>
    <w:basedOn w:val="DefaultParagraphFont"/>
    <w:link w:val="BodyText"/>
    <w:uiPriority w:val="99"/>
    <w:rsid w:val="000B7C96"/>
    <w:rPr>
      <w:rFonts w:ascii="Times New Roman" w:hAnsi="Times New Roman" w:cs="Times New Roman"/>
      <w:sz w:val="24"/>
      <w:szCs w:val="24"/>
      <w:lang w:eastAsia="en-GB"/>
    </w:rPr>
  </w:style>
  <w:style w:type="paragraph" w:styleId="ListParagraph">
    <w:name w:val="List Paragraph"/>
    <w:basedOn w:val="Normal"/>
    <w:uiPriority w:val="34"/>
    <w:qFormat/>
    <w:rsid w:val="00F7123A"/>
    <w:pPr>
      <w:ind w:left="720"/>
      <w:contextualSpacing/>
    </w:pPr>
  </w:style>
  <w:style w:type="paragraph" w:styleId="FootnoteText">
    <w:name w:val="footnote text"/>
    <w:basedOn w:val="Normal"/>
    <w:link w:val="FootnoteTextChar"/>
    <w:uiPriority w:val="99"/>
    <w:unhideWhenUsed/>
    <w:rsid w:val="00B11A2B"/>
    <w:pPr>
      <w:spacing w:after="0" w:line="240" w:lineRule="auto"/>
    </w:pPr>
    <w:rPr>
      <w:sz w:val="20"/>
      <w:szCs w:val="20"/>
    </w:rPr>
  </w:style>
  <w:style w:type="character" w:customStyle="1" w:styleId="FootnoteTextChar">
    <w:name w:val="Footnote Text Char"/>
    <w:basedOn w:val="DefaultParagraphFont"/>
    <w:link w:val="FootnoteText"/>
    <w:uiPriority w:val="99"/>
    <w:rsid w:val="00B11A2B"/>
    <w:rPr>
      <w:sz w:val="20"/>
      <w:szCs w:val="20"/>
    </w:rPr>
  </w:style>
  <w:style w:type="character" w:styleId="FootnoteReference">
    <w:name w:val="footnote reference"/>
    <w:basedOn w:val="DefaultParagraphFont"/>
    <w:uiPriority w:val="99"/>
    <w:semiHidden/>
    <w:unhideWhenUsed/>
    <w:rsid w:val="00B11A2B"/>
    <w:rPr>
      <w:vertAlign w:val="superscript"/>
    </w:rPr>
  </w:style>
  <w:style w:type="character" w:styleId="FollowedHyperlink">
    <w:name w:val="FollowedHyperlink"/>
    <w:basedOn w:val="DefaultParagraphFont"/>
    <w:uiPriority w:val="99"/>
    <w:semiHidden/>
    <w:unhideWhenUsed/>
    <w:rsid w:val="00076656"/>
    <w:rPr>
      <w:color w:val="954F72" w:themeColor="followedHyperlink"/>
      <w:u w:val="single"/>
    </w:rPr>
  </w:style>
  <w:style w:type="paragraph" w:styleId="Header">
    <w:name w:val="header"/>
    <w:basedOn w:val="Normal"/>
    <w:link w:val="HeaderChar"/>
    <w:uiPriority w:val="99"/>
    <w:unhideWhenUsed/>
    <w:rsid w:val="006175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7509"/>
  </w:style>
  <w:style w:type="paragraph" w:styleId="Footer">
    <w:name w:val="footer"/>
    <w:basedOn w:val="Normal"/>
    <w:link w:val="FooterChar"/>
    <w:uiPriority w:val="99"/>
    <w:unhideWhenUsed/>
    <w:rsid w:val="006175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7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789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justice.europa.eu/home?action=home" TargetMode="External"/><Relationship Id="rId13" Type="http://schemas.openxmlformats.org/officeDocument/2006/relationships/hyperlink" Target="https://web.archive.org/web/20010423001243fw_/http://www.eudug.org/meetings.htm" TargetMode="External"/><Relationship Id="rId3" Type="http://schemas.openxmlformats.org/officeDocument/2006/relationships/hyperlink" Target="http://www.eftasurv.int/internal-market-affairs/implementation-status-/" TargetMode="External"/><Relationship Id="rId7" Type="http://schemas.openxmlformats.org/officeDocument/2006/relationships/hyperlink" Target="https://competition-policy.ec.europa.eu/index_en" TargetMode="External"/><Relationship Id="rId12" Type="http://schemas.openxmlformats.org/officeDocument/2006/relationships/hyperlink" Target="https://www.europarl.europa.eu/legislative-train/schedule" TargetMode="External"/><Relationship Id="rId2" Type="http://schemas.openxmlformats.org/officeDocument/2006/relationships/hyperlink" Target="https://www.efta.int/eea-lex" TargetMode="External"/><Relationship Id="rId1" Type="http://schemas.openxmlformats.org/officeDocument/2006/relationships/hyperlink" Target="https://eudatabaseusergroup.wordpress.com/previous-meetings/" TargetMode="External"/><Relationship Id="rId6" Type="http://schemas.openxmlformats.org/officeDocument/2006/relationships/hyperlink" Target="https://ted.europa.eu/" TargetMode="External"/><Relationship Id="rId11" Type="http://schemas.openxmlformats.org/officeDocument/2006/relationships/hyperlink" Target="https://oeil.secure.europarl.europa.eu/oeil/home/home.do" TargetMode="External"/><Relationship Id="rId5" Type="http://schemas.openxmlformats.org/officeDocument/2006/relationships/hyperlink" Target="https://eur-lex.europa.eu/" TargetMode="External"/><Relationship Id="rId10" Type="http://schemas.openxmlformats.org/officeDocument/2006/relationships/hyperlink" Target="https://curia.europa.eu/j" TargetMode="External"/><Relationship Id="rId4" Type="http://schemas.openxmlformats.org/officeDocument/2006/relationships/hyperlink" Target="https://www.europeansources.info/" TargetMode="External"/><Relationship Id="rId9" Type="http://schemas.openxmlformats.org/officeDocument/2006/relationships/hyperlink" Target="https://webgate.ec.europa.eu/regdel/" TargetMode="External"/><Relationship Id="rId14" Type="http://schemas.openxmlformats.org/officeDocument/2006/relationships/hyperlink" Target="https://eudatabaseusergroup.wordp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3D012-0D1A-42CC-8B5C-A37B2491D4E4}">
  <ds:schemaRefs>
    <ds:schemaRef ds:uri="http://schemas.openxmlformats.org/officeDocument/2006/bibliography"/>
  </ds:schemaRefs>
</ds:datastoreItem>
</file>

<file path=docMetadata/LabelInfo.xml><?xml version="1.0" encoding="utf-8"?>
<clbl:labelList xmlns:clbl="http://schemas.microsoft.com/office/2020/mipLabelMetadata">
  <clbl:label id="{45072052-c002-4ee4-87e5-9d58843fc488}" enabled="1" method="Privileged" siteId="{185280ba-7a00-42ea-9408-19eafd13552e}" removed="0"/>
  <clbl:label id="{bdb74b30-9568-4856-bdbf-06759778fcbc}" enabled="0" method="" siteId="{bdb74b30-9568-4856-bdbf-06759778fcbc}"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1566</Words>
  <Characters>8929</Characters>
  <Application>Microsoft Office Word</Application>
  <DocSecurity>0</DocSecurity>
  <Lines>74</Lines>
  <Paragraphs>20</Paragraphs>
  <ScaleCrop>false</ScaleCrop>
  <Company/>
  <LinksUpToDate>false</LinksUpToDate>
  <CharactersWithSpaces>10475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Hester Swift</dc:creator>
  <cp:keywords/>
  <dc:description/>
  <cp:lastModifiedBy>Hester Swift</cp:lastModifiedBy>
  <cp:revision>73</cp:revision>
  <dcterms:created xsi:type="dcterms:W3CDTF">2022-12-15T11:20:00Z</dcterms:created>
  <dcterms:modified xsi:type="dcterms:W3CDTF">2025-02-07T13:50:00Z</dcterms:modified>
</cp:coreProperties>
</file>