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BE" w:rsidRPr="002F06FB" w:rsidRDefault="00323EBE" w:rsidP="00323EBE">
      <w:pPr>
        <w:rPr>
          <w:b/>
          <w:sz w:val="24"/>
          <w:szCs w:val="24"/>
        </w:rPr>
      </w:pPr>
      <w:r w:rsidRPr="002F06FB">
        <w:rPr>
          <w:b/>
          <w:sz w:val="24"/>
          <w:szCs w:val="24"/>
        </w:rPr>
        <w:t>COMMENTARY</w:t>
      </w:r>
      <w:bookmarkStart w:id="0" w:name="_GoBack"/>
      <w:bookmarkEnd w:id="0"/>
    </w:p>
    <w:p w:rsidR="00323EBE" w:rsidRPr="002F06FB" w:rsidRDefault="00323EBE" w:rsidP="00323EBE">
      <w:pPr>
        <w:rPr>
          <w:b/>
          <w:sz w:val="24"/>
          <w:szCs w:val="24"/>
        </w:rPr>
      </w:pPr>
      <w:r w:rsidRPr="002F06FB">
        <w:rPr>
          <w:b/>
          <w:sz w:val="24"/>
          <w:szCs w:val="24"/>
        </w:rPr>
        <w:t>Museums, audiences and collections: thinking about historical context</w:t>
      </w:r>
    </w:p>
    <w:p w:rsidR="00323EBE" w:rsidRPr="002F06FB" w:rsidRDefault="00323EBE" w:rsidP="00323EBE">
      <w:pPr>
        <w:rPr>
          <w:sz w:val="24"/>
          <w:szCs w:val="24"/>
        </w:rPr>
      </w:pPr>
      <w:r w:rsidRPr="002F06FB">
        <w:rPr>
          <w:sz w:val="24"/>
          <w:szCs w:val="24"/>
        </w:rPr>
        <w:t>Geoffrey Crossick, School of Advanced Study, University of London, UK</w:t>
      </w:r>
    </w:p>
    <w:p w:rsidR="00323EBE" w:rsidRPr="002F06FB" w:rsidRDefault="00323EBE" w:rsidP="00323EBE">
      <w:pPr>
        <w:rPr>
          <w:sz w:val="24"/>
          <w:szCs w:val="24"/>
        </w:rPr>
      </w:pPr>
      <w:r w:rsidRPr="002F06FB">
        <w:rPr>
          <w:b/>
          <w:color w:val="000000" w:themeColor="text1"/>
          <w:sz w:val="24"/>
          <w:szCs w:val="24"/>
        </w:rPr>
        <w:t>CONTACT</w:t>
      </w:r>
      <w:r w:rsidRPr="002F06FB">
        <w:rPr>
          <w:sz w:val="24"/>
          <w:szCs w:val="24"/>
        </w:rPr>
        <w:t xml:space="preserve">   Geoffrey Crossick   Geoffrey.Crossick@sas.ac.uk</w:t>
      </w:r>
    </w:p>
    <w:p w:rsidR="004F64F4" w:rsidRDefault="004F64F4" w:rsidP="004F64F4">
      <w:pPr>
        <w:jc w:val="center"/>
        <w:rPr>
          <w:sz w:val="24"/>
          <w:szCs w:val="24"/>
        </w:rPr>
      </w:pPr>
    </w:p>
    <w:p w:rsidR="004F64F4" w:rsidRDefault="00B723D8" w:rsidP="004F64F4">
      <w:pPr>
        <w:rPr>
          <w:sz w:val="24"/>
          <w:szCs w:val="24"/>
        </w:rPr>
      </w:pPr>
      <w:r>
        <w:rPr>
          <w:sz w:val="24"/>
          <w:szCs w:val="24"/>
        </w:rPr>
        <w:t>C</w:t>
      </w:r>
      <w:r w:rsidR="004F64F4">
        <w:rPr>
          <w:sz w:val="24"/>
          <w:szCs w:val="24"/>
        </w:rPr>
        <w:t xml:space="preserve">ontemporary debate about cultural engagement </w:t>
      </w:r>
      <w:r w:rsidR="000B21FC">
        <w:rPr>
          <w:sz w:val="24"/>
          <w:szCs w:val="24"/>
        </w:rPr>
        <w:t>generally</w:t>
      </w:r>
      <w:r>
        <w:rPr>
          <w:sz w:val="24"/>
          <w:szCs w:val="24"/>
        </w:rPr>
        <w:t xml:space="preserve"> </w:t>
      </w:r>
      <w:r w:rsidR="004F64F4">
        <w:rPr>
          <w:sz w:val="24"/>
          <w:szCs w:val="24"/>
        </w:rPr>
        <w:t xml:space="preserve">takes place </w:t>
      </w:r>
      <w:r w:rsidR="000B21FC">
        <w:rPr>
          <w:sz w:val="24"/>
          <w:szCs w:val="24"/>
        </w:rPr>
        <w:t>with little</w:t>
      </w:r>
      <w:r w:rsidR="004F64F4">
        <w:rPr>
          <w:sz w:val="24"/>
          <w:szCs w:val="24"/>
        </w:rPr>
        <w:t xml:space="preserve"> sense of historical </w:t>
      </w:r>
      <w:r w:rsidR="00B57F57">
        <w:rPr>
          <w:sz w:val="24"/>
          <w:szCs w:val="24"/>
        </w:rPr>
        <w:t>patterns, and a</w:t>
      </w:r>
      <w:r w:rsidR="004F64F4">
        <w:rPr>
          <w:sz w:val="24"/>
          <w:szCs w:val="24"/>
        </w:rPr>
        <w:t xml:space="preserve"> longer-term perspective </w:t>
      </w:r>
      <w:r w:rsidR="00B57F57">
        <w:rPr>
          <w:sz w:val="24"/>
          <w:szCs w:val="24"/>
        </w:rPr>
        <w:t>on</w:t>
      </w:r>
      <w:r w:rsidR="004F64F4">
        <w:rPr>
          <w:sz w:val="24"/>
          <w:szCs w:val="24"/>
        </w:rPr>
        <w:t xml:space="preserve"> one aspect (attendance) of one part of the cultural sector (museums), is </w:t>
      </w:r>
      <w:r>
        <w:rPr>
          <w:sz w:val="24"/>
          <w:szCs w:val="24"/>
        </w:rPr>
        <w:t xml:space="preserve">therefore </w:t>
      </w:r>
      <w:r w:rsidR="000B21FC">
        <w:rPr>
          <w:sz w:val="24"/>
          <w:szCs w:val="24"/>
        </w:rPr>
        <w:t>welcome</w:t>
      </w:r>
      <w:r w:rsidR="004F64F4">
        <w:rPr>
          <w:sz w:val="24"/>
          <w:szCs w:val="24"/>
        </w:rPr>
        <w:t xml:space="preserve">. </w:t>
      </w:r>
      <w:r w:rsidR="000B21FC">
        <w:rPr>
          <w:sz w:val="24"/>
          <w:szCs w:val="24"/>
        </w:rPr>
        <w:t>Hi</w:t>
      </w:r>
      <w:r w:rsidR="004F64F4">
        <w:rPr>
          <w:sz w:val="24"/>
          <w:szCs w:val="24"/>
        </w:rPr>
        <w:t xml:space="preserve">storical comparisons, whether over time or place, </w:t>
      </w:r>
      <w:r w:rsidR="003044A7">
        <w:rPr>
          <w:sz w:val="24"/>
          <w:szCs w:val="24"/>
        </w:rPr>
        <w:t>present</w:t>
      </w:r>
      <w:r w:rsidR="000B21FC">
        <w:rPr>
          <w:sz w:val="24"/>
          <w:szCs w:val="24"/>
        </w:rPr>
        <w:t xml:space="preserve"> challenges, </w:t>
      </w:r>
      <w:r w:rsidR="004F64F4">
        <w:rPr>
          <w:sz w:val="24"/>
          <w:szCs w:val="24"/>
        </w:rPr>
        <w:t xml:space="preserve">not least ensuring that variables are understood in their context. Historians of </w:t>
      </w:r>
      <w:r w:rsidR="00B84D0B">
        <w:rPr>
          <w:sz w:val="24"/>
          <w:szCs w:val="24"/>
        </w:rPr>
        <w:t>quantitative data</w:t>
      </w:r>
      <w:proofErr w:type="gramStart"/>
      <w:r w:rsidR="004F64F4">
        <w:rPr>
          <w:sz w:val="24"/>
          <w:szCs w:val="24"/>
        </w:rPr>
        <w:t>, in particular, have</w:t>
      </w:r>
      <w:proofErr w:type="gramEnd"/>
      <w:r w:rsidR="004F64F4">
        <w:rPr>
          <w:sz w:val="24"/>
          <w:szCs w:val="24"/>
        </w:rPr>
        <w:t xml:space="preserve"> reminded us </w:t>
      </w:r>
      <w:r w:rsidR="00B84D0B">
        <w:rPr>
          <w:sz w:val="24"/>
          <w:szCs w:val="24"/>
        </w:rPr>
        <w:t xml:space="preserve">that </w:t>
      </w:r>
      <w:r w:rsidR="000B21FC">
        <w:rPr>
          <w:sz w:val="24"/>
          <w:szCs w:val="24"/>
        </w:rPr>
        <w:t>measurement</w:t>
      </w:r>
      <w:r w:rsidR="00B84D0B">
        <w:rPr>
          <w:sz w:val="24"/>
          <w:szCs w:val="24"/>
        </w:rPr>
        <w:t xml:space="preserve"> commonly bring</w:t>
      </w:r>
      <w:r w:rsidR="00B57F57">
        <w:rPr>
          <w:sz w:val="24"/>
          <w:szCs w:val="24"/>
        </w:rPr>
        <w:t>s</w:t>
      </w:r>
      <w:r w:rsidR="00B84D0B">
        <w:rPr>
          <w:sz w:val="24"/>
          <w:szCs w:val="24"/>
        </w:rPr>
        <w:t xml:space="preserve"> </w:t>
      </w:r>
      <w:r w:rsidR="00B57F57">
        <w:rPr>
          <w:sz w:val="24"/>
          <w:szCs w:val="24"/>
        </w:rPr>
        <w:t xml:space="preserve">a phenomenon </w:t>
      </w:r>
      <w:r w:rsidR="00B84D0B">
        <w:rPr>
          <w:sz w:val="24"/>
          <w:szCs w:val="24"/>
        </w:rPr>
        <w:t xml:space="preserve">into existence rather than capturing some </w:t>
      </w:r>
      <w:r w:rsidR="000B21FC">
        <w:rPr>
          <w:sz w:val="24"/>
          <w:szCs w:val="24"/>
        </w:rPr>
        <w:t>pre-existing reality. We see this with</w:t>
      </w:r>
      <w:r w:rsidR="00B84D0B">
        <w:rPr>
          <w:sz w:val="24"/>
          <w:szCs w:val="24"/>
        </w:rPr>
        <w:t xml:space="preserve"> everyday concepts such as GDP, invented in </w:t>
      </w:r>
      <w:r w:rsidR="00B74485">
        <w:rPr>
          <w:sz w:val="24"/>
          <w:szCs w:val="24"/>
        </w:rPr>
        <w:t xml:space="preserve">the </w:t>
      </w:r>
      <w:r w:rsidR="003044A7">
        <w:rPr>
          <w:sz w:val="24"/>
          <w:szCs w:val="24"/>
        </w:rPr>
        <w:t>1930s</w:t>
      </w:r>
      <w:r w:rsidR="00B74485">
        <w:rPr>
          <w:sz w:val="24"/>
          <w:szCs w:val="24"/>
        </w:rPr>
        <w:t xml:space="preserve"> to define a </w:t>
      </w:r>
      <w:proofErr w:type="gramStart"/>
      <w:r w:rsidR="00B74485">
        <w:rPr>
          <w:sz w:val="24"/>
          <w:szCs w:val="24"/>
        </w:rPr>
        <w:t>particular sense</w:t>
      </w:r>
      <w:proofErr w:type="gramEnd"/>
      <w:r w:rsidR="00B74485">
        <w:rPr>
          <w:sz w:val="24"/>
          <w:szCs w:val="24"/>
        </w:rPr>
        <w:t xml:space="preserve"> of the economy</w:t>
      </w:r>
      <w:r w:rsidR="000B21FC">
        <w:rPr>
          <w:sz w:val="24"/>
          <w:szCs w:val="24"/>
        </w:rPr>
        <w:t xml:space="preserve"> when</w:t>
      </w:r>
      <w:r w:rsidR="00B84D0B">
        <w:rPr>
          <w:sz w:val="24"/>
          <w:szCs w:val="24"/>
        </w:rPr>
        <w:t xml:space="preserve"> there are other ways of </w:t>
      </w:r>
      <w:r w:rsidR="00B57F57">
        <w:rPr>
          <w:sz w:val="24"/>
          <w:szCs w:val="24"/>
        </w:rPr>
        <w:t>assessing economic performance. Or u</w:t>
      </w:r>
      <w:r w:rsidR="00B84D0B">
        <w:rPr>
          <w:sz w:val="24"/>
          <w:szCs w:val="24"/>
        </w:rPr>
        <w:t>nemployment</w:t>
      </w:r>
      <w:r w:rsidR="000B21FC">
        <w:rPr>
          <w:sz w:val="24"/>
          <w:szCs w:val="24"/>
        </w:rPr>
        <w:t>, which</w:t>
      </w:r>
      <w:r w:rsidR="00B84D0B">
        <w:rPr>
          <w:sz w:val="24"/>
          <w:szCs w:val="24"/>
        </w:rPr>
        <w:t xml:space="preserve"> started being measu</w:t>
      </w:r>
      <w:r w:rsidR="00B57F57">
        <w:rPr>
          <w:sz w:val="24"/>
          <w:szCs w:val="24"/>
        </w:rPr>
        <w:t xml:space="preserve">red when it appeared as a </w:t>
      </w:r>
      <w:r w:rsidR="00B84D0B">
        <w:rPr>
          <w:sz w:val="24"/>
          <w:szCs w:val="24"/>
        </w:rPr>
        <w:t xml:space="preserve">political </w:t>
      </w:r>
      <w:r w:rsidR="00B57F57">
        <w:rPr>
          <w:sz w:val="24"/>
          <w:szCs w:val="24"/>
        </w:rPr>
        <w:t xml:space="preserve">and social </w:t>
      </w:r>
      <w:r w:rsidR="00B84D0B">
        <w:rPr>
          <w:sz w:val="24"/>
          <w:szCs w:val="24"/>
        </w:rPr>
        <w:t xml:space="preserve">concept </w:t>
      </w:r>
      <w:r w:rsidR="003044A7">
        <w:rPr>
          <w:sz w:val="24"/>
          <w:szCs w:val="24"/>
        </w:rPr>
        <w:t>rather than</w:t>
      </w:r>
      <w:r w:rsidR="00B84D0B">
        <w:rPr>
          <w:sz w:val="24"/>
          <w:szCs w:val="24"/>
        </w:rPr>
        <w:t xml:space="preserve"> when people started being without paid work, and </w:t>
      </w:r>
      <w:r w:rsidR="00B57F57">
        <w:rPr>
          <w:sz w:val="24"/>
          <w:szCs w:val="24"/>
        </w:rPr>
        <w:t xml:space="preserve">official </w:t>
      </w:r>
      <w:r w:rsidR="00B84D0B">
        <w:rPr>
          <w:sz w:val="24"/>
          <w:szCs w:val="24"/>
        </w:rPr>
        <w:t xml:space="preserve">definitions of unemployment </w:t>
      </w:r>
      <w:r w:rsidR="00B57F57">
        <w:rPr>
          <w:sz w:val="24"/>
          <w:szCs w:val="24"/>
        </w:rPr>
        <w:t>have been</w:t>
      </w:r>
      <w:r w:rsidR="00B84D0B">
        <w:rPr>
          <w:sz w:val="24"/>
          <w:szCs w:val="24"/>
        </w:rPr>
        <w:t xml:space="preserve"> notoriously unstable. The rigour of census tables </w:t>
      </w:r>
      <w:r w:rsidR="00B57F57">
        <w:rPr>
          <w:sz w:val="24"/>
          <w:szCs w:val="24"/>
        </w:rPr>
        <w:t>present</w:t>
      </w:r>
      <w:r w:rsidR="00B84D0B">
        <w:rPr>
          <w:sz w:val="24"/>
          <w:szCs w:val="24"/>
        </w:rPr>
        <w:t xml:space="preserve"> occupations and status as if the classification emanated from the reality itself rather than being the product of contemporary intelle</w:t>
      </w:r>
      <w:r w:rsidR="00F47160">
        <w:rPr>
          <w:sz w:val="24"/>
          <w:szCs w:val="24"/>
        </w:rPr>
        <w:t>ctual and social preoccupations (</w:t>
      </w:r>
      <w:bookmarkStart w:id="1" w:name="_Hlk518660376"/>
      <w:proofErr w:type="spellStart"/>
      <w:r w:rsidR="00F47160">
        <w:rPr>
          <w:sz w:val="24"/>
          <w:szCs w:val="24"/>
        </w:rPr>
        <w:t>Desrosières</w:t>
      </w:r>
      <w:proofErr w:type="spellEnd"/>
      <w:r w:rsidR="00F47160">
        <w:rPr>
          <w:sz w:val="24"/>
          <w:szCs w:val="24"/>
        </w:rPr>
        <w:t xml:space="preserve"> &amp; </w:t>
      </w:r>
      <w:proofErr w:type="spellStart"/>
      <w:r w:rsidR="00F47160">
        <w:rPr>
          <w:sz w:val="24"/>
          <w:szCs w:val="24"/>
        </w:rPr>
        <w:t>Thévenot</w:t>
      </w:r>
      <w:bookmarkEnd w:id="1"/>
      <w:proofErr w:type="spellEnd"/>
      <w:r w:rsidR="00F47160">
        <w:rPr>
          <w:sz w:val="24"/>
          <w:szCs w:val="24"/>
        </w:rPr>
        <w:t xml:space="preserve"> 1979).</w:t>
      </w:r>
      <w:r w:rsidR="00A046A1">
        <w:rPr>
          <w:sz w:val="24"/>
          <w:szCs w:val="24"/>
        </w:rPr>
        <w:t xml:space="preserve"> So, when we turn to museum attendance, we need to ask what issues were meant to</w:t>
      </w:r>
      <w:r w:rsidR="000B21FC">
        <w:rPr>
          <w:sz w:val="24"/>
          <w:szCs w:val="24"/>
        </w:rPr>
        <w:t xml:space="preserve"> be addressed by capturing the</w:t>
      </w:r>
      <w:r w:rsidR="00B57F57">
        <w:rPr>
          <w:sz w:val="24"/>
          <w:szCs w:val="24"/>
        </w:rPr>
        <w:t>se</w:t>
      </w:r>
      <w:r w:rsidR="000B21FC">
        <w:rPr>
          <w:sz w:val="24"/>
          <w:szCs w:val="24"/>
        </w:rPr>
        <w:t xml:space="preserve"> statistics</w:t>
      </w:r>
      <w:r w:rsidR="00A046A1">
        <w:rPr>
          <w:sz w:val="24"/>
          <w:szCs w:val="24"/>
        </w:rPr>
        <w:t>. In recent decades th</w:t>
      </w:r>
      <w:r w:rsidR="000B21FC">
        <w:rPr>
          <w:sz w:val="24"/>
          <w:szCs w:val="24"/>
        </w:rPr>
        <w:t>ey’ve been collected by museums</w:t>
      </w:r>
      <w:r w:rsidR="00A046A1">
        <w:rPr>
          <w:sz w:val="24"/>
          <w:szCs w:val="24"/>
        </w:rPr>
        <w:t xml:space="preserve"> for </w:t>
      </w:r>
      <w:r w:rsidR="00B74485">
        <w:rPr>
          <w:sz w:val="24"/>
          <w:szCs w:val="24"/>
        </w:rPr>
        <w:t>presentation to</w:t>
      </w:r>
      <w:r w:rsidR="00A046A1">
        <w:rPr>
          <w:sz w:val="24"/>
          <w:szCs w:val="24"/>
        </w:rPr>
        <w:t xml:space="preserve"> government and other funders, but was that true in the past? </w:t>
      </w:r>
      <w:r w:rsidR="000B21FC">
        <w:rPr>
          <w:sz w:val="24"/>
          <w:szCs w:val="24"/>
        </w:rPr>
        <w:t xml:space="preserve">They </w:t>
      </w:r>
      <w:r w:rsidR="00A046A1">
        <w:rPr>
          <w:sz w:val="24"/>
          <w:szCs w:val="24"/>
        </w:rPr>
        <w:t xml:space="preserve">were </w:t>
      </w:r>
      <w:r w:rsidR="000B21FC">
        <w:rPr>
          <w:sz w:val="24"/>
          <w:szCs w:val="24"/>
        </w:rPr>
        <w:t xml:space="preserve">certainly </w:t>
      </w:r>
      <w:r w:rsidR="00A046A1">
        <w:rPr>
          <w:sz w:val="24"/>
          <w:szCs w:val="24"/>
        </w:rPr>
        <w:t xml:space="preserve">not collected </w:t>
      </w:r>
      <w:r w:rsidR="000B21FC">
        <w:rPr>
          <w:sz w:val="24"/>
          <w:szCs w:val="24"/>
        </w:rPr>
        <w:t>for the use of</w:t>
      </w:r>
      <w:r w:rsidR="00A046A1">
        <w:rPr>
          <w:sz w:val="24"/>
          <w:szCs w:val="24"/>
        </w:rPr>
        <w:t xml:space="preserve"> future historians, especially </w:t>
      </w:r>
      <w:r w:rsidR="000B21FC">
        <w:rPr>
          <w:sz w:val="24"/>
          <w:szCs w:val="24"/>
        </w:rPr>
        <w:t>those</w:t>
      </w:r>
      <w:r w:rsidR="00A046A1">
        <w:rPr>
          <w:sz w:val="24"/>
          <w:szCs w:val="24"/>
        </w:rPr>
        <w:t xml:space="preserve"> interested in questions of </w:t>
      </w:r>
      <w:r w:rsidR="00B57F57">
        <w:rPr>
          <w:sz w:val="24"/>
          <w:szCs w:val="24"/>
        </w:rPr>
        <w:t>our</w:t>
      </w:r>
      <w:r w:rsidR="00A046A1">
        <w:rPr>
          <w:sz w:val="24"/>
          <w:szCs w:val="24"/>
        </w:rPr>
        <w:t xml:space="preserve"> own day. </w:t>
      </w:r>
    </w:p>
    <w:p w:rsidR="00A046A1" w:rsidRDefault="003264EF" w:rsidP="004F64F4">
      <w:pPr>
        <w:rPr>
          <w:sz w:val="24"/>
          <w:szCs w:val="24"/>
        </w:rPr>
      </w:pPr>
      <w:r>
        <w:rPr>
          <w:sz w:val="24"/>
          <w:szCs w:val="24"/>
        </w:rPr>
        <w:t>P</w:t>
      </w:r>
      <w:r w:rsidR="00A046A1">
        <w:rPr>
          <w:sz w:val="24"/>
          <w:szCs w:val="24"/>
        </w:rPr>
        <w:t xml:space="preserve">olicy debate </w:t>
      </w:r>
      <w:r w:rsidR="000268B4">
        <w:rPr>
          <w:sz w:val="24"/>
          <w:szCs w:val="24"/>
        </w:rPr>
        <w:t>needs an awareness</w:t>
      </w:r>
      <w:r w:rsidR="00A046A1">
        <w:rPr>
          <w:sz w:val="24"/>
          <w:szCs w:val="24"/>
        </w:rPr>
        <w:t xml:space="preserve"> of past initiatives even if, when looking at issues around museums in the nineteenth century and today</w:t>
      </w:r>
      <w:r w:rsidR="006F0F65">
        <w:rPr>
          <w:sz w:val="24"/>
          <w:szCs w:val="24"/>
        </w:rPr>
        <w:t>,</w:t>
      </w:r>
      <w:r w:rsidR="00A046A1">
        <w:rPr>
          <w:sz w:val="24"/>
          <w:szCs w:val="24"/>
        </w:rPr>
        <w:t xml:space="preserve"> I’m as struck by </w:t>
      </w:r>
      <w:r w:rsidR="009F5F4B">
        <w:rPr>
          <w:sz w:val="24"/>
          <w:szCs w:val="24"/>
        </w:rPr>
        <w:t>the differences</w:t>
      </w:r>
      <w:r w:rsidR="00A046A1">
        <w:rPr>
          <w:sz w:val="24"/>
          <w:szCs w:val="24"/>
        </w:rPr>
        <w:t xml:space="preserve"> as by </w:t>
      </w:r>
      <w:r w:rsidR="009F5F4B">
        <w:rPr>
          <w:sz w:val="24"/>
          <w:szCs w:val="24"/>
        </w:rPr>
        <w:t xml:space="preserve">the </w:t>
      </w:r>
      <w:r w:rsidR="00A046A1">
        <w:rPr>
          <w:sz w:val="24"/>
          <w:szCs w:val="24"/>
        </w:rPr>
        <w:t xml:space="preserve">similarities. This becomes most evident </w:t>
      </w:r>
      <w:r w:rsidR="006F0F65">
        <w:rPr>
          <w:sz w:val="24"/>
          <w:szCs w:val="24"/>
        </w:rPr>
        <w:t>when</w:t>
      </w:r>
      <w:r w:rsidR="00A046A1">
        <w:rPr>
          <w:sz w:val="24"/>
          <w:szCs w:val="24"/>
        </w:rPr>
        <w:t xml:space="preserve"> </w:t>
      </w:r>
      <w:r w:rsidR="003044A7">
        <w:rPr>
          <w:sz w:val="24"/>
          <w:szCs w:val="24"/>
        </w:rPr>
        <w:t xml:space="preserve">we </w:t>
      </w:r>
      <w:r w:rsidR="00324BC3">
        <w:rPr>
          <w:sz w:val="24"/>
          <w:szCs w:val="24"/>
        </w:rPr>
        <w:t>analyse</w:t>
      </w:r>
      <w:r w:rsidR="00A046A1">
        <w:rPr>
          <w:sz w:val="24"/>
          <w:szCs w:val="24"/>
        </w:rPr>
        <w:t xml:space="preserve"> the past in its distinctive context, </w:t>
      </w:r>
      <w:r w:rsidR="000268B4">
        <w:rPr>
          <w:sz w:val="24"/>
          <w:szCs w:val="24"/>
        </w:rPr>
        <w:t>one that</w:t>
      </w:r>
      <w:r w:rsidR="00A046A1">
        <w:rPr>
          <w:sz w:val="24"/>
          <w:szCs w:val="24"/>
        </w:rPr>
        <w:t xml:space="preserve"> embrace</w:t>
      </w:r>
      <w:r w:rsidR="000268B4">
        <w:rPr>
          <w:sz w:val="24"/>
          <w:szCs w:val="24"/>
        </w:rPr>
        <w:t>s</w:t>
      </w:r>
      <w:r w:rsidR="00A046A1">
        <w:rPr>
          <w:sz w:val="24"/>
          <w:szCs w:val="24"/>
        </w:rPr>
        <w:t xml:space="preserve"> not only audience numbers and associated discourses, but the museum objectives </w:t>
      </w:r>
      <w:r w:rsidR="003044A7">
        <w:rPr>
          <w:sz w:val="24"/>
          <w:szCs w:val="24"/>
        </w:rPr>
        <w:t>within</w:t>
      </w:r>
      <w:r w:rsidR="00A046A1">
        <w:rPr>
          <w:sz w:val="24"/>
          <w:szCs w:val="24"/>
        </w:rPr>
        <w:t xml:space="preserve"> which those elements </w:t>
      </w:r>
      <w:r w:rsidR="009227C4">
        <w:rPr>
          <w:sz w:val="24"/>
          <w:szCs w:val="24"/>
        </w:rPr>
        <w:t>find</w:t>
      </w:r>
      <w:r w:rsidR="00A046A1">
        <w:rPr>
          <w:sz w:val="24"/>
          <w:szCs w:val="24"/>
        </w:rPr>
        <w:t xml:space="preserve"> their place.</w:t>
      </w:r>
      <w:r w:rsidR="00F430F1">
        <w:rPr>
          <w:sz w:val="24"/>
          <w:szCs w:val="24"/>
        </w:rPr>
        <w:t xml:space="preserve"> Debate about m</w:t>
      </w:r>
      <w:r w:rsidR="00F5207B">
        <w:rPr>
          <w:sz w:val="24"/>
          <w:szCs w:val="24"/>
        </w:rPr>
        <w:t>useum audiences</w:t>
      </w:r>
      <w:r w:rsidR="009227C4">
        <w:rPr>
          <w:sz w:val="24"/>
          <w:szCs w:val="24"/>
        </w:rPr>
        <w:t xml:space="preserve"> </w:t>
      </w:r>
      <w:r w:rsidR="00F430F1">
        <w:rPr>
          <w:sz w:val="24"/>
          <w:szCs w:val="24"/>
        </w:rPr>
        <w:t xml:space="preserve">is </w:t>
      </w:r>
      <w:r w:rsidR="000268B4">
        <w:rPr>
          <w:sz w:val="24"/>
          <w:szCs w:val="24"/>
        </w:rPr>
        <w:t>prominent</w:t>
      </w:r>
      <w:r w:rsidR="00F430F1">
        <w:rPr>
          <w:sz w:val="24"/>
          <w:szCs w:val="24"/>
        </w:rPr>
        <w:t xml:space="preserve"> today and it is fascinating to reach back into the </w:t>
      </w:r>
      <w:r w:rsidR="00324BC3">
        <w:rPr>
          <w:sz w:val="24"/>
          <w:szCs w:val="24"/>
        </w:rPr>
        <w:t>past</w:t>
      </w:r>
      <w:r w:rsidR="00F430F1">
        <w:rPr>
          <w:sz w:val="24"/>
          <w:szCs w:val="24"/>
        </w:rPr>
        <w:t xml:space="preserve"> to find </w:t>
      </w:r>
      <w:r w:rsidR="00324BC3">
        <w:rPr>
          <w:sz w:val="24"/>
          <w:szCs w:val="24"/>
        </w:rPr>
        <w:t>similar</w:t>
      </w:r>
      <w:r w:rsidR="00F430F1">
        <w:rPr>
          <w:sz w:val="24"/>
          <w:szCs w:val="24"/>
        </w:rPr>
        <w:t xml:space="preserve"> issues being raised. </w:t>
      </w:r>
      <w:r w:rsidR="00324BC3">
        <w:rPr>
          <w:sz w:val="24"/>
          <w:szCs w:val="24"/>
        </w:rPr>
        <w:t>The</w:t>
      </w:r>
      <w:r w:rsidR="00F430F1">
        <w:rPr>
          <w:sz w:val="24"/>
          <w:szCs w:val="24"/>
        </w:rPr>
        <w:t xml:space="preserve"> language of social description is </w:t>
      </w:r>
      <w:r w:rsidR="00324BC3">
        <w:rPr>
          <w:sz w:val="24"/>
          <w:szCs w:val="24"/>
        </w:rPr>
        <w:t xml:space="preserve">nonetheless </w:t>
      </w:r>
      <w:r w:rsidR="00F430F1">
        <w:rPr>
          <w:sz w:val="24"/>
          <w:szCs w:val="24"/>
        </w:rPr>
        <w:t>a minefield, with terms such as arti</w:t>
      </w:r>
      <w:r w:rsidR="00324BC3">
        <w:rPr>
          <w:sz w:val="24"/>
          <w:szCs w:val="24"/>
        </w:rPr>
        <w:t>sans, mechanics, labouring poor and</w:t>
      </w:r>
      <w:r w:rsidR="00F430F1">
        <w:rPr>
          <w:sz w:val="24"/>
          <w:szCs w:val="24"/>
        </w:rPr>
        <w:t xml:space="preserve"> working </w:t>
      </w:r>
      <w:r w:rsidR="000268B4">
        <w:rPr>
          <w:sz w:val="24"/>
          <w:szCs w:val="24"/>
        </w:rPr>
        <w:t xml:space="preserve">men </w:t>
      </w:r>
      <w:r w:rsidR="009227C4">
        <w:rPr>
          <w:sz w:val="24"/>
          <w:szCs w:val="24"/>
        </w:rPr>
        <w:t xml:space="preserve">being less </w:t>
      </w:r>
      <w:r w:rsidR="00F430F1">
        <w:rPr>
          <w:sz w:val="24"/>
          <w:szCs w:val="24"/>
        </w:rPr>
        <w:t xml:space="preserve">socio-economic categories </w:t>
      </w:r>
      <w:r w:rsidR="009227C4">
        <w:rPr>
          <w:sz w:val="24"/>
          <w:szCs w:val="24"/>
        </w:rPr>
        <w:t>than</w:t>
      </w:r>
      <w:r w:rsidR="00F430F1">
        <w:rPr>
          <w:sz w:val="24"/>
          <w:szCs w:val="24"/>
        </w:rPr>
        <w:t xml:space="preserve"> moral descriptors</w:t>
      </w:r>
      <w:r w:rsidR="009227C4">
        <w:rPr>
          <w:sz w:val="24"/>
          <w:szCs w:val="24"/>
        </w:rPr>
        <w:t xml:space="preserve">. </w:t>
      </w:r>
      <w:r w:rsidR="00F430F1">
        <w:rPr>
          <w:sz w:val="24"/>
          <w:szCs w:val="24"/>
        </w:rPr>
        <w:t xml:space="preserve">The dichotomy between ‘artisan’ and ‘labourer’ which stalks the pages of parliamentary inquiries and speeches </w:t>
      </w:r>
      <w:r w:rsidR="00324BC3">
        <w:rPr>
          <w:sz w:val="24"/>
          <w:szCs w:val="24"/>
        </w:rPr>
        <w:t>by</w:t>
      </w:r>
      <w:r w:rsidR="00F430F1">
        <w:rPr>
          <w:sz w:val="24"/>
          <w:szCs w:val="24"/>
        </w:rPr>
        <w:t xml:space="preserve"> museum leaders hardly fitted the complexity of the Victorian working class but its moral power ensured its presence even in the more sy</w:t>
      </w:r>
      <w:r w:rsidR="009227C4">
        <w:rPr>
          <w:sz w:val="24"/>
          <w:szCs w:val="24"/>
        </w:rPr>
        <w:t>stematic analyses of Levi and</w:t>
      </w:r>
      <w:r w:rsidR="00F430F1">
        <w:rPr>
          <w:sz w:val="24"/>
          <w:szCs w:val="24"/>
        </w:rPr>
        <w:t xml:space="preserve"> </w:t>
      </w:r>
      <w:r w:rsidR="009227C4">
        <w:rPr>
          <w:sz w:val="24"/>
          <w:szCs w:val="24"/>
        </w:rPr>
        <w:t>Booth</w:t>
      </w:r>
      <w:r w:rsidR="003614C6">
        <w:rPr>
          <w:sz w:val="24"/>
          <w:szCs w:val="24"/>
        </w:rPr>
        <w:t xml:space="preserve"> </w:t>
      </w:r>
      <w:r w:rsidR="00F47160">
        <w:rPr>
          <w:sz w:val="24"/>
          <w:szCs w:val="24"/>
        </w:rPr>
        <w:t>(</w:t>
      </w:r>
      <w:r w:rsidR="003614C6">
        <w:rPr>
          <w:sz w:val="24"/>
          <w:szCs w:val="24"/>
        </w:rPr>
        <w:t>Levi, 1885; Booth, 1902-03</w:t>
      </w:r>
      <w:r w:rsidR="00324BC3">
        <w:rPr>
          <w:sz w:val="24"/>
          <w:szCs w:val="24"/>
        </w:rPr>
        <w:t>;</w:t>
      </w:r>
      <w:r w:rsidR="003614C6" w:rsidRPr="003614C6">
        <w:rPr>
          <w:sz w:val="24"/>
          <w:szCs w:val="24"/>
        </w:rPr>
        <w:t xml:space="preserve"> </w:t>
      </w:r>
      <w:r w:rsidR="003614C6">
        <w:rPr>
          <w:sz w:val="24"/>
          <w:szCs w:val="24"/>
        </w:rPr>
        <w:t>Crossick, 1991)</w:t>
      </w:r>
      <w:r w:rsidR="00834EB4">
        <w:rPr>
          <w:sz w:val="24"/>
          <w:szCs w:val="24"/>
        </w:rPr>
        <w:t xml:space="preserve"> None of this should surprise us but </w:t>
      </w:r>
      <w:r w:rsidR="003044A7">
        <w:rPr>
          <w:sz w:val="24"/>
          <w:szCs w:val="24"/>
        </w:rPr>
        <w:t>is a</w:t>
      </w:r>
      <w:r w:rsidR="00324BC3">
        <w:rPr>
          <w:sz w:val="24"/>
          <w:szCs w:val="24"/>
        </w:rPr>
        <w:t xml:space="preserve"> key </w:t>
      </w:r>
      <w:r w:rsidR="0070091F">
        <w:rPr>
          <w:sz w:val="24"/>
          <w:szCs w:val="24"/>
        </w:rPr>
        <w:t>element</w:t>
      </w:r>
      <w:r w:rsidR="00834EB4">
        <w:rPr>
          <w:sz w:val="24"/>
          <w:szCs w:val="24"/>
        </w:rPr>
        <w:t xml:space="preserve"> of context </w:t>
      </w:r>
      <w:r w:rsidR="00324BC3">
        <w:rPr>
          <w:sz w:val="24"/>
          <w:szCs w:val="24"/>
        </w:rPr>
        <w:t>for</w:t>
      </w:r>
      <w:r w:rsidR="00834EB4">
        <w:rPr>
          <w:sz w:val="24"/>
          <w:szCs w:val="24"/>
        </w:rPr>
        <w:t xml:space="preserve"> our historical analysis.</w:t>
      </w:r>
    </w:p>
    <w:p w:rsidR="000268B4" w:rsidRDefault="009227C4" w:rsidP="004F64F4">
      <w:pPr>
        <w:rPr>
          <w:sz w:val="24"/>
          <w:szCs w:val="24"/>
        </w:rPr>
      </w:pPr>
      <w:r>
        <w:rPr>
          <w:sz w:val="24"/>
          <w:szCs w:val="24"/>
        </w:rPr>
        <w:t xml:space="preserve">The drive </w:t>
      </w:r>
      <w:r w:rsidR="0070091F">
        <w:rPr>
          <w:sz w:val="24"/>
          <w:szCs w:val="24"/>
        </w:rPr>
        <w:t>to establish</w:t>
      </w:r>
      <w:r w:rsidR="002060B3">
        <w:rPr>
          <w:sz w:val="24"/>
          <w:szCs w:val="24"/>
        </w:rPr>
        <w:t xml:space="preserve"> museums in Britain </w:t>
      </w:r>
      <w:r>
        <w:rPr>
          <w:sz w:val="24"/>
          <w:szCs w:val="24"/>
        </w:rPr>
        <w:t>from the 1860s</w:t>
      </w:r>
      <w:r w:rsidR="002060B3">
        <w:rPr>
          <w:sz w:val="24"/>
          <w:szCs w:val="24"/>
        </w:rPr>
        <w:t xml:space="preserve"> was one </w:t>
      </w:r>
      <w:r w:rsidR="003044A7">
        <w:rPr>
          <w:sz w:val="24"/>
          <w:szCs w:val="24"/>
        </w:rPr>
        <w:t>dimension</w:t>
      </w:r>
      <w:r w:rsidR="002060B3">
        <w:rPr>
          <w:sz w:val="24"/>
          <w:szCs w:val="24"/>
        </w:rPr>
        <w:t xml:space="preserve"> of how </w:t>
      </w:r>
      <w:r w:rsidR="000268B4">
        <w:rPr>
          <w:sz w:val="24"/>
          <w:szCs w:val="24"/>
        </w:rPr>
        <w:t xml:space="preserve">liberal </w:t>
      </w:r>
      <w:r w:rsidR="002060B3">
        <w:rPr>
          <w:sz w:val="24"/>
          <w:szCs w:val="24"/>
        </w:rPr>
        <w:t xml:space="preserve">bourgeois elites reconfigured their towns and it is within that process that their development and </w:t>
      </w:r>
      <w:r w:rsidR="00D36AA0">
        <w:rPr>
          <w:sz w:val="24"/>
          <w:szCs w:val="24"/>
        </w:rPr>
        <w:t>the discourse</w:t>
      </w:r>
      <w:r w:rsidR="002060B3">
        <w:rPr>
          <w:sz w:val="24"/>
          <w:szCs w:val="24"/>
        </w:rPr>
        <w:t xml:space="preserve"> about mus</w:t>
      </w:r>
      <w:r w:rsidR="00D36AA0">
        <w:rPr>
          <w:sz w:val="24"/>
          <w:szCs w:val="24"/>
        </w:rPr>
        <w:t xml:space="preserve">eum visitors must be interpreted. </w:t>
      </w:r>
      <w:r w:rsidR="00BA5992">
        <w:rPr>
          <w:sz w:val="24"/>
          <w:szCs w:val="24"/>
        </w:rPr>
        <w:t>M</w:t>
      </w:r>
      <w:r w:rsidR="007341DA">
        <w:rPr>
          <w:sz w:val="24"/>
          <w:szCs w:val="24"/>
        </w:rPr>
        <w:t xml:space="preserve">useums </w:t>
      </w:r>
      <w:r w:rsidR="00BA5992">
        <w:rPr>
          <w:sz w:val="24"/>
          <w:szCs w:val="24"/>
        </w:rPr>
        <w:t xml:space="preserve">were part of a substantial investment in social overhead capital </w:t>
      </w:r>
      <w:r w:rsidR="007341DA">
        <w:rPr>
          <w:sz w:val="24"/>
          <w:szCs w:val="24"/>
        </w:rPr>
        <w:t xml:space="preserve">alongside schools and hospitals, town halls and parks, </w:t>
      </w:r>
      <w:r w:rsidR="001D0DC9">
        <w:rPr>
          <w:sz w:val="24"/>
          <w:szCs w:val="24"/>
        </w:rPr>
        <w:t xml:space="preserve">baths and libraries, </w:t>
      </w:r>
      <w:r w:rsidR="007341DA">
        <w:rPr>
          <w:sz w:val="24"/>
          <w:szCs w:val="24"/>
        </w:rPr>
        <w:t>water an</w:t>
      </w:r>
      <w:r>
        <w:rPr>
          <w:sz w:val="24"/>
          <w:szCs w:val="24"/>
        </w:rPr>
        <w:t>d gas supplies</w:t>
      </w:r>
      <w:r w:rsidR="00BA5992">
        <w:rPr>
          <w:sz w:val="24"/>
          <w:szCs w:val="24"/>
        </w:rPr>
        <w:t xml:space="preserve"> (</w:t>
      </w:r>
      <w:proofErr w:type="spellStart"/>
      <w:r w:rsidR="00BA5992">
        <w:rPr>
          <w:sz w:val="24"/>
          <w:szCs w:val="24"/>
        </w:rPr>
        <w:t>Daunton</w:t>
      </w:r>
      <w:proofErr w:type="spellEnd"/>
      <w:r w:rsidR="00BA5992">
        <w:rPr>
          <w:sz w:val="24"/>
          <w:szCs w:val="24"/>
        </w:rPr>
        <w:t xml:space="preserve">, </w:t>
      </w:r>
      <w:r w:rsidR="001170B7">
        <w:rPr>
          <w:sz w:val="24"/>
          <w:szCs w:val="24"/>
        </w:rPr>
        <w:t>2001).</w:t>
      </w:r>
      <w:r w:rsidR="007341DA">
        <w:rPr>
          <w:sz w:val="24"/>
          <w:szCs w:val="24"/>
        </w:rPr>
        <w:t xml:space="preserve"> This spending on public goods </w:t>
      </w:r>
      <w:r>
        <w:rPr>
          <w:sz w:val="24"/>
          <w:szCs w:val="24"/>
        </w:rPr>
        <w:t>built</w:t>
      </w:r>
      <w:r w:rsidR="007341DA">
        <w:rPr>
          <w:sz w:val="24"/>
          <w:szCs w:val="24"/>
        </w:rPr>
        <w:t xml:space="preserve"> a civic infrastructure, </w:t>
      </w:r>
      <w:r w:rsidR="00BA5992">
        <w:rPr>
          <w:sz w:val="24"/>
          <w:szCs w:val="24"/>
        </w:rPr>
        <w:t>paid</w:t>
      </w:r>
      <w:r w:rsidR="007341DA">
        <w:rPr>
          <w:sz w:val="24"/>
          <w:szCs w:val="24"/>
        </w:rPr>
        <w:t xml:space="preserve"> initially from philanthropy but then increasingly </w:t>
      </w:r>
      <w:r w:rsidR="007341DA">
        <w:rPr>
          <w:sz w:val="24"/>
          <w:szCs w:val="24"/>
        </w:rPr>
        <w:lastRenderedPageBreak/>
        <w:t>carried out by the same elites through the</w:t>
      </w:r>
      <w:r w:rsidR="00BA5992">
        <w:rPr>
          <w:sz w:val="24"/>
          <w:szCs w:val="24"/>
        </w:rPr>
        <w:t>ir</w:t>
      </w:r>
      <w:r w:rsidR="007341DA">
        <w:rPr>
          <w:sz w:val="24"/>
          <w:szCs w:val="24"/>
        </w:rPr>
        <w:t xml:space="preserve"> municipality.</w:t>
      </w:r>
      <w:r w:rsidR="00BA5992">
        <w:rPr>
          <w:sz w:val="24"/>
          <w:szCs w:val="24"/>
        </w:rPr>
        <w:t xml:space="preserve"> I</w:t>
      </w:r>
      <w:r w:rsidR="007341DA">
        <w:rPr>
          <w:sz w:val="24"/>
          <w:szCs w:val="24"/>
        </w:rPr>
        <w:t>n late nineteenth-century Leeds</w:t>
      </w:r>
      <w:r w:rsidR="00BA5992">
        <w:rPr>
          <w:sz w:val="24"/>
          <w:szCs w:val="24"/>
        </w:rPr>
        <w:t xml:space="preserve">, for example, urban institutions spread </w:t>
      </w:r>
      <w:r w:rsidR="00CD5D91">
        <w:rPr>
          <w:sz w:val="24"/>
          <w:szCs w:val="24"/>
        </w:rPr>
        <w:t>as</w:t>
      </w:r>
      <w:r w:rsidR="007341DA">
        <w:rPr>
          <w:sz w:val="24"/>
          <w:szCs w:val="24"/>
        </w:rPr>
        <w:t xml:space="preserve"> </w:t>
      </w:r>
      <w:r w:rsidR="003044A7">
        <w:rPr>
          <w:sz w:val="24"/>
          <w:szCs w:val="24"/>
        </w:rPr>
        <w:t>members</w:t>
      </w:r>
      <w:r w:rsidR="007341DA">
        <w:rPr>
          <w:sz w:val="24"/>
          <w:szCs w:val="24"/>
        </w:rPr>
        <w:t xml:space="preserve"> of the elite on the municipal corporation </w:t>
      </w:r>
      <w:r w:rsidR="00CD5D91">
        <w:rPr>
          <w:sz w:val="24"/>
          <w:szCs w:val="24"/>
        </w:rPr>
        <w:t xml:space="preserve">urged </w:t>
      </w:r>
      <w:r w:rsidR="001170B7">
        <w:rPr>
          <w:sz w:val="24"/>
          <w:szCs w:val="24"/>
        </w:rPr>
        <w:t>it to become a cultural sponsor (Morris,</w:t>
      </w:r>
      <w:r w:rsidR="00644F8F">
        <w:rPr>
          <w:sz w:val="24"/>
          <w:szCs w:val="24"/>
        </w:rPr>
        <w:t xml:space="preserve"> 1980).</w:t>
      </w:r>
      <w:r w:rsidR="001170B7">
        <w:rPr>
          <w:sz w:val="24"/>
          <w:szCs w:val="24"/>
        </w:rPr>
        <w:t xml:space="preserve"> </w:t>
      </w:r>
      <w:r w:rsidR="007341DA">
        <w:rPr>
          <w:sz w:val="24"/>
          <w:szCs w:val="24"/>
        </w:rPr>
        <w:t xml:space="preserve"> </w:t>
      </w:r>
      <w:r w:rsidR="00734A37">
        <w:rPr>
          <w:sz w:val="24"/>
          <w:szCs w:val="24"/>
        </w:rPr>
        <w:t xml:space="preserve">Birmingham’s Museum &amp; Art Gallery </w:t>
      </w:r>
      <w:r w:rsidR="00BA5992">
        <w:rPr>
          <w:sz w:val="24"/>
          <w:szCs w:val="24"/>
        </w:rPr>
        <w:t>started with</w:t>
      </w:r>
      <w:r w:rsidR="00734A37">
        <w:rPr>
          <w:sz w:val="24"/>
          <w:szCs w:val="24"/>
        </w:rPr>
        <w:t xml:space="preserve"> </w:t>
      </w:r>
      <w:proofErr w:type="gramStart"/>
      <w:r w:rsidR="00734A37">
        <w:rPr>
          <w:sz w:val="24"/>
          <w:szCs w:val="24"/>
        </w:rPr>
        <w:t>a</w:t>
      </w:r>
      <w:proofErr w:type="gramEnd"/>
      <w:r w:rsidR="00734A37">
        <w:rPr>
          <w:sz w:val="24"/>
          <w:szCs w:val="24"/>
        </w:rPr>
        <w:t xml:space="preserve"> 1878 donation of £5,000 by Ric</w:t>
      </w:r>
      <w:r w:rsidR="003044A7">
        <w:rPr>
          <w:sz w:val="24"/>
          <w:szCs w:val="24"/>
        </w:rPr>
        <w:t xml:space="preserve">hard </w:t>
      </w:r>
      <w:proofErr w:type="spellStart"/>
      <w:r w:rsidR="003044A7">
        <w:rPr>
          <w:sz w:val="24"/>
          <w:szCs w:val="24"/>
        </w:rPr>
        <w:t>Tangye</w:t>
      </w:r>
      <w:proofErr w:type="spellEnd"/>
      <w:r w:rsidR="003044A7">
        <w:rPr>
          <w:sz w:val="24"/>
          <w:szCs w:val="24"/>
        </w:rPr>
        <w:t xml:space="preserve">, head of the </w:t>
      </w:r>
      <w:r w:rsidR="00734A37">
        <w:rPr>
          <w:sz w:val="24"/>
          <w:szCs w:val="24"/>
        </w:rPr>
        <w:t xml:space="preserve">engineering company, who </w:t>
      </w:r>
      <w:r w:rsidR="000268B4">
        <w:rPr>
          <w:sz w:val="24"/>
          <w:szCs w:val="24"/>
        </w:rPr>
        <w:t xml:space="preserve">subsequently </w:t>
      </w:r>
      <w:r w:rsidR="00734A37">
        <w:rPr>
          <w:sz w:val="24"/>
          <w:szCs w:val="24"/>
        </w:rPr>
        <w:t>presented the family’s large collection of Wedgwood pottery as well as its paintings</w:t>
      </w:r>
      <w:r w:rsidR="00CD5D91">
        <w:rPr>
          <w:sz w:val="24"/>
          <w:szCs w:val="24"/>
        </w:rPr>
        <w:t xml:space="preserve"> with </w:t>
      </w:r>
      <w:r w:rsidR="00734A37">
        <w:rPr>
          <w:sz w:val="24"/>
          <w:szCs w:val="24"/>
        </w:rPr>
        <w:t>ot</w:t>
      </w:r>
      <w:r w:rsidR="00CD5D91">
        <w:rPr>
          <w:sz w:val="24"/>
          <w:szCs w:val="24"/>
        </w:rPr>
        <w:t>her</w:t>
      </w:r>
      <w:r w:rsidR="003044A7">
        <w:rPr>
          <w:sz w:val="24"/>
          <w:szCs w:val="24"/>
        </w:rPr>
        <w:t xml:space="preserve"> local leaders</w:t>
      </w:r>
      <w:r w:rsidR="00CD5D91">
        <w:rPr>
          <w:sz w:val="24"/>
          <w:szCs w:val="24"/>
        </w:rPr>
        <w:t xml:space="preserve"> pitching</w:t>
      </w:r>
      <w:r w:rsidR="00734A37">
        <w:rPr>
          <w:sz w:val="24"/>
          <w:szCs w:val="24"/>
        </w:rPr>
        <w:t xml:space="preserve"> in</w:t>
      </w:r>
      <w:r w:rsidR="00BA5992">
        <w:rPr>
          <w:sz w:val="24"/>
          <w:szCs w:val="24"/>
        </w:rPr>
        <w:t xml:space="preserve"> (Wallis, 1911). Birmingham’s </w:t>
      </w:r>
      <w:r w:rsidR="00734A37">
        <w:rPr>
          <w:sz w:val="24"/>
          <w:szCs w:val="24"/>
        </w:rPr>
        <w:t xml:space="preserve">elite </w:t>
      </w:r>
      <w:r w:rsidR="00BA5992">
        <w:rPr>
          <w:sz w:val="24"/>
          <w:szCs w:val="24"/>
        </w:rPr>
        <w:t>proclaimed</w:t>
      </w:r>
      <w:r w:rsidR="00734A37">
        <w:rPr>
          <w:sz w:val="24"/>
          <w:szCs w:val="24"/>
        </w:rPr>
        <w:t xml:space="preserve"> a </w:t>
      </w:r>
      <w:proofErr w:type="gramStart"/>
      <w:r w:rsidR="00734A37">
        <w:rPr>
          <w:sz w:val="24"/>
          <w:szCs w:val="24"/>
        </w:rPr>
        <w:t>particular municipal</w:t>
      </w:r>
      <w:proofErr w:type="gramEnd"/>
      <w:r w:rsidR="00734A37">
        <w:rPr>
          <w:sz w:val="24"/>
          <w:szCs w:val="24"/>
        </w:rPr>
        <w:t xml:space="preserve"> and civic vision, but most towns across provincial England had t</w:t>
      </w:r>
      <w:r w:rsidR="008225CE">
        <w:rPr>
          <w:sz w:val="24"/>
          <w:szCs w:val="24"/>
        </w:rPr>
        <w:t xml:space="preserve">heir own versions of this story </w:t>
      </w:r>
    </w:p>
    <w:p w:rsidR="001D0DC9" w:rsidRDefault="00FD7140" w:rsidP="004F64F4">
      <w:pPr>
        <w:rPr>
          <w:sz w:val="24"/>
          <w:szCs w:val="24"/>
        </w:rPr>
      </w:pPr>
      <w:r>
        <w:rPr>
          <w:sz w:val="24"/>
          <w:szCs w:val="24"/>
        </w:rPr>
        <w:t>The</w:t>
      </w:r>
      <w:r w:rsidR="001D0DC9">
        <w:rPr>
          <w:sz w:val="24"/>
          <w:szCs w:val="24"/>
        </w:rPr>
        <w:t xml:space="preserve"> Mayor</w:t>
      </w:r>
      <w:r>
        <w:rPr>
          <w:sz w:val="24"/>
          <w:szCs w:val="24"/>
        </w:rPr>
        <w:t xml:space="preserve"> of Walsall </w:t>
      </w:r>
      <w:r w:rsidR="001D0DC9">
        <w:rPr>
          <w:sz w:val="24"/>
          <w:szCs w:val="24"/>
        </w:rPr>
        <w:t xml:space="preserve">set </w:t>
      </w:r>
      <w:r>
        <w:rPr>
          <w:sz w:val="24"/>
          <w:szCs w:val="24"/>
        </w:rPr>
        <w:t>its new</w:t>
      </w:r>
      <w:r w:rsidR="001D0DC9">
        <w:rPr>
          <w:sz w:val="24"/>
          <w:szCs w:val="24"/>
        </w:rPr>
        <w:t xml:space="preserve"> </w:t>
      </w:r>
      <w:r w:rsidR="00BA5992">
        <w:rPr>
          <w:sz w:val="24"/>
          <w:szCs w:val="24"/>
        </w:rPr>
        <w:t xml:space="preserve">modest </w:t>
      </w:r>
      <w:r w:rsidR="001D0DC9">
        <w:rPr>
          <w:sz w:val="24"/>
          <w:szCs w:val="24"/>
        </w:rPr>
        <w:t xml:space="preserve">Art Gallery &amp; Museum in context during the </w:t>
      </w:r>
      <w:r>
        <w:rPr>
          <w:sz w:val="24"/>
          <w:szCs w:val="24"/>
        </w:rPr>
        <w:t>ceremonial</w:t>
      </w:r>
      <w:r w:rsidR="001D0DC9">
        <w:rPr>
          <w:sz w:val="24"/>
          <w:szCs w:val="24"/>
        </w:rPr>
        <w:t xml:space="preserve"> opening of </w:t>
      </w:r>
      <w:r w:rsidR="00BC6CFA">
        <w:rPr>
          <w:sz w:val="24"/>
          <w:szCs w:val="24"/>
        </w:rPr>
        <w:t>the</w:t>
      </w:r>
      <w:r w:rsidR="001D0DC9">
        <w:rPr>
          <w:sz w:val="24"/>
          <w:szCs w:val="24"/>
        </w:rPr>
        <w:t xml:space="preserve"> insti</w:t>
      </w:r>
      <w:r w:rsidR="000268B4">
        <w:rPr>
          <w:sz w:val="24"/>
          <w:szCs w:val="24"/>
        </w:rPr>
        <w:t xml:space="preserve">tution in </w:t>
      </w:r>
      <w:r w:rsidR="00BC6CFA">
        <w:rPr>
          <w:sz w:val="24"/>
          <w:szCs w:val="24"/>
        </w:rPr>
        <w:t>1892. He lauded</w:t>
      </w:r>
      <w:r w:rsidR="000268B4">
        <w:rPr>
          <w:sz w:val="24"/>
          <w:szCs w:val="24"/>
        </w:rPr>
        <w:t xml:space="preserve"> the elite’s </w:t>
      </w:r>
      <w:r w:rsidR="00BA5992">
        <w:rPr>
          <w:sz w:val="24"/>
          <w:szCs w:val="24"/>
        </w:rPr>
        <w:t xml:space="preserve">move </w:t>
      </w:r>
      <w:r w:rsidR="001D0DC9">
        <w:rPr>
          <w:sz w:val="24"/>
          <w:szCs w:val="24"/>
        </w:rPr>
        <w:t xml:space="preserve">from a municipal concern only for ‘a pretty free use of the gaol and the workhouse’ some </w:t>
      </w:r>
      <w:r w:rsidR="00BA5992">
        <w:rPr>
          <w:sz w:val="24"/>
          <w:szCs w:val="24"/>
        </w:rPr>
        <w:t>60</w:t>
      </w:r>
      <w:r w:rsidR="001D0DC9">
        <w:rPr>
          <w:sz w:val="24"/>
          <w:szCs w:val="24"/>
        </w:rPr>
        <w:t xml:space="preserve"> years </w:t>
      </w:r>
      <w:r w:rsidR="00BA5992">
        <w:rPr>
          <w:sz w:val="24"/>
          <w:szCs w:val="24"/>
        </w:rPr>
        <w:t>previously</w:t>
      </w:r>
      <w:r w:rsidR="001D0DC9">
        <w:rPr>
          <w:sz w:val="24"/>
          <w:szCs w:val="24"/>
        </w:rPr>
        <w:t xml:space="preserve"> to the last </w:t>
      </w:r>
      <w:r w:rsidR="00BA5992">
        <w:rPr>
          <w:sz w:val="24"/>
          <w:szCs w:val="24"/>
        </w:rPr>
        <w:t>20</w:t>
      </w:r>
      <w:r w:rsidR="001D0DC9">
        <w:rPr>
          <w:sz w:val="24"/>
          <w:szCs w:val="24"/>
        </w:rPr>
        <w:t xml:space="preserve"> years when free libraries and loan exhibitions </w:t>
      </w:r>
      <w:r w:rsidR="00BA5992">
        <w:rPr>
          <w:sz w:val="24"/>
          <w:szCs w:val="24"/>
        </w:rPr>
        <w:t xml:space="preserve">had </w:t>
      </w:r>
      <w:r w:rsidR="00BC6CFA">
        <w:rPr>
          <w:sz w:val="24"/>
          <w:szCs w:val="24"/>
        </w:rPr>
        <w:t>followed</w:t>
      </w:r>
      <w:r w:rsidR="001D0DC9">
        <w:rPr>
          <w:sz w:val="24"/>
          <w:szCs w:val="24"/>
        </w:rPr>
        <w:t xml:space="preserve"> gasw</w:t>
      </w:r>
      <w:r w:rsidR="00B97375">
        <w:rPr>
          <w:sz w:val="24"/>
          <w:szCs w:val="24"/>
        </w:rPr>
        <w:t>orks, sanitation, parks and rec</w:t>
      </w:r>
      <w:r w:rsidR="001D0DC9">
        <w:rPr>
          <w:sz w:val="24"/>
          <w:szCs w:val="24"/>
        </w:rPr>
        <w:t>reation grounds</w:t>
      </w:r>
      <w:r w:rsidR="00B97375">
        <w:rPr>
          <w:sz w:val="24"/>
          <w:szCs w:val="24"/>
        </w:rPr>
        <w:t>, bat</w:t>
      </w:r>
      <w:r w:rsidR="00A837C8">
        <w:rPr>
          <w:sz w:val="24"/>
          <w:szCs w:val="24"/>
        </w:rPr>
        <w:t>hs and educational institutions (</w:t>
      </w:r>
      <w:r w:rsidR="00A837C8" w:rsidRPr="00A837C8">
        <w:rPr>
          <w:i/>
          <w:sz w:val="24"/>
          <w:szCs w:val="24"/>
        </w:rPr>
        <w:t>Walsall Observer</w:t>
      </w:r>
      <w:r w:rsidR="00A837C8">
        <w:rPr>
          <w:sz w:val="24"/>
          <w:szCs w:val="24"/>
        </w:rPr>
        <w:t>, 1892)</w:t>
      </w:r>
      <w:r w:rsidR="00F41354">
        <w:rPr>
          <w:rStyle w:val="EndnoteReference"/>
          <w:sz w:val="24"/>
          <w:szCs w:val="24"/>
        </w:rPr>
        <w:endnoteReference w:id="1"/>
      </w:r>
      <w:r w:rsidR="00A837C8">
        <w:rPr>
          <w:sz w:val="24"/>
          <w:szCs w:val="24"/>
        </w:rPr>
        <w:t>.</w:t>
      </w:r>
      <w:r w:rsidR="00B97375">
        <w:rPr>
          <w:sz w:val="24"/>
          <w:szCs w:val="24"/>
        </w:rPr>
        <w:t xml:space="preserve"> </w:t>
      </w:r>
      <w:r w:rsidR="006401F6">
        <w:rPr>
          <w:sz w:val="24"/>
          <w:szCs w:val="24"/>
        </w:rPr>
        <w:t>The civic and economic infrastructure of town life</w:t>
      </w:r>
      <w:r w:rsidR="00BC6CFA">
        <w:rPr>
          <w:sz w:val="24"/>
          <w:szCs w:val="24"/>
        </w:rPr>
        <w:t xml:space="preserve"> included</w:t>
      </w:r>
      <w:r w:rsidR="000268B4">
        <w:rPr>
          <w:sz w:val="24"/>
          <w:szCs w:val="24"/>
        </w:rPr>
        <w:t xml:space="preserve"> commercial ventures </w:t>
      </w:r>
      <w:r w:rsidR="00BC6CFA">
        <w:rPr>
          <w:sz w:val="24"/>
          <w:szCs w:val="24"/>
        </w:rPr>
        <w:t xml:space="preserve">such </w:t>
      </w:r>
      <w:r w:rsidR="000268B4">
        <w:rPr>
          <w:sz w:val="24"/>
          <w:szCs w:val="24"/>
        </w:rPr>
        <w:t xml:space="preserve">as department stores, </w:t>
      </w:r>
      <w:r w:rsidR="006401F6">
        <w:rPr>
          <w:sz w:val="24"/>
          <w:szCs w:val="24"/>
        </w:rPr>
        <w:t xml:space="preserve">themselves inspired by the great exhibitions of arts and science </w:t>
      </w:r>
      <w:r w:rsidR="00BC6CFA">
        <w:rPr>
          <w:sz w:val="24"/>
          <w:szCs w:val="24"/>
        </w:rPr>
        <w:t>and</w:t>
      </w:r>
      <w:r w:rsidR="00BA5992">
        <w:rPr>
          <w:sz w:val="24"/>
          <w:szCs w:val="24"/>
        </w:rPr>
        <w:t xml:space="preserve"> interacting in an </w:t>
      </w:r>
      <w:r w:rsidR="006401F6">
        <w:rPr>
          <w:sz w:val="24"/>
          <w:szCs w:val="24"/>
        </w:rPr>
        <w:t>arena o</w:t>
      </w:r>
      <w:r w:rsidR="00BA5992">
        <w:rPr>
          <w:sz w:val="24"/>
          <w:szCs w:val="24"/>
        </w:rPr>
        <w:t xml:space="preserve">f public display </w:t>
      </w:r>
      <w:r w:rsidR="006401F6">
        <w:rPr>
          <w:sz w:val="24"/>
          <w:szCs w:val="24"/>
        </w:rPr>
        <w:t xml:space="preserve">and entertainment. Department stores </w:t>
      </w:r>
      <w:r w:rsidR="007D4BF4">
        <w:rPr>
          <w:sz w:val="24"/>
          <w:szCs w:val="24"/>
        </w:rPr>
        <w:t>were as active in proclaiming</w:t>
      </w:r>
      <w:r w:rsidR="006401F6">
        <w:rPr>
          <w:sz w:val="24"/>
          <w:szCs w:val="24"/>
        </w:rPr>
        <w:t xml:space="preserve"> the numbers coming thro</w:t>
      </w:r>
      <w:r w:rsidR="00A837C8">
        <w:rPr>
          <w:sz w:val="24"/>
          <w:szCs w:val="24"/>
        </w:rPr>
        <w:t xml:space="preserve">ugh their doors as </w:t>
      </w:r>
      <w:r w:rsidR="007D4BF4">
        <w:rPr>
          <w:sz w:val="24"/>
          <w:szCs w:val="24"/>
        </w:rPr>
        <w:t>were</w:t>
      </w:r>
      <w:r w:rsidR="00A837C8">
        <w:rPr>
          <w:sz w:val="24"/>
          <w:szCs w:val="24"/>
        </w:rPr>
        <w:t xml:space="preserve"> museums (Crossick &amp; </w:t>
      </w:r>
      <w:proofErr w:type="spellStart"/>
      <w:r w:rsidR="00A837C8">
        <w:rPr>
          <w:sz w:val="24"/>
          <w:szCs w:val="24"/>
        </w:rPr>
        <w:t>Jaumain</w:t>
      </w:r>
      <w:proofErr w:type="spellEnd"/>
      <w:r w:rsidR="00A837C8">
        <w:rPr>
          <w:sz w:val="24"/>
          <w:szCs w:val="24"/>
        </w:rPr>
        <w:t>, 1999).</w:t>
      </w:r>
    </w:p>
    <w:p w:rsidR="00A61A8F" w:rsidRDefault="007341DA" w:rsidP="004F64F4">
      <w:pPr>
        <w:rPr>
          <w:sz w:val="24"/>
          <w:szCs w:val="24"/>
        </w:rPr>
      </w:pPr>
      <w:r>
        <w:rPr>
          <w:sz w:val="24"/>
          <w:szCs w:val="24"/>
        </w:rPr>
        <w:t xml:space="preserve">The </w:t>
      </w:r>
      <w:r w:rsidR="00075C5A">
        <w:rPr>
          <w:sz w:val="24"/>
          <w:szCs w:val="24"/>
        </w:rPr>
        <w:t>specific arguments for museums</w:t>
      </w:r>
      <w:r w:rsidR="00D465A9">
        <w:rPr>
          <w:sz w:val="24"/>
          <w:szCs w:val="24"/>
        </w:rPr>
        <w:t xml:space="preserve"> and </w:t>
      </w:r>
      <w:r w:rsidR="00604685">
        <w:rPr>
          <w:sz w:val="24"/>
          <w:szCs w:val="24"/>
        </w:rPr>
        <w:t xml:space="preserve">their </w:t>
      </w:r>
      <w:r w:rsidR="00D465A9">
        <w:rPr>
          <w:sz w:val="24"/>
          <w:szCs w:val="24"/>
        </w:rPr>
        <w:t>audiences</w:t>
      </w:r>
      <w:r w:rsidR="003044A7" w:rsidRPr="003044A7">
        <w:rPr>
          <w:sz w:val="24"/>
          <w:szCs w:val="24"/>
        </w:rPr>
        <w:t xml:space="preserve"> </w:t>
      </w:r>
      <w:r w:rsidR="003044A7">
        <w:rPr>
          <w:sz w:val="24"/>
          <w:szCs w:val="24"/>
        </w:rPr>
        <w:t>sat within this framework</w:t>
      </w:r>
      <w:r w:rsidR="00075C5A">
        <w:rPr>
          <w:sz w:val="24"/>
          <w:szCs w:val="24"/>
        </w:rPr>
        <w:t xml:space="preserve">, rooted in </w:t>
      </w:r>
      <w:r w:rsidR="00D465A9">
        <w:rPr>
          <w:sz w:val="24"/>
          <w:szCs w:val="24"/>
        </w:rPr>
        <w:t>a vision</w:t>
      </w:r>
      <w:r w:rsidR="00075C5A">
        <w:rPr>
          <w:sz w:val="24"/>
          <w:szCs w:val="24"/>
        </w:rPr>
        <w:t xml:space="preserve"> of how social order and progress were maintained</w:t>
      </w:r>
      <w:r w:rsidR="003044A7">
        <w:rPr>
          <w:sz w:val="24"/>
          <w:szCs w:val="24"/>
        </w:rPr>
        <w:t xml:space="preserve"> in an evolving liberal society.</w:t>
      </w:r>
      <w:r w:rsidR="00075C5A">
        <w:rPr>
          <w:sz w:val="24"/>
          <w:szCs w:val="24"/>
        </w:rPr>
        <w:t xml:space="preserve"> </w:t>
      </w:r>
      <w:r w:rsidR="00EA0A14">
        <w:rPr>
          <w:sz w:val="24"/>
          <w:szCs w:val="24"/>
        </w:rPr>
        <w:t>They</w:t>
      </w:r>
      <w:r w:rsidR="00E734E8">
        <w:rPr>
          <w:sz w:val="24"/>
          <w:szCs w:val="24"/>
        </w:rPr>
        <w:t xml:space="preserve"> sought </w:t>
      </w:r>
      <w:r w:rsidR="00604685">
        <w:rPr>
          <w:sz w:val="24"/>
          <w:szCs w:val="24"/>
        </w:rPr>
        <w:t>a variety of</w:t>
      </w:r>
      <w:r w:rsidR="00D465A9">
        <w:rPr>
          <w:sz w:val="24"/>
          <w:szCs w:val="24"/>
        </w:rPr>
        <w:t xml:space="preserve"> visitor</w:t>
      </w:r>
      <w:r w:rsidR="00604685">
        <w:rPr>
          <w:sz w:val="24"/>
          <w:szCs w:val="24"/>
        </w:rPr>
        <w:t>s</w:t>
      </w:r>
      <w:r w:rsidR="00D1018F">
        <w:rPr>
          <w:sz w:val="24"/>
          <w:szCs w:val="24"/>
        </w:rPr>
        <w:t xml:space="preserve">: scholars, artists, copyists and the educated elite were all targeted </w:t>
      </w:r>
      <w:r w:rsidR="00D465A9">
        <w:rPr>
          <w:sz w:val="24"/>
          <w:szCs w:val="24"/>
        </w:rPr>
        <w:t>as well as the working class. Meanwhile, an</w:t>
      </w:r>
      <w:r w:rsidR="00D1018F">
        <w:rPr>
          <w:sz w:val="24"/>
          <w:szCs w:val="24"/>
        </w:rPr>
        <w:t xml:space="preserve"> emphasis on inspiring technical and design excellence </w:t>
      </w:r>
      <w:r w:rsidR="00D465A9">
        <w:rPr>
          <w:sz w:val="24"/>
          <w:szCs w:val="24"/>
        </w:rPr>
        <w:t>sat alongside</w:t>
      </w:r>
      <w:r w:rsidR="00D1018F">
        <w:rPr>
          <w:sz w:val="24"/>
          <w:szCs w:val="24"/>
        </w:rPr>
        <w:t xml:space="preserve"> goals for</w:t>
      </w:r>
      <w:r w:rsidR="00D465A9">
        <w:rPr>
          <w:sz w:val="24"/>
          <w:szCs w:val="24"/>
        </w:rPr>
        <w:t xml:space="preserve"> </w:t>
      </w:r>
      <w:r w:rsidR="003044A7">
        <w:rPr>
          <w:sz w:val="24"/>
          <w:szCs w:val="24"/>
        </w:rPr>
        <w:t xml:space="preserve">working-class </w:t>
      </w:r>
      <w:r w:rsidR="00D465A9">
        <w:rPr>
          <w:sz w:val="24"/>
          <w:szCs w:val="24"/>
        </w:rPr>
        <w:t>improvement</w:t>
      </w:r>
      <w:r w:rsidR="00D1018F">
        <w:rPr>
          <w:sz w:val="24"/>
          <w:szCs w:val="24"/>
        </w:rPr>
        <w:t xml:space="preserve">. </w:t>
      </w:r>
      <w:r w:rsidR="00D465A9">
        <w:rPr>
          <w:sz w:val="24"/>
          <w:szCs w:val="24"/>
        </w:rPr>
        <w:t>The former</w:t>
      </w:r>
      <w:r w:rsidR="00E6367C">
        <w:rPr>
          <w:sz w:val="24"/>
          <w:szCs w:val="24"/>
        </w:rPr>
        <w:t xml:space="preserve"> was </w:t>
      </w:r>
      <w:r w:rsidR="00D465A9">
        <w:rPr>
          <w:sz w:val="24"/>
          <w:szCs w:val="24"/>
        </w:rPr>
        <w:t>an objective</w:t>
      </w:r>
      <w:r w:rsidR="00E6367C">
        <w:rPr>
          <w:sz w:val="24"/>
          <w:szCs w:val="24"/>
        </w:rPr>
        <w:t xml:space="preserve"> of the Department of Science &amp; Art</w:t>
      </w:r>
      <w:r w:rsidR="003044A7">
        <w:rPr>
          <w:sz w:val="24"/>
          <w:szCs w:val="24"/>
        </w:rPr>
        <w:t>,</w:t>
      </w:r>
      <w:r w:rsidR="00E6367C">
        <w:rPr>
          <w:sz w:val="24"/>
          <w:szCs w:val="24"/>
        </w:rPr>
        <w:t xml:space="preserve"> se</w:t>
      </w:r>
      <w:r w:rsidR="00D465A9">
        <w:rPr>
          <w:sz w:val="24"/>
          <w:szCs w:val="24"/>
        </w:rPr>
        <w:t>t up after the 1851 Exhibition</w:t>
      </w:r>
      <w:r w:rsidR="003044A7">
        <w:rPr>
          <w:sz w:val="24"/>
          <w:szCs w:val="24"/>
        </w:rPr>
        <w:t>,</w:t>
      </w:r>
      <w:r w:rsidR="00D465A9">
        <w:rPr>
          <w:sz w:val="24"/>
          <w:szCs w:val="24"/>
        </w:rPr>
        <w:t xml:space="preserve"> </w:t>
      </w:r>
      <w:r w:rsidR="00E6367C">
        <w:rPr>
          <w:sz w:val="24"/>
          <w:szCs w:val="24"/>
        </w:rPr>
        <w:t xml:space="preserve">whose loans from the South Kensington Museum were essential for many </w:t>
      </w:r>
      <w:r w:rsidR="00D465A9">
        <w:rPr>
          <w:sz w:val="24"/>
          <w:szCs w:val="24"/>
        </w:rPr>
        <w:t>provincial museums</w:t>
      </w:r>
      <w:r w:rsidR="00B81F5C">
        <w:rPr>
          <w:sz w:val="24"/>
          <w:szCs w:val="24"/>
        </w:rPr>
        <w:t xml:space="preserve">. </w:t>
      </w:r>
      <w:r w:rsidR="00604685">
        <w:rPr>
          <w:sz w:val="24"/>
          <w:szCs w:val="24"/>
        </w:rPr>
        <w:t>The</w:t>
      </w:r>
      <w:r w:rsidR="003044A7">
        <w:rPr>
          <w:sz w:val="24"/>
          <w:szCs w:val="24"/>
        </w:rPr>
        <w:t xml:space="preserve"> civilising power of the arts and</w:t>
      </w:r>
      <w:r w:rsidR="00885C0F">
        <w:rPr>
          <w:sz w:val="24"/>
          <w:szCs w:val="24"/>
        </w:rPr>
        <w:t xml:space="preserve"> moral improvement was </w:t>
      </w:r>
      <w:r w:rsidR="00D465A9">
        <w:rPr>
          <w:sz w:val="24"/>
          <w:szCs w:val="24"/>
        </w:rPr>
        <w:t xml:space="preserve">just one important driver. </w:t>
      </w:r>
      <w:r w:rsidR="00A76EEE">
        <w:rPr>
          <w:sz w:val="24"/>
          <w:szCs w:val="24"/>
        </w:rPr>
        <w:t xml:space="preserve">In </w:t>
      </w:r>
      <w:r w:rsidR="00322131">
        <w:rPr>
          <w:sz w:val="24"/>
          <w:szCs w:val="24"/>
        </w:rPr>
        <w:t xml:space="preserve">Manchester’s </w:t>
      </w:r>
      <w:r w:rsidR="00A76EEE">
        <w:rPr>
          <w:sz w:val="24"/>
          <w:szCs w:val="24"/>
        </w:rPr>
        <w:t xml:space="preserve">major museums </w:t>
      </w:r>
      <w:r w:rsidR="003E67D0">
        <w:rPr>
          <w:sz w:val="24"/>
          <w:szCs w:val="24"/>
        </w:rPr>
        <w:t xml:space="preserve">Rees </w:t>
      </w:r>
      <w:r w:rsidR="0035479C">
        <w:rPr>
          <w:sz w:val="24"/>
          <w:szCs w:val="24"/>
        </w:rPr>
        <w:t xml:space="preserve">Leahy and </w:t>
      </w:r>
      <w:proofErr w:type="spellStart"/>
      <w:r w:rsidR="0035479C">
        <w:rPr>
          <w:sz w:val="24"/>
          <w:szCs w:val="24"/>
        </w:rPr>
        <w:t>McCombe</w:t>
      </w:r>
      <w:proofErr w:type="spellEnd"/>
      <w:r w:rsidR="0035479C">
        <w:rPr>
          <w:sz w:val="24"/>
          <w:szCs w:val="24"/>
        </w:rPr>
        <w:t xml:space="preserve"> fi</w:t>
      </w:r>
      <w:r w:rsidR="00322131">
        <w:rPr>
          <w:sz w:val="24"/>
          <w:szCs w:val="24"/>
        </w:rPr>
        <w:t xml:space="preserve">nd </w:t>
      </w:r>
      <w:r w:rsidR="00A76EEE">
        <w:rPr>
          <w:sz w:val="24"/>
          <w:szCs w:val="24"/>
        </w:rPr>
        <w:t xml:space="preserve">a </w:t>
      </w:r>
      <w:r w:rsidR="00AA5BB8">
        <w:rPr>
          <w:sz w:val="24"/>
          <w:szCs w:val="24"/>
        </w:rPr>
        <w:t>combination</w:t>
      </w:r>
      <w:r w:rsidR="00A76EEE">
        <w:rPr>
          <w:sz w:val="24"/>
          <w:szCs w:val="24"/>
        </w:rPr>
        <w:t xml:space="preserve"> of </w:t>
      </w:r>
      <w:r w:rsidR="00D465A9">
        <w:rPr>
          <w:sz w:val="24"/>
          <w:szCs w:val="24"/>
        </w:rPr>
        <w:t xml:space="preserve">educational, social and aesthetic purposes, </w:t>
      </w:r>
      <w:r w:rsidR="00322131">
        <w:rPr>
          <w:sz w:val="24"/>
          <w:szCs w:val="24"/>
        </w:rPr>
        <w:t>with only</w:t>
      </w:r>
      <w:r w:rsidR="00D465A9">
        <w:rPr>
          <w:sz w:val="24"/>
          <w:szCs w:val="24"/>
        </w:rPr>
        <w:t xml:space="preserve"> </w:t>
      </w:r>
      <w:proofErr w:type="spellStart"/>
      <w:r w:rsidR="00A76EEE">
        <w:rPr>
          <w:sz w:val="24"/>
          <w:szCs w:val="24"/>
        </w:rPr>
        <w:t>Ancoats</w:t>
      </w:r>
      <w:proofErr w:type="spellEnd"/>
      <w:r w:rsidR="00322131">
        <w:rPr>
          <w:sz w:val="24"/>
          <w:szCs w:val="24"/>
        </w:rPr>
        <w:t xml:space="preserve"> Art Museum</w:t>
      </w:r>
      <w:r w:rsidR="00A76EEE">
        <w:rPr>
          <w:sz w:val="24"/>
          <w:szCs w:val="24"/>
        </w:rPr>
        <w:t xml:space="preserve">, </w:t>
      </w:r>
      <w:r w:rsidR="00D465A9">
        <w:rPr>
          <w:sz w:val="24"/>
          <w:szCs w:val="24"/>
        </w:rPr>
        <w:t>founded by the reformer TC Horsfall</w:t>
      </w:r>
      <w:r w:rsidR="00322131">
        <w:rPr>
          <w:sz w:val="24"/>
          <w:szCs w:val="24"/>
        </w:rPr>
        <w:t xml:space="preserve">, </w:t>
      </w:r>
      <w:r w:rsidR="0035479C">
        <w:rPr>
          <w:sz w:val="24"/>
          <w:szCs w:val="24"/>
        </w:rPr>
        <w:t>articulating a</w:t>
      </w:r>
      <w:r w:rsidR="00D465A9">
        <w:rPr>
          <w:sz w:val="24"/>
          <w:szCs w:val="24"/>
        </w:rPr>
        <w:t xml:space="preserve"> coherent vision to create social and spiritual resources for people in the margins of the city</w:t>
      </w:r>
      <w:r w:rsidR="00F2249D">
        <w:rPr>
          <w:sz w:val="24"/>
          <w:szCs w:val="24"/>
        </w:rPr>
        <w:t xml:space="preserve"> (</w:t>
      </w:r>
      <w:r w:rsidR="003E67D0">
        <w:rPr>
          <w:sz w:val="24"/>
          <w:szCs w:val="24"/>
        </w:rPr>
        <w:t xml:space="preserve">Rees </w:t>
      </w:r>
      <w:r w:rsidR="00F2249D">
        <w:rPr>
          <w:sz w:val="24"/>
          <w:szCs w:val="24"/>
        </w:rPr>
        <w:t xml:space="preserve">Leahy &amp; </w:t>
      </w:r>
      <w:proofErr w:type="spellStart"/>
      <w:r w:rsidR="00F2249D">
        <w:rPr>
          <w:sz w:val="24"/>
          <w:szCs w:val="24"/>
        </w:rPr>
        <w:t>McCombe</w:t>
      </w:r>
      <w:proofErr w:type="spellEnd"/>
      <w:r w:rsidR="00F2249D">
        <w:rPr>
          <w:sz w:val="24"/>
          <w:szCs w:val="24"/>
        </w:rPr>
        <w:t xml:space="preserve">, </w:t>
      </w:r>
      <w:r w:rsidR="006263EF">
        <w:rPr>
          <w:sz w:val="24"/>
          <w:szCs w:val="24"/>
        </w:rPr>
        <w:t>2015)</w:t>
      </w:r>
      <w:r w:rsidR="006C2BBD">
        <w:rPr>
          <w:sz w:val="24"/>
          <w:szCs w:val="24"/>
        </w:rPr>
        <w:t>.</w:t>
      </w:r>
      <w:r w:rsidR="003044A7">
        <w:rPr>
          <w:sz w:val="24"/>
          <w:szCs w:val="24"/>
        </w:rPr>
        <w:t xml:space="preserve"> </w:t>
      </w:r>
      <w:r w:rsidR="0035479C">
        <w:rPr>
          <w:sz w:val="24"/>
          <w:szCs w:val="24"/>
        </w:rPr>
        <w:t>A</w:t>
      </w:r>
      <w:r w:rsidR="000F652B">
        <w:rPr>
          <w:sz w:val="24"/>
          <w:szCs w:val="24"/>
        </w:rPr>
        <w:t xml:space="preserve"> </w:t>
      </w:r>
      <w:r w:rsidR="00EA0A14">
        <w:rPr>
          <w:sz w:val="24"/>
          <w:szCs w:val="24"/>
        </w:rPr>
        <w:t>balance</w:t>
      </w:r>
      <w:r w:rsidR="000F652B">
        <w:rPr>
          <w:sz w:val="24"/>
          <w:szCs w:val="24"/>
        </w:rPr>
        <w:t xml:space="preserve"> between industrial design, moral improvement a</w:t>
      </w:r>
      <w:r w:rsidR="0035479C">
        <w:rPr>
          <w:sz w:val="24"/>
          <w:szCs w:val="24"/>
        </w:rPr>
        <w:t xml:space="preserve">nd education was present in provincial </w:t>
      </w:r>
      <w:r w:rsidR="000F652B">
        <w:rPr>
          <w:sz w:val="24"/>
          <w:szCs w:val="24"/>
        </w:rPr>
        <w:t xml:space="preserve">museums as the century </w:t>
      </w:r>
      <w:proofErr w:type="gramStart"/>
      <w:r w:rsidR="000F652B">
        <w:rPr>
          <w:sz w:val="24"/>
          <w:szCs w:val="24"/>
        </w:rPr>
        <w:t>drew to a close</w:t>
      </w:r>
      <w:proofErr w:type="gramEnd"/>
      <w:r w:rsidR="00322131">
        <w:rPr>
          <w:sz w:val="24"/>
          <w:szCs w:val="24"/>
        </w:rPr>
        <w:t xml:space="preserve">, blended </w:t>
      </w:r>
      <w:r w:rsidR="00AA5BB8">
        <w:rPr>
          <w:sz w:val="24"/>
          <w:szCs w:val="24"/>
        </w:rPr>
        <w:t xml:space="preserve">unevenly </w:t>
      </w:r>
      <w:r w:rsidR="00322131">
        <w:rPr>
          <w:sz w:val="24"/>
          <w:szCs w:val="24"/>
        </w:rPr>
        <w:t>into a confident vision of their purpose</w:t>
      </w:r>
      <w:r w:rsidR="000F652B">
        <w:rPr>
          <w:sz w:val="24"/>
          <w:szCs w:val="24"/>
        </w:rPr>
        <w:t xml:space="preserve">. We need to be cautious about extrapolating from the discourse around a handful of large London national museums in the 1840s and 1850s to the motives of those </w:t>
      </w:r>
      <w:r w:rsidR="00322131">
        <w:rPr>
          <w:sz w:val="24"/>
          <w:szCs w:val="24"/>
        </w:rPr>
        <w:t>who established</w:t>
      </w:r>
      <w:r w:rsidR="000F652B">
        <w:rPr>
          <w:sz w:val="24"/>
          <w:szCs w:val="24"/>
        </w:rPr>
        <w:t xml:space="preserve"> museums in towns across</w:t>
      </w:r>
      <w:r w:rsidR="00322131">
        <w:rPr>
          <w:sz w:val="24"/>
          <w:szCs w:val="24"/>
        </w:rPr>
        <w:t xml:space="preserve"> provincial England in the subsequent decades. These museums </w:t>
      </w:r>
      <w:r w:rsidR="000F652B">
        <w:rPr>
          <w:sz w:val="24"/>
          <w:szCs w:val="24"/>
        </w:rPr>
        <w:t>make sense only in the larger urban, social and di</w:t>
      </w:r>
      <w:r w:rsidR="00322131">
        <w:rPr>
          <w:sz w:val="24"/>
          <w:szCs w:val="24"/>
        </w:rPr>
        <w:t>scursive world in which they</w:t>
      </w:r>
      <w:r w:rsidR="000F652B">
        <w:rPr>
          <w:sz w:val="24"/>
          <w:szCs w:val="24"/>
        </w:rPr>
        <w:t xml:space="preserve"> were founded, a world in which </w:t>
      </w:r>
      <w:r w:rsidR="00ED0C4F">
        <w:rPr>
          <w:sz w:val="24"/>
          <w:szCs w:val="24"/>
        </w:rPr>
        <w:t>a range of</w:t>
      </w:r>
      <w:r w:rsidR="000F652B">
        <w:rPr>
          <w:sz w:val="24"/>
          <w:szCs w:val="24"/>
        </w:rPr>
        <w:t xml:space="preserve"> motives</w:t>
      </w:r>
      <w:r w:rsidR="0035479C" w:rsidRPr="0035479C">
        <w:rPr>
          <w:sz w:val="24"/>
          <w:szCs w:val="24"/>
        </w:rPr>
        <w:t xml:space="preserve"> </w:t>
      </w:r>
      <w:r w:rsidR="0035479C">
        <w:rPr>
          <w:sz w:val="24"/>
          <w:szCs w:val="24"/>
        </w:rPr>
        <w:t>jostled for attention</w:t>
      </w:r>
      <w:r w:rsidR="005123F3">
        <w:rPr>
          <w:sz w:val="24"/>
          <w:szCs w:val="24"/>
        </w:rPr>
        <w:t xml:space="preserve">, all rooted in a </w:t>
      </w:r>
      <w:proofErr w:type="gramStart"/>
      <w:r w:rsidR="005123F3">
        <w:rPr>
          <w:sz w:val="24"/>
          <w:szCs w:val="24"/>
        </w:rPr>
        <w:t>particular conception</w:t>
      </w:r>
      <w:proofErr w:type="gramEnd"/>
      <w:r w:rsidR="005123F3">
        <w:rPr>
          <w:sz w:val="24"/>
          <w:szCs w:val="24"/>
        </w:rPr>
        <w:t xml:space="preserve"> of an </w:t>
      </w:r>
      <w:r w:rsidR="00334C8C">
        <w:rPr>
          <w:sz w:val="24"/>
          <w:szCs w:val="24"/>
        </w:rPr>
        <w:t xml:space="preserve">urban </w:t>
      </w:r>
      <w:r w:rsidR="0035479C">
        <w:rPr>
          <w:sz w:val="24"/>
          <w:szCs w:val="24"/>
        </w:rPr>
        <w:t>industrial civic order.</w:t>
      </w:r>
      <w:r w:rsidR="00A61A8F">
        <w:rPr>
          <w:sz w:val="24"/>
          <w:szCs w:val="24"/>
        </w:rPr>
        <w:t xml:space="preserve"> </w:t>
      </w:r>
      <w:r w:rsidR="00322131">
        <w:rPr>
          <w:sz w:val="24"/>
          <w:szCs w:val="24"/>
        </w:rPr>
        <w:t xml:space="preserve">It </w:t>
      </w:r>
      <w:r w:rsidR="0035479C">
        <w:rPr>
          <w:sz w:val="24"/>
          <w:szCs w:val="24"/>
        </w:rPr>
        <w:t xml:space="preserve">is </w:t>
      </w:r>
      <w:r w:rsidR="00322131">
        <w:rPr>
          <w:sz w:val="24"/>
          <w:szCs w:val="24"/>
        </w:rPr>
        <w:t xml:space="preserve">hardly surprising </w:t>
      </w:r>
      <w:r w:rsidR="0035479C">
        <w:rPr>
          <w:sz w:val="24"/>
          <w:szCs w:val="24"/>
        </w:rPr>
        <w:t>that</w:t>
      </w:r>
      <w:r w:rsidR="00322131">
        <w:rPr>
          <w:sz w:val="24"/>
          <w:szCs w:val="24"/>
        </w:rPr>
        <w:t xml:space="preserve"> </w:t>
      </w:r>
      <w:r w:rsidR="003E67D0">
        <w:rPr>
          <w:sz w:val="24"/>
          <w:szCs w:val="24"/>
        </w:rPr>
        <w:t xml:space="preserve">most </w:t>
      </w:r>
      <w:r w:rsidR="00A61A8F">
        <w:rPr>
          <w:sz w:val="24"/>
          <w:szCs w:val="24"/>
        </w:rPr>
        <w:t xml:space="preserve">data </w:t>
      </w:r>
      <w:proofErr w:type="gramStart"/>
      <w:r w:rsidR="00A61A8F">
        <w:rPr>
          <w:sz w:val="24"/>
          <w:szCs w:val="24"/>
        </w:rPr>
        <w:t>was</w:t>
      </w:r>
      <w:proofErr w:type="gramEnd"/>
      <w:r w:rsidR="00A61A8F">
        <w:rPr>
          <w:sz w:val="24"/>
          <w:szCs w:val="24"/>
        </w:rPr>
        <w:t xml:space="preserve"> </w:t>
      </w:r>
      <w:r w:rsidR="0035479C">
        <w:rPr>
          <w:sz w:val="24"/>
          <w:szCs w:val="24"/>
        </w:rPr>
        <w:t>not</w:t>
      </w:r>
      <w:r w:rsidR="00A61A8F">
        <w:rPr>
          <w:sz w:val="24"/>
          <w:szCs w:val="24"/>
        </w:rPr>
        <w:t xml:space="preserve"> collected with a view to analysing who </w:t>
      </w:r>
      <w:r w:rsidR="0035479C">
        <w:rPr>
          <w:sz w:val="24"/>
          <w:szCs w:val="24"/>
        </w:rPr>
        <w:t>visitors</w:t>
      </w:r>
      <w:r w:rsidR="00A61A8F">
        <w:rPr>
          <w:sz w:val="24"/>
          <w:szCs w:val="24"/>
        </w:rPr>
        <w:t xml:space="preserve"> were, even in London which remained a distinctive case because of its association with nationhood.</w:t>
      </w:r>
    </w:p>
    <w:p w:rsidR="007F005E" w:rsidRDefault="00EB09C6" w:rsidP="004F64F4">
      <w:pPr>
        <w:rPr>
          <w:sz w:val="24"/>
          <w:szCs w:val="24"/>
        </w:rPr>
      </w:pPr>
      <w:r>
        <w:rPr>
          <w:sz w:val="24"/>
          <w:szCs w:val="24"/>
        </w:rPr>
        <w:t xml:space="preserve">According to </w:t>
      </w:r>
      <w:proofErr w:type="spellStart"/>
      <w:r>
        <w:rPr>
          <w:sz w:val="24"/>
          <w:szCs w:val="24"/>
        </w:rPr>
        <w:t>Meller</w:t>
      </w:r>
      <w:proofErr w:type="spellEnd"/>
      <w:r>
        <w:rPr>
          <w:sz w:val="24"/>
          <w:szCs w:val="24"/>
        </w:rPr>
        <w:t xml:space="preserve">, the ideals of a liberal cultural consensus that had driven many civic initiatives in later nineteenth-century Bristol, including its museum and art gallery, already </w:t>
      </w:r>
      <w:r w:rsidR="00D000AC">
        <w:rPr>
          <w:sz w:val="24"/>
          <w:szCs w:val="24"/>
        </w:rPr>
        <w:t>seemed</w:t>
      </w:r>
      <w:r>
        <w:rPr>
          <w:sz w:val="24"/>
          <w:szCs w:val="24"/>
        </w:rPr>
        <w:t xml:space="preserve"> anachronistic as the new century got under way. Business elites </w:t>
      </w:r>
      <w:r w:rsidR="00D000AC">
        <w:rPr>
          <w:sz w:val="24"/>
          <w:szCs w:val="24"/>
        </w:rPr>
        <w:t>there</w:t>
      </w:r>
      <w:r>
        <w:rPr>
          <w:sz w:val="24"/>
          <w:szCs w:val="24"/>
        </w:rPr>
        <w:t xml:space="preserve"> </w:t>
      </w:r>
      <w:r w:rsidR="005D7694">
        <w:rPr>
          <w:sz w:val="24"/>
          <w:szCs w:val="24"/>
        </w:rPr>
        <w:t>steadily</w:t>
      </w:r>
      <w:r>
        <w:rPr>
          <w:sz w:val="24"/>
          <w:szCs w:val="24"/>
        </w:rPr>
        <w:t xml:space="preserve"> ceded cultural leaders</w:t>
      </w:r>
      <w:r w:rsidR="005D7694">
        <w:rPr>
          <w:sz w:val="24"/>
          <w:szCs w:val="24"/>
        </w:rPr>
        <w:t xml:space="preserve">hip to professionals, above all </w:t>
      </w:r>
      <w:r>
        <w:rPr>
          <w:sz w:val="24"/>
          <w:szCs w:val="24"/>
        </w:rPr>
        <w:t>educationalists</w:t>
      </w:r>
      <w:r w:rsidR="006C2BBD">
        <w:rPr>
          <w:sz w:val="24"/>
          <w:szCs w:val="24"/>
        </w:rPr>
        <w:t xml:space="preserve"> (</w:t>
      </w:r>
      <w:proofErr w:type="spellStart"/>
      <w:r w:rsidR="006C2BBD">
        <w:rPr>
          <w:sz w:val="24"/>
          <w:szCs w:val="24"/>
        </w:rPr>
        <w:t>Meller</w:t>
      </w:r>
      <w:proofErr w:type="spellEnd"/>
      <w:r w:rsidR="001F6673">
        <w:rPr>
          <w:sz w:val="24"/>
          <w:szCs w:val="24"/>
        </w:rPr>
        <w:t>, 1976)</w:t>
      </w:r>
      <w:r>
        <w:rPr>
          <w:sz w:val="24"/>
          <w:szCs w:val="24"/>
        </w:rPr>
        <w:t xml:space="preserve">. The </w:t>
      </w:r>
      <w:r w:rsidR="006E2909">
        <w:rPr>
          <w:sz w:val="24"/>
          <w:szCs w:val="24"/>
        </w:rPr>
        <w:t xml:space="preserve">early twentieth century saw the </w:t>
      </w:r>
      <w:r w:rsidR="000D48C1">
        <w:rPr>
          <w:sz w:val="24"/>
          <w:szCs w:val="24"/>
        </w:rPr>
        <w:t xml:space="preserve">more general </w:t>
      </w:r>
      <w:r w:rsidR="006E2909">
        <w:rPr>
          <w:sz w:val="24"/>
          <w:szCs w:val="24"/>
        </w:rPr>
        <w:t>disintegration of that cohesi</w:t>
      </w:r>
      <w:r w:rsidR="000D48C1">
        <w:rPr>
          <w:sz w:val="24"/>
          <w:szCs w:val="24"/>
        </w:rPr>
        <w:t xml:space="preserve">ve liberal vision across </w:t>
      </w:r>
      <w:r w:rsidR="000D48C1">
        <w:rPr>
          <w:sz w:val="24"/>
          <w:szCs w:val="24"/>
        </w:rPr>
        <w:lastRenderedPageBreak/>
        <w:t>British towns</w:t>
      </w:r>
      <w:r w:rsidR="006E2909">
        <w:rPr>
          <w:sz w:val="24"/>
          <w:szCs w:val="24"/>
        </w:rPr>
        <w:t xml:space="preserve">. It also saw a decline </w:t>
      </w:r>
      <w:r w:rsidR="005D7694">
        <w:rPr>
          <w:sz w:val="24"/>
          <w:szCs w:val="24"/>
        </w:rPr>
        <w:t>from high level</w:t>
      </w:r>
      <w:r w:rsidR="00D000AC">
        <w:rPr>
          <w:sz w:val="24"/>
          <w:szCs w:val="24"/>
        </w:rPr>
        <w:t>s</w:t>
      </w:r>
      <w:r w:rsidR="005D7694">
        <w:rPr>
          <w:sz w:val="24"/>
          <w:szCs w:val="24"/>
        </w:rPr>
        <w:t xml:space="preserve"> of museum-going. </w:t>
      </w:r>
      <w:r w:rsidR="00331DBE">
        <w:rPr>
          <w:sz w:val="24"/>
          <w:szCs w:val="24"/>
        </w:rPr>
        <w:t xml:space="preserve">Far more important than competition amongst museums themselves, </w:t>
      </w:r>
      <w:r w:rsidR="00D000AC">
        <w:rPr>
          <w:sz w:val="24"/>
          <w:szCs w:val="24"/>
        </w:rPr>
        <w:t>whose</w:t>
      </w:r>
      <w:r w:rsidR="00331DBE">
        <w:rPr>
          <w:sz w:val="24"/>
          <w:szCs w:val="24"/>
        </w:rPr>
        <w:t xml:space="preserve"> visitor numbers were not in any case a zero-sum game, was the rise of</w:t>
      </w:r>
      <w:r w:rsidR="00CF0720">
        <w:rPr>
          <w:sz w:val="24"/>
          <w:szCs w:val="24"/>
        </w:rPr>
        <w:t xml:space="preserve"> other visitor attractions and </w:t>
      </w:r>
      <w:r w:rsidR="00331DBE">
        <w:rPr>
          <w:sz w:val="24"/>
          <w:szCs w:val="24"/>
        </w:rPr>
        <w:t xml:space="preserve">major new leisure offerings in the form of cinema and professional football. </w:t>
      </w:r>
      <w:r w:rsidR="00CF0720">
        <w:rPr>
          <w:sz w:val="24"/>
          <w:szCs w:val="24"/>
        </w:rPr>
        <w:t xml:space="preserve">Museum directors </w:t>
      </w:r>
      <w:r w:rsidR="00D000AC">
        <w:rPr>
          <w:sz w:val="24"/>
          <w:szCs w:val="24"/>
        </w:rPr>
        <w:t>worried</w:t>
      </w:r>
      <w:r w:rsidR="00331DBE">
        <w:rPr>
          <w:sz w:val="24"/>
          <w:szCs w:val="24"/>
        </w:rPr>
        <w:t xml:space="preserve"> that it was harder to </w:t>
      </w:r>
      <w:r w:rsidR="008B5409">
        <w:rPr>
          <w:sz w:val="24"/>
          <w:szCs w:val="24"/>
        </w:rPr>
        <w:t>attract</w:t>
      </w:r>
      <w:r w:rsidR="00331DBE">
        <w:rPr>
          <w:sz w:val="24"/>
          <w:szCs w:val="24"/>
        </w:rPr>
        <w:t xml:space="preserve"> visitors</w:t>
      </w:r>
      <w:r w:rsidR="00CF0720">
        <w:rPr>
          <w:sz w:val="24"/>
          <w:szCs w:val="24"/>
        </w:rPr>
        <w:t xml:space="preserve">, </w:t>
      </w:r>
      <w:r w:rsidR="00331DBE">
        <w:rPr>
          <w:sz w:val="24"/>
          <w:szCs w:val="24"/>
        </w:rPr>
        <w:t xml:space="preserve">but </w:t>
      </w:r>
      <w:r w:rsidR="00FB11C2">
        <w:rPr>
          <w:sz w:val="24"/>
          <w:szCs w:val="24"/>
        </w:rPr>
        <w:t xml:space="preserve">it is </w:t>
      </w:r>
      <w:r w:rsidR="00D000AC">
        <w:rPr>
          <w:sz w:val="24"/>
          <w:szCs w:val="24"/>
        </w:rPr>
        <w:t>not</w:t>
      </w:r>
      <w:r w:rsidR="00331DBE">
        <w:rPr>
          <w:sz w:val="24"/>
          <w:szCs w:val="24"/>
        </w:rPr>
        <w:t xml:space="preserve"> clear </w:t>
      </w:r>
      <w:r w:rsidR="00D000AC">
        <w:rPr>
          <w:sz w:val="24"/>
          <w:szCs w:val="24"/>
        </w:rPr>
        <w:t>whether</w:t>
      </w:r>
      <w:r w:rsidR="00331DBE">
        <w:rPr>
          <w:sz w:val="24"/>
          <w:szCs w:val="24"/>
        </w:rPr>
        <w:t xml:space="preserve"> </w:t>
      </w:r>
      <w:r w:rsidR="00FB11C2">
        <w:rPr>
          <w:sz w:val="24"/>
          <w:szCs w:val="24"/>
        </w:rPr>
        <w:t>this</w:t>
      </w:r>
      <w:r w:rsidR="00331DBE">
        <w:rPr>
          <w:sz w:val="24"/>
          <w:szCs w:val="24"/>
        </w:rPr>
        <w:t xml:space="preserve"> </w:t>
      </w:r>
      <w:r w:rsidR="00FB11C2">
        <w:rPr>
          <w:sz w:val="24"/>
          <w:szCs w:val="24"/>
        </w:rPr>
        <w:t>mattered to</w:t>
      </w:r>
      <w:r w:rsidR="00331DBE">
        <w:rPr>
          <w:sz w:val="24"/>
          <w:szCs w:val="24"/>
        </w:rPr>
        <w:t xml:space="preserve"> local or nat</w:t>
      </w:r>
      <w:r w:rsidR="00FB11C2">
        <w:rPr>
          <w:sz w:val="24"/>
          <w:szCs w:val="24"/>
        </w:rPr>
        <w:t>ional elites. O</w:t>
      </w:r>
      <w:r w:rsidR="00CF0720">
        <w:rPr>
          <w:sz w:val="24"/>
          <w:szCs w:val="24"/>
        </w:rPr>
        <w:t>nly in recent</w:t>
      </w:r>
      <w:r w:rsidR="00331DBE">
        <w:rPr>
          <w:sz w:val="24"/>
          <w:szCs w:val="24"/>
        </w:rPr>
        <w:t xml:space="preserve"> decades </w:t>
      </w:r>
      <w:r w:rsidR="00FB11C2">
        <w:rPr>
          <w:sz w:val="24"/>
          <w:szCs w:val="24"/>
        </w:rPr>
        <w:t>have</w:t>
      </w:r>
      <w:r w:rsidR="00331DBE">
        <w:rPr>
          <w:sz w:val="24"/>
          <w:szCs w:val="24"/>
        </w:rPr>
        <w:t xml:space="preserve"> </w:t>
      </w:r>
      <w:r w:rsidR="00FB11C2">
        <w:rPr>
          <w:sz w:val="24"/>
          <w:szCs w:val="24"/>
        </w:rPr>
        <w:t>the</w:t>
      </w:r>
      <w:r w:rsidR="00331DBE">
        <w:rPr>
          <w:sz w:val="24"/>
          <w:szCs w:val="24"/>
        </w:rPr>
        <w:t xml:space="preserve"> numbers and profile </w:t>
      </w:r>
      <w:r w:rsidR="00FB11C2">
        <w:rPr>
          <w:sz w:val="24"/>
          <w:szCs w:val="24"/>
        </w:rPr>
        <w:t xml:space="preserve">of visitors </w:t>
      </w:r>
      <w:r w:rsidR="00331DBE">
        <w:rPr>
          <w:sz w:val="24"/>
          <w:szCs w:val="24"/>
        </w:rPr>
        <w:t xml:space="preserve">become </w:t>
      </w:r>
      <w:r w:rsidR="00FB11C2">
        <w:rPr>
          <w:sz w:val="24"/>
          <w:szCs w:val="24"/>
        </w:rPr>
        <w:t xml:space="preserve">key </w:t>
      </w:r>
      <w:r w:rsidR="00331DBE">
        <w:rPr>
          <w:sz w:val="24"/>
          <w:szCs w:val="24"/>
        </w:rPr>
        <w:t>driver</w:t>
      </w:r>
      <w:r w:rsidR="00FB11C2">
        <w:rPr>
          <w:sz w:val="24"/>
          <w:szCs w:val="24"/>
        </w:rPr>
        <w:t>s</w:t>
      </w:r>
      <w:r w:rsidR="00331DBE">
        <w:rPr>
          <w:sz w:val="24"/>
          <w:szCs w:val="24"/>
        </w:rPr>
        <w:t xml:space="preserve"> of policy and of the demands made of museum</w:t>
      </w:r>
      <w:r w:rsidR="00D000AC">
        <w:rPr>
          <w:sz w:val="24"/>
          <w:szCs w:val="24"/>
        </w:rPr>
        <w:t>s. Detailed numbers in the past did</w:t>
      </w:r>
      <w:r w:rsidR="00331DBE">
        <w:rPr>
          <w:sz w:val="24"/>
          <w:szCs w:val="24"/>
        </w:rPr>
        <w:t xml:space="preserve"> not carry the resonance they do today.</w:t>
      </w:r>
    </w:p>
    <w:p w:rsidR="003D5A5F" w:rsidRDefault="003D5A5F" w:rsidP="004F64F4">
      <w:pPr>
        <w:rPr>
          <w:sz w:val="24"/>
          <w:szCs w:val="24"/>
        </w:rPr>
      </w:pPr>
      <w:r>
        <w:rPr>
          <w:sz w:val="24"/>
          <w:szCs w:val="24"/>
        </w:rPr>
        <w:t xml:space="preserve">What about the objectives of museums themselves? Imperatives change over </w:t>
      </w:r>
      <w:proofErr w:type="gramStart"/>
      <w:r>
        <w:rPr>
          <w:sz w:val="24"/>
          <w:szCs w:val="24"/>
        </w:rPr>
        <w:t>time</w:t>
      </w:r>
      <w:proofErr w:type="gramEnd"/>
      <w:r>
        <w:rPr>
          <w:sz w:val="24"/>
          <w:szCs w:val="24"/>
        </w:rPr>
        <w:t xml:space="preserve"> but </w:t>
      </w:r>
      <w:r w:rsidR="00AA5BB8">
        <w:rPr>
          <w:sz w:val="24"/>
          <w:szCs w:val="24"/>
        </w:rPr>
        <w:t xml:space="preserve">the curation and conservation of </w:t>
      </w:r>
      <w:r>
        <w:rPr>
          <w:sz w:val="24"/>
          <w:szCs w:val="24"/>
        </w:rPr>
        <w:t>collections</w:t>
      </w:r>
      <w:r w:rsidR="00AA5BB8">
        <w:rPr>
          <w:sz w:val="24"/>
          <w:szCs w:val="24"/>
        </w:rPr>
        <w:t xml:space="preserve"> </w:t>
      </w:r>
      <w:r w:rsidR="001E4F41">
        <w:rPr>
          <w:sz w:val="24"/>
          <w:szCs w:val="24"/>
        </w:rPr>
        <w:t>were</w:t>
      </w:r>
      <w:r>
        <w:rPr>
          <w:sz w:val="24"/>
          <w:szCs w:val="24"/>
        </w:rPr>
        <w:t xml:space="preserve"> often in tension with visitor numbers. This was particularly an issue for the major London museums, </w:t>
      </w:r>
      <w:r w:rsidR="004E54FF">
        <w:rPr>
          <w:sz w:val="24"/>
          <w:szCs w:val="24"/>
        </w:rPr>
        <w:t>something</w:t>
      </w:r>
      <w:r>
        <w:rPr>
          <w:sz w:val="24"/>
          <w:szCs w:val="24"/>
        </w:rPr>
        <w:t xml:space="preserve"> starkly evident </w:t>
      </w:r>
      <w:r w:rsidR="00D23499">
        <w:rPr>
          <w:sz w:val="24"/>
          <w:szCs w:val="24"/>
        </w:rPr>
        <w:t>in</w:t>
      </w:r>
      <w:r>
        <w:rPr>
          <w:sz w:val="24"/>
          <w:szCs w:val="24"/>
        </w:rPr>
        <w:t xml:space="preserve"> parliamentary inquiries into the </w:t>
      </w:r>
      <w:r w:rsidR="000D48C1">
        <w:rPr>
          <w:sz w:val="24"/>
          <w:szCs w:val="24"/>
        </w:rPr>
        <w:t>best</w:t>
      </w:r>
      <w:r>
        <w:rPr>
          <w:sz w:val="24"/>
          <w:szCs w:val="24"/>
        </w:rPr>
        <w:t xml:space="preserve"> lo</w:t>
      </w:r>
      <w:r w:rsidR="004E54FF">
        <w:rPr>
          <w:sz w:val="24"/>
          <w:szCs w:val="24"/>
        </w:rPr>
        <w:t xml:space="preserve">cation for the National Gallery, </w:t>
      </w:r>
      <w:r w:rsidR="001E4F41">
        <w:rPr>
          <w:sz w:val="24"/>
          <w:szCs w:val="24"/>
        </w:rPr>
        <w:t>constrained by</w:t>
      </w:r>
      <w:r>
        <w:rPr>
          <w:sz w:val="24"/>
          <w:szCs w:val="24"/>
        </w:rPr>
        <w:t xml:space="preserve"> its </w:t>
      </w:r>
      <w:r w:rsidR="001E4F41">
        <w:rPr>
          <w:sz w:val="24"/>
          <w:szCs w:val="24"/>
        </w:rPr>
        <w:t>then very small</w:t>
      </w:r>
      <w:r>
        <w:rPr>
          <w:sz w:val="24"/>
          <w:szCs w:val="24"/>
        </w:rPr>
        <w:t xml:space="preserve"> Trafalgar Square site where dirt and pollution threatened the condition of the paintings. In 1857 the National Gallery Site Commission even sent one of its number, no less a scientist than Michael Faraday, to the British Museum to determine the effects of ‘smoke, dust and atmospheric influences’ on the sculptures there. The deterioration of the </w:t>
      </w:r>
      <w:r w:rsidR="004E54FF">
        <w:rPr>
          <w:sz w:val="24"/>
          <w:szCs w:val="24"/>
        </w:rPr>
        <w:t xml:space="preserve">collection </w:t>
      </w:r>
      <w:r w:rsidR="001E4F41">
        <w:rPr>
          <w:sz w:val="24"/>
          <w:szCs w:val="24"/>
        </w:rPr>
        <w:t>through</w:t>
      </w:r>
      <w:r>
        <w:rPr>
          <w:sz w:val="24"/>
          <w:szCs w:val="24"/>
        </w:rPr>
        <w:t xml:space="preserve"> dirt </w:t>
      </w:r>
      <w:r w:rsidR="001E4F41">
        <w:rPr>
          <w:sz w:val="24"/>
          <w:szCs w:val="24"/>
        </w:rPr>
        <w:t>brought</w:t>
      </w:r>
      <w:r>
        <w:rPr>
          <w:sz w:val="24"/>
          <w:szCs w:val="24"/>
        </w:rPr>
        <w:t xml:space="preserve"> </w:t>
      </w:r>
      <w:r w:rsidR="004E54FF">
        <w:rPr>
          <w:sz w:val="24"/>
          <w:szCs w:val="24"/>
        </w:rPr>
        <w:t xml:space="preserve">in on the clothing of visitors </w:t>
      </w:r>
      <w:r>
        <w:rPr>
          <w:sz w:val="24"/>
          <w:szCs w:val="24"/>
        </w:rPr>
        <w:t>was a continuing theme of the Commission</w:t>
      </w:r>
      <w:r w:rsidR="00AA5BB8">
        <w:rPr>
          <w:sz w:val="24"/>
          <w:szCs w:val="24"/>
        </w:rPr>
        <w:t xml:space="preserve"> </w:t>
      </w:r>
      <w:r w:rsidR="004E54FF">
        <w:rPr>
          <w:sz w:val="24"/>
          <w:szCs w:val="24"/>
        </w:rPr>
        <w:t>as it</w:t>
      </w:r>
      <w:r w:rsidR="00AA5BB8">
        <w:rPr>
          <w:sz w:val="24"/>
          <w:szCs w:val="24"/>
        </w:rPr>
        <w:t xml:space="preserve"> considered </w:t>
      </w:r>
      <w:r w:rsidR="00962B3B">
        <w:rPr>
          <w:sz w:val="24"/>
          <w:szCs w:val="24"/>
        </w:rPr>
        <w:t>an</w:t>
      </w:r>
      <w:r w:rsidR="00AA5BB8">
        <w:rPr>
          <w:sz w:val="24"/>
          <w:szCs w:val="24"/>
        </w:rPr>
        <w:t xml:space="preserve"> alternative site at Kensington Gore</w:t>
      </w:r>
      <w:r>
        <w:rPr>
          <w:sz w:val="24"/>
          <w:szCs w:val="24"/>
        </w:rPr>
        <w:t>.</w:t>
      </w:r>
    </w:p>
    <w:p w:rsidR="004A1882" w:rsidRDefault="004E54FF" w:rsidP="004F64F4">
      <w:pPr>
        <w:rPr>
          <w:sz w:val="24"/>
          <w:szCs w:val="24"/>
        </w:rPr>
      </w:pPr>
      <w:r>
        <w:rPr>
          <w:sz w:val="24"/>
          <w:szCs w:val="24"/>
        </w:rPr>
        <w:t>When John Coleridge, a judge</w:t>
      </w:r>
      <w:r w:rsidR="003D5A5F">
        <w:rPr>
          <w:sz w:val="24"/>
          <w:szCs w:val="24"/>
        </w:rPr>
        <w:t xml:space="preserve"> and Liberal politician, </w:t>
      </w:r>
      <w:r w:rsidR="00962B3B">
        <w:rPr>
          <w:sz w:val="24"/>
          <w:szCs w:val="24"/>
        </w:rPr>
        <w:t>wrote</w:t>
      </w:r>
      <w:r w:rsidR="003D5A5F">
        <w:rPr>
          <w:sz w:val="24"/>
          <w:szCs w:val="24"/>
        </w:rPr>
        <w:t xml:space="preserve"> to the Commission</w:t>
      </w:r>
      <w:r w:rsidR="004A1882">
        <w:rPr>
          <w:sz w:val="24"/>
          <w:szCs w:val="24"/>
        </w:rPr>
        <w:t xml:space="preserve"> he </w:t>
      </w:r>
      <w:r>
        <w:rPr>
          <w:sz w:val="24"/>
          <w:szCs w:val="24"/>
        </w:rPr>
        <w:t>set out</w:t>
      </w:r>
      <w:r w:rsidR="004A1882">
        <w:rPr>
          <w:sz w:val="24"/>
          <w:szCs w:val="24"/>
        </w:rPr>
        <w:t xml:space="preserve"> a very personal position </w:t>
      </w:r>
      <w:r w:rsidR="00962B3B">
        <w:rPr>
          <w:sz w:val="24"/>
          <w:szCs w:val="24"/>
        </w:rPr>
        <w:t>but</w:t>
      </w:r>
      <w:r w:rsidR="004A1882">
        <w:rPr>
          <w:sz w:val="24"/>
          <w:szCs w:val="24"/>
        </w:rPr>
        <w:t xml:space="preserve"> </w:t>
      </w:r>
      <w:r w:rsidR="001E4F41">
        <w:rPr>
          <w:sz w:val="24"/>
          <w:szCs w:val="24"/>
        </w:rPr>
        <w:t xml:space="preserve">in doing so </w:t>
      </w:r>
      <w:r w:rsidR="004A1882">
        <w:rPr>
          <w:sz w:val="24"/>
          <w:szCs w:val="24"/>
        </w:rPr>
        <w:t xml:space="preserve">highlighted an issue that has remained pertinent ever since. Accessibility of ordinary people to the collections of the National Gallery could not be </w:t>
      </w:r>
      <w:r>
        <w:rPr>
          <w:sz w:val="24"/>
          <w:szCs w:val="24"/>
        </w:rPr>
        <w:t>constrained</w:t>
      </w:r>
      <w:r w:rsidR="004A1882">
        <w:rPr>
          <w:sz w:val="24"/>
          <w:szCs w:val="24"/>
        </w:rPr>
        <w:t xml:space="preserve"> </w:t>
      </w:r>
      <w:proofErr w:type="gramStart"/>
      <w:r w:rsidR="004A1882">
        <w:rPr>
          <w:sz w:val="24"/>
          <w:szCs w:val="24"/>
        </w:rPr>
        <w:t xml:space="preserve">in </w:t>
      </w:r>
      <w:r w:rsidR="00962B3B">
        <w:rPr>
          <w:sz w:val="24"/>
          <w:szCs w:val="24"/>
        </w:rPr>
        <w:t>order to</w:t>
      </w:r>
      <w:proofErr w:type="gramEnd"/>
      <w:r w:rsidR="00962B3B">
        <w:rPr>
          <w:sz w:val="24"/>
          <w:szCs w:val="24"/>
        </w:rPr>
        <w:t xml:space="preserve"> protect</w:t>
      </w:r>
      <w:r w:rsidR="004A1882">
        <w:rPr>
          <w:sz w:val="24"/>
          <w:szCs w:val="24"/>
        </w:rPr>
        <w:t xml:space="preserve"> the collection, </w:t>
      </w:r>
      <w:r w:rsidR="000D48C1">
        <w:rPr>
          <w:sz w:val="24"/>
          <w:szCs w:val="24"/>
        </w:rPr>
        <w:t xml:space="preserve">he argued, </w:t>
      </w:r>
      <w:r w:rsidR="004A1882">
        <w:rPr>
          <w:sz w:val="24"/>
          <w:szCs w:val="24"/>
        </w:rPr>
        <w:t xml:space="preserve">for what was the collection for? </w:t>
      </w:r>
    </w:p>
    <w:p w:rsidR="003D5A5F" w:rsidRDefault="001E4F41" w:rsidP="004A1882">
      <w:pPr>
        <w:ind w:left="720"/>
        <w:rPr>
          <w:sz w:val="24"/>
          <w:szCs w:val="24"/>
        </w:rPr>
      </w:pPr>
      <w:r>
        <w:rPr>
          <w:sz w:val="24"/>
          <w:szCs w:val="24"/>
        </w:rPr>
        <w:t>… [I]</w:t>
      </w:r>
      <w:r w:rsidR="004A1882">
        <w:rPr>
          <w:sz w:val="24"/>
          <w:szCs w:val="24"/>
        </w:rPr>
        <w:t xml:space="preserve">f it </w:t>
      </w:r>
      <w:proofErr w:type="gramStart"/>
      <w:r w:rsidR="004A1882">
        <w:rPr>
          <w:sz w:val="24"/>
          <w:szCs w:val="24"/>
        </w:rPr>
        <w:t>were</w:t>
      </w:r>
      <w:proofErr w:type="gramEnd"/>
      <w:r w:rsidR="004A1882">
        <w:rPr>
          <w:sz w:val="24"/>
          <w:szCs w:val="24"/>
        </w:rPr>
        <w:t xml:space="preserve"> demonstrable that the pictures in their present position must absolutely perish sooner than at Kensington, I conceive this would conclude nothing. </w:t>
      </w:r>
      <w:r>
        <w:rPr>
          <w:sz w:val="24"/>
          <w:szCs w:val="24"/>
        </w:rPr>
        <w:t>The existence of the pictures is</w:t>
      </w:r>
      <w:r w:rsidR="004A1882">
        <w:rPr>
          <w:sz w:val="24"/>
          <w:szCs w:val="24"/>
        </w:rPr>
        <w:t xml:space="preserve"> not the end of the collection, but the means only to give the people an ennobling enjoyment; to purify their </w:t>
      </w:r>
      <w:proofErr w:type="gramStart"/>
      <w:r w:rsidR="004A1882">
        <w:rPr>
          <w:sz w:val="24"/>
          <w:szCs w:val="24"/>
        </w:rPr>
        <w:t>tastes, and</w:t>
      </w:r>
      <w:proofErr w:type="gramEnd"/>
      <w:r w:rsidR="004A1882">
        <w:rPr>
          <w:sz w:val="24"/>
          <w:szCs w:val="24"/>
        </w:rPr>
        <w:t xml:space="preserve"> wean them from polluting and debasing habits. If while so employed a great picture ‘perished in the using’, if every earnest spectator literally carried off some portion of its freshness and beauty, and in effect transferred it to his own mind, it could not be said that the pictures had not fulfilled the best purpose of the purchase, or that it had been lost in its results to the nation</w:t>
      </w:r>
      <w:r w:rsidR="0076506C">
        <w:rPr>
          <w:sz w:val="24"/>
          <w:szCs w:val="24"/>
        </w:rPr>
        <w:t>. (</w:t>
      </w:r>
      <w:r w:rsidR="0076506C" w:rsidRPr="00E540E8">
        <w:rPr>
          <w:sz w:val="24"/>
          <w:szCs w:val="24"/>
        </w:rPr>
        <w:t>National Gallery Site Commission</w:t>
      </w:r>
      <w:r w:rsidR="0076506C">
        <w:rPr>
          <w:sz w:val="24"/>
          <w:szCs w:val="24"/>
        </w:rPr>
        <w:t>, 1857, p. 167)</w:t>
      </w:r>
    </w:p>
    <w:p w:rsidR="004120B2" w:rsidRDefault="004120B2" w:rsidP="004120B2">
      <w:pPr>
        <w:rPr>
          <w:sz w:val="24"/>
          <w:szCs w:val="24"/>
        </w:rPr>
      </w:pPr>
      <w:r>
        <w:rPr>
          <w:sz w:val="24"/>
          <w:szCs w:val="24"/>
        </w:rPr>
        <w:t xml:space="preserve">This mid-Victorian </w:t>
      </w:r>
      <w:r w:rsidR="008D5BFD">
        <w:rPr>
          <w:sz w:val="24"/>
          <w:szCs w:val="24"/>
        </w:rPr>
        <w:t xml:space="preserve">Liberal </w:t>
      </w:r>
      <w:r>
        <w:rPr>
          <w:sz w:val="24"/>
          <w:szCs w:val="24"/>
        </w:rPr>
        <w:t xml:space="preserve">formulation is of its moment, but the conflicting priorities of custodianship for the future and access in the present engage all who manage collections today. </w:t>
      </w:r>
      <w:r w:rsidR="00092A0B">
        <w:rPr>
          <w:sz w:val="24"/>
          <w:szCs w:val="24"/>
        </w:rPr>
        <w:t xml:space="preserve">Museums </w:t>
      </w:r>
      <w:r w:rsidR="001E4F41">
        <w:rPr>
          <w:sz w:val="24"/>
          <w:szCs w:val="24"/>
        </w:rPr>
        <w:t xml:space="preserve">became </w:t>
      </w:r>
      <w:r w:rsidR="00092A0B">
        <w:rPr>
          <w:sz w:val="24"/>
          <w:szCs w:val="24"/>
        </w:rPr>
        <w:t xml:space="preserve">custodians of artefacts </w:t>
      </w:r>
      <w:proofErr w:type="gramStart"/>
      <w:r w:rsidR="004E54FF">
        <w:rPr>
          <w:sz w:val="24"/>
          <w:szCs w:val="24"/>
        </w:rPr>
        <w:t>and</w:t>
      </w:r>
      <w:r w:rsidR="00092A0B">
        <w:rPr>
          <w:sz w:val="24"/>
          <w:szCs w:val="24"/>
        </w:rPr>
        <w:t xml:space="preserve"> also</w:t>
      </w:r>
      <w:proofErr w:type="gramEnd"/>
      <w:r w:rsidR="00092A0B">
        <w:rPr>
          <w:sz w:val="24"/>
          <w:szCs w:val="24"/>
        </w:rPr>
        <w:t xml:space="preserve"> </w:t>
      </w:r>
      <w:r w:rsidR="00461D38">
        <w:rPr>
          <w:sz w:val="24"/>
          <w:szCs w:val="24"/>
        </w:rPr>
        <w:t>of the knowledge bound up in t</w:t>
      </w:r>
      <w:r w:rsidR="001E4F41">
        <w:rPr>
          <w:sz w:val="24"/>
          <w:szCs w:val="24"/>
        </w:rPr>
        <w:t>hem</w:t>
      </w:r>
      <w:r w:rsidR="00461D38">
        <w:rPr>
          <w:sz w:val="24"/>
          <w:szCs w:val="24"/>
        </w:rPr>
        <w:t xml:space="preserve">, </w:t>
      </w:r>
      <w:r w:rsidR="004E54FF">
        <w:rPr>
          <w:sz w:val="24"/>
          <w:szCs w:val="24"/>
        </w:rPr>
        <w:t xml:space="preserve">as curatorial practice was </w:t>
      </w:r>
      <w:r w:rsidR="00461D38">
        <w:rPr>
          <w:sz w:val="24"/>
          <w:szCs w:val="24"/>
        </w:rPr>
        <w:t>professionalised in the first hal</w:t>
      </w:r>
      <w:r w:rsidR="001E4F41">
        <w:rPr>
          <w:sz w:val="24"/>
          <w:szCs w:val="24"/>
        </w:rPr>
        <w:t>f of the twentieth century. M</w:t>
      </w:r>
      <w:r w:rsidR="00461D38">
        <w:rPr>
          <w:sz w:val="24"/>
          <w:szCs w:val="24"/>
        </w:rPr>
        <w:t xml:space="preserve">any museums </w:t>
      </w:r>
      <w:r w:rsidR="001E4F41">
        <w:rPr>
          <w:sz w:val="24"/>
          <w:szCs w:val="24"/>
        </w:rPr>
        <w:t>came to focus</w:t>
      </w:r>
      <w:r w:rsidR="00461D38">
        <w:rPr>
          <w:sz w:val="24"/>
          <w:szCs w:val="24"/>
        </w:rPr>
        <w:t xml:space="preserve"> introspectively on </w:t>
      </w:r>
      <w:r w:rsidR="001E4F41">
        <w:rPr>
          <w:sz w:val="24"/>
          <w:szCs w:val="24"/>
        </w:rPr>
        <w:t xml:space="preserve">the conservation, study and interpretation of </w:t>
      </w:r>
      <w:r w:rsidR="00461D38">
        <w:rPr>
          <w:sz w:val="24"/>
          <w:szCs w:val="24"/>
        </w:rPr>
        <w:t>their col</w:t>
      </w:r>
      <w:r w:rsidR="001E4F41">
        <w:rPr>
          <w:sz w:val="24"/>
          <w:szCs w:val="24"/>
        </w:rPr>
        <w:t xml:space="preserve">lections. In recent decades, however, as </w:t>
      </w:r>
      <w:r w:rsidR="00461D38">
        <w:rPr>
          <w:sz w:val="24"/>
          <w:szCs w:val="24"/>
        </w:rPr>
        <w:t xml:space="preserve">visitor numbers </w:t>
      </w:r>
      <w:r w:rsidR="001E4F41">
        <w:rPr>
          <w:sz w:val="24"/>
          <w:szCs w:val="24"/>
        </w:rPr>
        <w:t>have become</w:t>
      </w:r>
      <w:r w:rsidR="00461D38">
        <w:rPr>
          <w:sz w:val="24"/>
          <w:szCs w:val="24"/>
        </w:rPr>
        <w:t xml:space="preserve"> the key policy and finan</w:t>
      </w:r>
      <w:r w:rsidR="001E4F41">
        <w:rPr>
          <w:sz w:val="24"/>
          <w:szCs w:val="24"/>
        </w:rPr>
        <w:t xml:space="preserve">cial objective, </w:t>
      </w:r>
      <w:r w:rsidR="00461D38">
        <w:rPr>
          <w:sz w:val="24"/>
          <w:szCs w:val="24"/>
        </w:rPr>
        <w:t xml:space="preserve">the relationship between museum, audience and collection </w:t>
      </w:r>
      <w:r w:rsidR="000D48C1">
        <w:rPr>
          <w:sz w:val="24"/>
          <w:szCs w:val="24"/>
        </w:rPr>
        <w:t>has</w:t>
      </w:r>
      <w:r w:rsidR="00461D38">
        <w:rPr>
          <w:sz w:val="24"/>
          <w:szCs w:val="24"/>
        </w:rPr>
        <w:t xml:space="preserve"> become more problematic</w:t>
      </w:r>
      <w:r w:rsidR="008D5BFD">
        <w:rPr>
          <w:sz w:val="24"/>
          <w:szCs w:val="24"/>
        </w:rPr>
        <w:t xml:space="preserve">. Museums today </w:t>
      </w:r>
      <w:r w:rsidR="004E54FF">
        <w:rPr>
          <w:sz w:val="24"/>
          <w:szCs w:val="24"/>
        </w:rPr>
        <w:t xml:space="preserve">respond to a variety of imperatives that include </w:t>
      </w:r>
      <w:r w:rsidR="00137924">
        <w:rPr>
          <w:sz w:val="24"/>
          <w:szCs w:val="24"/>
        </w:rPr>
        <w:t xml:space="preserve">the growth and care of their collection, </w:t>
      </w:r>
      <w:r w:rsidR="004E54FF">
        <w:rPr>
          <w:sz w:val="24"/>
          <w:szCs w:val="24"/>
        </w:rPr>
        <w:t>financial sustainability, new knowledge in their field,</w:t>
      </w:r>
      <w:r w:rsidR="00137924">
        <w:rPr>
          <w:sz w:val="24"/>
          <w:szCs w:val="24"/>
        </w:rPr>
        <w:t xml:space="preserve"> and participation and civic </w:t>
      </w:r>
      <w:r w:rsidR="00461D38">
        <w:rPr>
          <w:sz w:val="24"/>
          <w:szCs w:val="24"/>
        </w:rPr>
        <w:t>responsibility.</w:t>
      </w:r>
      <w:r w:rsidR="00461D38">
        <w:rPr>
          <w:rStyle w:val="EndnoteReference"/>
          <w:sz w:val="24"/>
          <w:szCs w:val="24"/>
        </w:rPr>
        <w:endnoteReference w:id="2"/>
      </w:r>
      <w:r w:rsidR="00461D38">
        <w:rPr>
          <w:sz w:val="24"/>
          <w:szCs w:val="24"/>
        </w:rPr>
        <w:t xml:space="preserve"> </w:t>
      </w:r>
      <w:r w:rsidR="00306D82">
        <w:rPr>
          <w:sz w:val="24"/>
          <w:szCs w:val="24"/>
        </w:rPr>
        <w:t xml:space="preserve">These constitute a </w:t>
      </w:r>
      <w:r w:rsidR="00137924">
        <w:rPr>
          <w:sz w:val="24"/>
          <w:szCs w:val="24"/>
        </w:rPr>
        <w:t>challenging</w:t>
      </w:r>
      <w:r w:rsidR="00306D82">
        <w:rPr>
          <w:sz w:val="24"/>
          <w:szCs w:val="24"/>
        </w:rPr>
        <w:t xml:space="preserve"> mix, the product of a </w:t>
      </w:r>
      <w:proofErr w:type="gramStart"/>
      <w:r w:rsidR="00306D82">
        <w:rPr>
          <w:sz w:val="24"/>
          <w:szCs w:val="24"/>
        </w:rPr>
        <w:t>particular and</w:t>
      </w:r>
      <w:proofErr w:type="gramEnd"/>
      <w:r w:rsidR="00306D82">
        <w:rPr>
          <w:sz w:val="24"/>
          <w:szCs w:val="24"/>
        </w:rPr>
        <w:t xml:space="preserve"> relatively recent moment in the configuration of what museums are about.</w:t>
      </w:r>
    </w:p>
    <w:p w:rsidR="004E3DE3" w:rsidRDefault="000110E3" w:rsidP="004120B2">
      <w:pPr>
        <w:rPr>
          <w:sz w:val="24"/>
          <w:szCs w:val="24"/>
        </w:rPr>
      </w:pPr>
      <w:r>
        <w:rPr>
          <w:sz w:val="24"/>
          <w:szCs w:val="24"/>
        </w:rPr>
        <w:t>The role of the collection in all of this has become more ambiguous, yet for most large</w:t>
      </w:r>
      <w:r w:rsidR="00852793">
        <w:rPr>
          <w:sz w:val="24"/>
          <w:szCs w:val="24"/>
        </w:rPr>
        <w:t xml:space="preserve">r museums </w:t>
      </w:r>
      <w:r>
        <w:rPr>
          <w:sz w:val="24"/>
          <w:szCs w:val="24"/>
        </w:rPr>
        <w:t xml:space="preserve">it is an issue that is very much present. It was perhaps less evident in the nineteenth </w:t>
      </w:r>
      <w:r>
        <w:rPr>
          <w:sz w:val="24"/>
          <w:szCs w:val="24"/>
        </w:rPr>
        <w:lastRenderedPageBreak/>
        <w:t>centur</w:t>
      </w:r>
      <w:r w:rsidR="00DC38A4">
        <w:rPr>
          <w:sz w:val="24"/>
          <w:szCs w:val="24"/>
        </w:rPr>
        <w:t xml:space="preserve">y </w:t>
      </w:r>
      <w:r w:rsidR="00F27EAF">
        <w:rPr>
          <w:sz w:val="24"/>
          <w:szCs w:val="24"/>
        </w:rPr>
        <w:t>where</w:t>
      </w:r>
      <w:r w:rsidR="00DC38A4">
        <w:rPr>
          <w:sz w:val="24"/>
          <w:szCs w:val="24"/>
        </w:rPr>
        <w:t xml:space="preserve"> the National Gallery and </w:t>
      </w:r>
      <w:r>
        <w:rPr>
          <w:sz w:val="24"/>
          <w:szCs w:val="24"/>
        </w:rPr>
        <w:t>British Museum were the exception in bei</w:t>
      </w:r>
      <w:r w:rsidR="00DC38A4">
        <w:rPr>
          <w:sz w:val="24"/>
          <w:szCs w:val="24"/>
        </w:rPr>
        <w:t>ng built from the outset around</w:t>
      </w:r>
      <w:r>
        <w:rPr>
          <w:sz w:val="24"/>
          <w:szCs w:val="24"/>
        </w:rPr>
        <w:t xml:space="preserve"> </w:t>
      </w:r>
      <w:r w:rsidR="00DC38A4">
        <w:rPr>
          <w:sz w:val="24"/>
          <w:szCs w:val="24"/>
        </w:rPr>
        <w:t xml:space="preserve">serious </w:t>
      </w:r>
      <w:r>
        <w:rPr>
          <w:sz w:val="24"/>
          <w:szCs w:val="24"/>
        </w:rPr>
        <w:t>collections.</w:t>
      </w:r>
      <w:r w:rsidR="00CC2AC1">
        <w:rPr>
          <w:sz w:val="24"/>
          <w:szCs w:val="24"/>
        </w:rPr>
        <w:t xml:space="preserve"> Other museums </w:t>
      </w:r>
      <w:r w:rsidR="00F27EAF">
        <w:rPr>
          <w:sz w:val="24"/>
          <w:szCs w:val="24"/>
        </w:rPr>
        <w:t>built</w:t>
      </w:r>
      <w:r w:rsidR="00CC2AC1">
        <w:rPr>
          <w:sz w:val="24"/>
          <w:szCs w:val="24"/>
        </w:rPr>
        <w:t xml:space="preserve"> their collections in diverse ways and some saw temporary displays and exhibitions, often supported by loans from the South Kensington Museum</w:t>
      </w:r>
      <w:r w:rsidR="00DC38A4">
        <w:rPr>
          <w:sz w:val="24"/>
          <w:szCs w:val="24"/>
        </w:rPr>
        <w:t xml:space="preserve"> (now V&amp;A)</w:t>
      </w:r>
      <w:r w:rsidR="00CC2AC1">
        <w:rPr>
          <w:sz w:val="24"/>
          <w:szCs w:val="24"/>
        </w:rPr>
        <w:t xml:space="preserve">, as </w:t>
      </w:r>
      <w:r w:rsidR="00F27EAF">
        <w:rPr>
          <w:sz w:val="24"/>
          <w:szCs w:val="24"/>
        </w:rPr>
        <w:t>a</w:t>
      </w:r>
      <w:r w:rsidR="00CC2AC1">
        <w:rPr>
          <w:sz w:val="24"/>
          <w:szCs w:val="24"/>
        </w:rPr>
        <w:t xml:space="preserve"> pragmatic way to maintain interest. Permanent collections might </w:t>
      </w:r>
      <w:r w:rsidR="00F27EAF">
        <w:rPr>
          <w:sz w:val="24"/>
          <w:szCs w:val="24"/>
        </w:rPr>
        <w:t>come from</w:t>
      </w:r>
      <w:r w:rsidR="00CC2AC1">
        <w:rPr>
          <w:sz w:val="24"/>
          <w:szCs w:val="24"/>
        </w:rPr>
        <w:t xml:space="preserve"> taking over those of other </w:t>
      </w:r>
      <w:r w:rsidR="00F27EAF">
        <w:rPr>
          <w:sz w:val="24"/>
          <w:szCs w:val="24"/>
        </w:rPr>
        <w:t>bodies</w:t>
      </w:r>
      <w:r w:rsidR="00CC2AC1">
        <w:rPr>
          <w:sz w:val="24"/>
          <w:szCs w:val="24"/>
        </w:rPr>
        <w:t>, as when Leeds Council acquired the collection of the Leeds Philosophical and Literary Society assembled by donations from elite members as ‘a celebration of wealth, of travel, of the anxiety to possess, control and understand creation’</w:t>
      </w:r>
      <w:r w:rsidR="00F27EAF">
        <w:rPr>
          <w:sz w:val="24"/>
          <w:szCs w:val="24"/>
        </w:rPr>
        <w:t xml:space="preserve"> (Morris, 1980, p. 214).</w:t>
      </w:r>
      <w:r w:rsidR="005341C5">
        <w:rPr>
          <w:sz w:val="24"/>
          <w:szCs w:val="24"/>
        </w:rPr>
        <w:t xml:space="preserve"> </w:t>
      </w:r>
      <w:r w:rsidR="007F7ECF">
        <w:rPr>
          <w:sz w:val="24"/>
          <w:szCs w:val="24"/>
        </w:rPr>
        <w:t>How else does one explain the presence of an Egyptian mummy that had been purchased in Trieste by a Leeds banker?</w:t>
      </w:r>
      <w:r w:rsidR="00CC2AC1">
        <w:rPr>
          <w:sz w:val="24"/>
          <w:szCs w:val="24"/>
        </w:rPr>
        <w:t xml:space="preserve"> Most provincial museums opened with limited collections and </w:t>
      </w:r>
      <w:r w:rsidR="00F27EAF">
        <w:rPr>
          <w:sz w:val="24"/>
          <w:szCs w:val="24"/>
        </w:rPr>
        <w:t>tiny</w:t>
      </w:r>
      <w:r w:rsidR="00CC2AC1">
        <w:rPr>
          <w:sz w:val="24"/>
          <w:szCs w:val="24"/>
        </w:rPr>
        <w:t xml:space="preserve"> acquisition budgets, with Manchester and Birmingham</w:t>
      </w:r>
      <w:r w:rsidR="00F94A0B">
        <w:rPr>
          <w:sz w:val="24"/>
          <w:szCs w:val="24"/>
        </w:rPr>
        <w:t xml:space="preserve"> unusual in having </w:t>
      </w:r>
      <w:r w:rsidR="00CC2AC1">
        <w:rPr>
          <w:sz w:val="24"/>
          <w:szCs w:val="24"/>
        </w:rPr>
        <w:t xml:space="preserve">resources </w:t>
      </w:r>
      <w:r w:rsidR="000D48C1">
        <w:rPr>
          <w:sz w:val="24"/>
          <w:szCs w:val="24"/>
        </w:rPr>
        <w:t>from</w:t>
      </w:r>
      <w:r w:rsidR="00CC2AC1">
        <w:rPr>
          <w:sz w:val="24"/>
          <w:szCs w:val="24"/>
        </w:rPr>
        <w:t xml:space="preserve"> </w:t>
      </w:r>
      <w:r w:rsidR="00F94A0B">
        <w:rPr>
          <w:sz w:val="24"/>
          <w:szCs w:val="24"/>
        </w:rPr>
        <w:t>municipality</w:t>
      </w:r>
      <w:r w:rsidR="00CC2AC1">
        <w:rPr>
          <w:sz w:val="24"/>
          <w:szCs w:val="24"/>
        </w:rPr>
        <w:t xml:space="preserve"> and private donors to purchase works. Others muddled through with loans </w:t>
      </w:r>
      <w:r w:rsidR="00002C9D">
        <w:rPr>
          <w:sz w:val="24"/>
          <w:szCs w:val="24"/>
        </w:rPr>
        <w:t xml:space="preserve">and gifts from </w:t>
      </w:r>
      <w:proofErr w:type="gramStart"/>
      <w:r w:rsidR="00002C9D">
        <w:rPr>
          <w:sz w:val="24"/>
          <w:szCs w:val="24"/>
        </w:rPr>
        <w:t>local residents</w:t>
      </w:r>
      <w:proofErr w:type="gramEnd"/>
      <w:r w:rsidR="00E25FC1">
        <w:rPr>
          <w:sz w:val="24"/>
          <w:szCs w:val="24"/>
        </w:rPr>
        <w:t>,</w:t>
      </w:r>
      <w:r w:rsidR="00002C9D">
        <w:rPr>
          <w:sz w:val="24"/>
          <w:szCs w:val="24"/>
        </w:rPr>
        <w:t xml:space="preserve"> </w:t>
      </w:r>
      <w:r w:rsidR="00E25FC1">
        <w:rPr>
          <w:sz w:val="24"/>
          <w:szCs w:val="24"/>
        </w:rPr>
        <w:t>with the result</w:t>
      </w:r>
      <w:r w:rsidR="00852793">
        <w:rPr>
          <w:sz w:val="24"/>
          <w:szCs w:val="24"/>
        </w:rPr>
        <w:t xml:space="preserve"> that displays with a curated purpose were not always clear</w:t>
      </w:r>
      <w:r w:rsidR="005341C5">
        <w:rPr>
          <w:sz w:val="24"/>
          <w:szCs w:val="24"/>
        </w:rPr>
        <w:t xml:space="preserve"> (Waterfield, 2015)</w:t>
      </w:r>
      <w:r w:rsidR="00002C9D">
        <w:rPr>
          <w:sz w:val="24"/>
          <w:szCs w:val="24"/>
        </w:rPr>
        <w:t xml:space="preserve">. </w:t>
      </w:r>
    </w:p>
    <w:p w:rsidR="000110E3" w:rsidRDefault="0089533E" w:rsidP="004120B2">
      <w:pPr>
        <w:rPr>
          <w:sz w:val="24"/>
          <w:szCs w:val="24"/>
        </w:rPr>
      </w:pPr>
      <w:r>
        <w:rPr>
          <w:sz w:val="24"/>
          <w:szCs w:val="24"/>
        </w:rPr>
        <w:t>The</w:t>
      </w:r>
      <w:r w:rsidR="00002C9D">
        <w:rPr>
          <w:sz w:val="24"/>
          <w:szCs w:val="24"/>
        </w:rPr>
        <w:t xml:space="preserve"> </w:t>
      </w:r>
      <w:r>
        <w:rPr>
          <w:sz w:val="24"/>
          <w:szCs w:val="24"/>
        </w:rPr>
        <w:t>new</w:t>
      </w:r>
      <w:r w:rsidR="00002C9D">
        <w:rPr>
          <w:sz w:val="24"/>
          <w:szCs w:val="24"/>
        </w:rPr>
        <w:t xml:space="preserve"> Walsall Art Gallery &amp; Museum </w:t>
      </w:r>
      <w:r w:rsidR="00D63F80">
        <w:rPr>
          <w:sz w:val="24"/>
          <w:szCs w:val="24"/>
        </w:rPr>
        <w:t>accumulated its opening display</w:t>
      </w:r>
      <w:r w:rsidR="00002C9D">
        <w:rPr>
          <w:sz w:val="24"/>
          <w:szCs w:val="24"/>
        </w:rPr>
        <w:t xml:space="preserve"> from those willing to</w:t>
      </w:r>
      <w:r w:rsidR="000D48C1">
        <w:rPr>
          <w:sz w:val="24"/>
          <w:szCs w:val="24"/>
        </w:rPr>
        <w:t xml:space="preserve"> lend.</w:t>
      </w:r>
      <w:r w:rsidR="00D7614A">
        <w:rPr>
          <w:sz w:val="24"/>
          <w:szCs w:val="24"/>
        </w:rPr>
        <w:t xml:space="preserve"> </w:t>
      </w:r>
      <w:r w:rsidR="000D48C1">
        <w:rPr>
          <w:sz w:val="24"/>
          <w:szCs w:val="24"/>
        </w:rPr>
        <w:t>Th</w:t>
      </w:r>
      <w:r w:rsidR="004E3DE3">
        <w:rPr>
          <w:sz w:val="24"/>
          <w:szCs w:val="24"/>
        </w:rPr>
        <w:t>e metal work, texti</w:t>
      </w:r>
      <w:r>
        <w:rPr>
          <w:sz w:val="24"/>
          <w:szCs w:val="24"/>
        </w:rPr>
        <w:t>les</w:t>
      </w:r>
      <w:r w:rsidR="004E3DE3">
        <w:rPr>
          <w:sz w:val="24"/>
          <w:szCs w:val="24"/>
        </w:rPr>
        <w:t xml:space="preserve"> </w:t>
      </w:r>
      <w:r>
        <w:rPr>
          <w:sz w:val="24"/>
          <w:szCs w:val="24"/>
        </w:rPr>
        <w:t xml:space="preserve">and </w:t>
      </w:r>
      <w:r w:rsidR="00002C9D">
        <w:rPr>
          <w:sz w:val="24"/>
          <w:szCs w:val="24"/>
        </w:rPr>
        <w:t xml:space="preserve">antique musical instruments </w:t>
      </w:r>
      <w:r w:rsidR="00DC38A4">
        <w:rPr>
          <w:sz w:val="24"/>
          <w:szCs w:val="24"/>
        </w:rPr>
        <w:t xml:space="preserve">temporarily </w:t>
      </w:r>
      <w:r w:rsidR="00D63F80">
        <w:rPr>
          <w:sz w:val="24"/>
          <w:szCs w:val="24"/>
        </w:rPr>
        <w:t>borrowed</w:t>
      </w:r>
      <w:r w:rsidR="00002C9D">
        <w:rPr>
          <w:sz w:val="24"/>
          <w:szCs w:val="24"/>
        </w:rPr>
        <w:t xml:space="preserve"> from South Kensington were augmented by </w:t>
      </w:r>
      <w:r w:rsidR="007F7ECF">
        <w:rPr>
          <w:sz w:val="24"/>
          <w:szCs w:val="24"/>
        </w:rPr>
        <w:t>haphazard</w:t>
      </w:r>
      <w:r w:rsidR="00D7614A">
        <w:rPr>
          <w:sz w:val="24"/>
          <w:szCs w:val="24"/>
        </w:rPr>
        <w:t xml:space="preserve"> </w:t>
      </w:r>
      <w:r w:rsidR="00002C9D">
        <w:rPr>
          <w:sz w:val="24"/>
          <w:szCs w:val="24"/>
        </w:rPr>
        <w:t xml:space="preserve">local loans. There were glass cases with ‘the collection of New Guinea curiosities lent by Mr </w:t>
      </w:r>
      <w:proofErr w:type="spellStart"/>
      <w:r w:rsidR="00002C9D">
        <w:rPr>
          <w:sz w:val="24"/>
          <w:szCs w:val="24"/>
        </w:rPr>
        <w:t>Dauncey</w:t>
      </w:r>
      <w:proofErr w:type="spellEnd"/>
      <w:r w:rsidR="00002C9D">
        <w:rPr>
          <w:sz w:val="24"/>
          <w:szCs w:val="24"/>
        </w:rPr>
        <w:t xml:space="preserve">’, </w:t>
      </w:r>
      <w:r w:rsidR="00D63F80">
        <w:rPr>
          <w:sz w:val="24"/>
          <w:szCs w:val="24"/>
        </w:rPr>
        <w:t>obtained</w:t>
      </w:r>
      <w:r w:rsidR="00002C9D">
        <w:rPr>
          <w:sz w:val="24"/>
          <w:szCs w:val="24"/>
        </w:rPr>
        <w:t xml:space="preserve"> by a member of </w:t>
      </w:r>
      <w:r>
        <w:rPr>
          <w:sz w:val="24"/>
          <w:szCs w:val="24"/>
        </w:rPr>
        <w:t>his</w:t>
      </w:r>
      <w:r w:rsidR="00002C9D">
        <w:rPr>
          <w:sz w:val="24"/>
          <w:szCs w:val="24"/>
        </w:rPr>
        <w:t xml:space="preserve"> family working as a missionary there; </w:t>
      </w:r>
      <w:r w:rsidR="004E3DE3">
        <w:rPr>
          <w:sz w:val="24"/>
          <w:szCs w:val="24"/>
        </w:rPr>
        <w:t>beautiful fossils lent by Mr A Burt; ‘curiosities given to the town …by the Rev Harry Scott</w:t>
      </w:r>
      <w:r>
        <w:rPr>
          <w:sz w:val="24"/>
          <w:szCs w:val="24"/>
        </w:rPr>
        <w:t>’</w:t>
      </w:r>
      <w:r w:rsidR="004E3DE3">
        <w:rPr>
          <w:sz w:val="24"/>
          <w:szCs w:val="24"/>
        </w:rPr>
        <w:t>; medals and co</w:t>
      </w:r>
      <w:r>
        <w:rPr>
          <w:sz w:val="24"/>
          <w:szCs w:val="24"/>
        </w:rPr>
        <w:t xml:space="preserve">ins from the Free Library; a </w:t>
      </w:r>
      <w:r w:rsidR="004E3DE3">
        <w:rPr>
          <w:sz w:val="24"/>
          <w:szCs w:val="24"/>
        </w:rPr>
        <w:t>fine collection of birds eggs lent by Mr A Price; sculptu</w:t>
      </w:r>
      <w:r w:rsidR="00DC38A4">
        <w:rPr>
          <w:sz w:val="24"/>
          <w:szCs w:val="24"/>
        </w:rPr>
        <w:t>res lent by Mr FJ Williamson of</w:t>
      </w:r>
      <w:r w:rsidR="004E3DE3">
        <w:rPr>
          <w:sz w:val="24"/>
          <w:szCs w:val="24"/>
        </w:rPr>
        <w:t xml:space="preserve"> Esher, including the original model </w:t>
      </w:r>
      <w:r>
        <w:rPr>
          <w:sz w:val="24"/>
          <w:szCs w:val="24"/>
        </w:rPr>
        <w:t>for</w:t>
      </w:r>
      <w:r w:rsidR="004E3DE3">
        <w:rPr>
          <w:sz w:val="24"/>
          <w:szCs w:val="24"/>
        </w:rPr>
        <w:t xml:space="preserve"> </w:t>
      </w:r>
      <w:r>
        <w:rPr>
          <w:sz w:val="24"/>
          <w:szCs w:val="24"/>
        </w:rPr>
        <w:t>his</w:t>
      </w:r>
      <w:r w:rsidR="004E3DE3">
        <w:rPr>
          <w:sz w:val="24"/>
          <w:szCs w:val="24"/>
        </w:rPr>
        <w:t xml:space="preserve"> Jubilee Bust of Queen Victoria; and </w:t>
      </w:r>
      <w:r>
        <w:rPr>
          <w:sz w:val="24"/>
          <w:szCs w:val="24"/>
        </w:rPr>
        <w:t>some</w:t>
      </w:r>
      <w:r w:rsidR="004E3DE3">
        <w:rPr>
          <w:sz w:val="24"/>
          <w:szCs w:val="24"/>
        </w:rPr>
        <w:t xml:space="preserve"> 120 pictures lent by local </w:t>
      </w:r>
      <w:r>
        <w:rPr>
          <w:sz w:val="24"/>
          <w:szCs w:val="24"/>
        </w:rPr>
        <w:t>worthies</w:t>
      </w:r>
      <w:r w:rsidR="004E3DE3">
        <w:rPr>
          <w:sz w:val="24"/>
          <w:szCs w:val="24"/>
        </w:rPr>
        <w:t xml:space="preserve"> </w:t>
      </w:r>
      <w:r w:rsidR="00D65508">
        <w:rPr>
          <w:sz w:val="24"/>
          <w:szCs w:val="24"/>
        </w:rPr>
        <w:t>(</w:t>
      </w:r>
      <w:r w:rsidR="00D65508">
        <w:rPr>
          <w:i/>
          <w:sz w:val="24"/>
          <w:szCs w:val="24"/>
        </w:rPr>
        <w:t>Walsall Observer</w:t>
      </w:r>
      <w:r w:rsidR="00D65508">
        <w:rPr>
          <w:sz w:val="24"/>
          <w:szCs w:val="24"/>
        </w:rPr>
        <w:t>, 1892).</w:t>
      </w:r>
      <w:r w:rsidR="004E3DE3">
        <w:rPr>
          <w:sz w:val="24"/>
          <w:szCs w:val="24"/>
        </w:rPr>
        <w:t xml:space="preserve"> </w:t>
      </w:r>
    </w:p>
    <w:p w:rsidR="006E69FC" w:rsidRDefault="009A753E" w:rsidP="004120B2">
      <w:pPr>
        <w:rPr>
          <w:sz w:val="24"/>
          <w:szCs w:val="24"/>
        </w:rPr>
      </w:pPr>
      <w:r>
        <w:rPr>
          <w:sz w:val="24"/>
          <w:szCs w:val="24"/>
        </w:rPr>
        <w:t xml:space="preserve">Notwithstanding </w:t>
      </w:r>
      <w:r w:rsidR="00C8551C">
        <w:rPr>
          <w:sz w:val="24"/>
          <w:szCs w:val="24"/>
        </w:rPr>
        <w:t>how</w:t>
      </w:r>
      <w:r w:rsidR="00945BE3">
        <w:rPr>
          <w:sz w:val="24"/>
          <w:szCs w:val="24"/>
        </w:rPr>
        <w:t xml:space="preserve"> their collections </w:t>
      </w:r>
      <w:r w:rsidR="007F7ECF">
        <w:rPr>
          <w:sz w:val="24"/>
          <w:szCs w:val="24"/>
        </w:rPr>
        <w:t>took shape</w:t>
      </w:r>
      <w:r w:rsidR="00945BE3">
        <w:rPr>
          <w:sz w:val="24"/>
          <w:szCs w:val="24"/>
        </w:rPr>
        <w:t xml:space="preserve">, </w:t>
      </w:r>
      <w:r w:rsidR="00104396">
        <w:rPr>
          <w:sz w:val="24"/>
          <w:szCs w:val="24"/>
        </w:rPr>
        <w:t>there was</w:t>
      </w:r>
      <w:r w:rsidR="00945BE3">
        <w:rPr>
          <w:sz w:val="24"/>
          <w:szCs w:val="24"/>
        </w:rPr>
        <w:t xml:space="preserve"> an enthusiasm for museums </w:t>
      </w:r>
      <w:r w:rsidR="007F7ECF">
        <w:rPr>
          <w:sz w:val="24"/>
          <w:szCs w:val="24"/>
        </w:rPr>
        <w:t xml:space="preserve">in the </w:t>
      </w:r>
      <w:r w:rsidR="00104396">
        <w:rPr>
          <w:sz w:val="24"/>
          <w:szCs w:val="24"/>
        </w:rPr>
        <w:t>later</w:t>
      </w:r>
      <w:r w:rsidR="007F7ECF">
        <w:rPr>
          <w:sz w:val="24"/>
          <w:szCs w:val="24"/>
        </w:rPr>
        <w:t xml:space="preserve"> nineteenth century </w:t>
      </w:r>
      <w:r w:rsidR="00104396">
        <w:rPr>
          <w:sz w:val="24"/>
          <w:szCs w:val="24"/>
        </w:rPr>
        <w:t>that was rooted in</w:t>
      </w:r>
      <w:r w:rsidR="00945BE3">
        <w:rPr>
          <w:sz w:val="24"/>
          <w:szCs w:val="24"/>
        </w:rPr>
        <w:t xml:space="preserve"> a </w:t>
      </w:r>
      <w:proofErr w:type="gramStart"/>
      <w:r w:rsidR="00945BE3">
        <w:rPr>
          <w:sz w:val="24"/>
          <w:szCs w:val="24"/>
        </w:rPr>
        <w:t>particular historical</w:t>
      </w:r>
      <w:proofErr w:type="gramEnd"/>
      <w:r w:rsidR="00945BE3">
        <w:rPr>
          <w:sz w:val="24"/>
          <w:szCs w:val="24"/>
        </w:rPr>
        <w:t xml:space="preserve"> </w:t>
      </w:r>
      <w:r w:rsidR="00067D7F">
        <w:rPr>
          <w:sz w:val="24"/>
          <w:szCs w:val="24"/>
        </w:rPr>
        <w:t>context</w:t>
      </w:r>
      <w:r w:rsidR="00945BE3">
        <w:rPr>
          <w:sz w:val="24"/>
          <w:szCs w:val="24"/>
        </w:rPr>
        <w:t xml:space="preserve">. </w:t>
      </w:r>
      <w:r w:rsidR="00067D7F">
        <w:rPr>
          <w:sz w:val="24"/>
          <w:szCs w:val="24"/>
        </w:rPr>
        <w:t xml:space="preserve">The </w:t>
      </w:r>
      <w:r>
        <w:rPr>
          <w:sz w:val="24"/>
          <w:szCs w:val="24"/>
        </w:rPr>
        <w:t>setting</w:t>
      </w:r>
      <w:r w:rsidR="00067D7F">
        <w:rPr>
          <w:sz w:val="24"/>
          <w:szCs w:val="24"/>
        </w:rPr>
        <w:t xml:space="preserve"> </w:t>
      </w:r>
      <w:r w:rsidR="007F7ECF">
        <w:rPr>
          <w:sz w:val="24"/>
          <w:szCs w:val="24"/>
        </w:rPr>
        <w:t>for</w:t>
      </w:r>
      <w:r w:rsidR="00067D7F">
        <w:rPr>
          <w:sz w:val="24"/>
          <w:szCs w:val="24"/>
        </w:rPr>
        <w:t xml:space="preserve"> cultural policy and investment </w:t>
      </w:r>
      <w:r w:rsidR="00DC38A4">
        <w:rPr>
          <w:sz w:val="24"/>
          <w:szCs w:val="24"/>
        </w:rPr>
        <w:t xml:space="preserve">today </w:t>
      </w:r>
      <w:r w:rsidR="00067D7F">
        <w:rPr>
          <w:sz w:val="24"/>
          <w:szCs w:val="24"/>
        </w:rPr>
        <w:t xml:space="preserve">is very different, one without the kind of agendas by which confident urban </w:t>
      </w:r>
      <w:r w:rsidR="00DC38A4">
        <w:rPr>
          <w:sz w:val="24"/>
          <w:szCs w:val="24"/>
        </w:rPr>
        <w:t xml:space="preserve">(or indeed national) </w:t>
      </w:r>
      <w:r w:rsidR="00067D7F">
        <w:rPr>
          <w:sz w:val="24"/>
          <w:szCs w:val="24"/>
        </w:rPr>
        <w:t>elites drove the establishment of these museums in the first plac</w:t>
      </w:r>
      <w:r w:rsidR="00104396">
        <w:rPr>
          <w:sz w:val="24"/>
          <w:szCs w:val="24"/>
        </w:rPr>
        <w:t xml:space="preserve">e. New Labour’s cultural policy </w:t>
      </w:r>
      <w:r w:rsidR="00067D7F">
        <w:rPr>
          <w:sz w:val="24"/>
          <w:szCs w:val="24"/>
        </w:rPr>
        <w:t xml:space="preserve">was the culmination of a process by which museums had once again </w:t>
      </w:r>
      <w:r w:rsidR="00DC38A4">
        <w:rPr>
          <w:sz w:val="24"/>
          <w:szCs w:val="24"/>
        </w:rPr>
        <w:t>move</w:t>
      </w:r>
      <w:r>
        <w:rPr>
          <w:sz w:val="24"/>
          <w:szCs w:val="24"/>
        </w:rPr>
        <w:t>d</w:t>
      </w:r>
      <w:r w:rsidR="00067D7F">
        <w:rPr>
          <w:sz w:val="24"/>
          <w:szCs w:val="24"/>
        </w:rPr>
        <w:t xml:space="preserve"> attention away from </w:t>
      </w:r>
      <w:r>
        <w:rPr>
          <w:sz w:val="24"/>
          <w:szCs w:val="24"/>
        </w:rPr>
        <w:t xml:space="preserve">acquiring, preserving and interpreting </w:t>
      </w:r>
      <w:r w:rsidR="00067D7F">
        <w:rPr>
          <w:sz w:val="24"/>
          <w:szCs w:val="24"/>
        </w:rPr>
        <w:t xml:space="preserve">their collections and back towards a </w:t>
      </w:r>
      <w:r w:rsidR="00B77AD4">
        <w:rPr>
          <w:sz w:val="24"/>
          <w:szCs w:val="24"/>
        </w:rPr>
        <w:t>strong</w:t>
      </w:r>
      <w:r w:rsidR="00067D7F">
        <w:rPr>
          <w:sz w:val="24"/>
          <w:szCs w:val="24"/>
        </w:rPr>
        <w:t xml:space="preserve"> emphasis on people and audiences. </w:t>
      </w:r>
      <w:r w:rsidR="00A32257">
        <w:rPr>
          <w:sz w:val="24"/>
          <w:szCs w:val="24"/>
        </w:rPr>
        <w:t>Early in the process,</w:t>
      </w:r>
      <w:r w:rsidR="00067D7F">
        <w:rPr>
          <w:sz w:val="24"/>
          <w:szCs w:val="24"/>
        </w:rPr>
        <w:t xml:space="preserve"> Selwood </w:t>
      </w:r>
      <w:r w:rsidR="00532CB7">
        <w:rPr>
          <w:sz w:val="24"/>
          <w:szCs w:val="24"/>
        </w:rPr>
        <w:t>highlighted this</w:t>
      </w:r>
      <w:r w:rsidR="00067D7F">
        <w:rPr>
          <w:sz w:val="24"/>
          <w:szCs w:val="24"/>
        </w:rPr>
        <w:t xml:space="preserve"> major </w:t>
      </w:r>
      <w:r w:rsidR="00DC38A4">
        <w:rPr>
          <w:sz w:val="24"/>
          <w:szCs w:val="24"/>
        </w:rPr>
        <w:t>shift</w:t>
      </w:r>
      <w:r w:rsidR="00067D7F">
        <w:rPr>
          <w:sz w:val="24"/>
          <w:szCs w:val="24"/>
        </w:rPr>
        <w:t xml:space="preserve"> in what museums were seen to be about</w:t>
      </w:r>
      <w:r w:rsidR="00A32257">
        <w:rPr>
          <w:sz w:val="24"/>
          <w:szCs w:val="24"/>
        </w:rPr>
        <w:t xml:space="preserve"> (Selwood, 2004)</w:t>
      </w:r>
      <w:r w:rsidR="00067D7F">
        <w:rPr>
          <w:sz w:val="24"/>
          <w:szCs w:val="24"/>
        </w:rPr>
        <w:t>.</w:t>
      </w:r>
      <w:r w:rsidR="00081EC6">
        <w:rPr>
          <w:sz w:val="24"/>
          <w:szCs w:val="24"/>
        </w:rPr>
        <w:t xml:space="preserve"> The consequence was a new emphasis on the impact </w:t>
      </w:r>
      <w:r w:rsidR="00DC38A4">
        <w:rPr>
          <w:sz w:val="24"/>
          <w:szCs w:val="24"/>
        </w:rPr>
        <w:t xml:space="preserve">museums could be shown to </w:t>
      </w:r>
      <w:r w:rsidR="006E69FC">
        <w:rPr>
          <w:sz w:val="24"/>
          <w:szCs w:val="24"/>
        </w:rPr>
        <w:t>deliver</w:t>
      </w:r>
      <w:r w:rsidR="00DC38A4">
        <w:rPr>
          <w:sz w:val="24"/>
          <w:szCs w:val="24"/>
        </w:rPr>
        <w:t>.</w:t>
      </w:r>
    </w:p>
    <w:p w:rsidR="00081EC6" w:rsidRDefault="006E69FC" w:rsidP="004120B2">
      <w:pPr>
        <w:rPr>
          <w:sz w:val="24"/>
          <w:szCs w:val="24"/>
        </w:rPr>
      </w:pPr>
      <w:r>
        <w:rPr>
          <w:sz w:val="24"/>
          <w:szCs w:val="24"/>
        </w:rPr>
        <w:t>O</w:t>
      </w:r>
      <w:r w:rsidR="003E67D0">
        <w:rPr>
          <w:sz w:val="24"/>
          <w:szCs w:val="24"/>
        </w:rPr>
        <w:t>ver the last 20</w:t>
      </w:r>
      <w:r w:rsidR="00081EC6">
        <w:rPr>
          <w:sz w:val="24"/>
          <w:szCs w:val="24"/>
        </w:rPr>
        <w:t xml:space="preserve"> years </w:t>
      </w:r>
      <w:r>
        <w:rPr>
          <w:sz w:val="24"/>
          <w:szCs w:val="24"/>
        </w:rPr>
        <w:t xml:space="preserve">the argument for museums has </w:t>
      </w:r>
      <w:r w:rsidR="00E62F00">
        <w:rPr>
          <w:sz w:val="24"/>
          <w:szCs w:val="24"/>
        </w:rPr>
        <w:t xml:space="preserve">assumed </w:t>
      </w:r>
      <w:r>
        <w:rPr>
          <w:sz w:val="24"/>
          <w:szCs w:val="24"/>
        </w:rPr>
        <w:t xml:space="preserve">a scattergun approach: </w:t>
      </w:r>
      <w:r w:rsidR="00081EC6">
        <w:rPr>
          <w:sz w:val="24"/>
          <w:szCs w:val="24"/>
        </w:rPr>
        <w:t xml:space="preserve">economic impact, tourism, health and wellbeing, social inclusion </w:t>
      </w:r>
      <w:r>
        <w:rPr>
          <w:sz w:val="24"/>
          <w:szCs w:val="24"/>
        </w:rPr>
        <w:t>and much else</w:t>
      </w:r>
      <w:r w:rsidR="00081EC6">
        <w:rPr>
          <w:sz w:val="24"/>
          <w:szCs w:val="24"/>
        </w:rPr>
        <w:t xml:space="preserve">. What is missing is a coherent articulation of why and how museums exist into which </w:t>
      </w:r>
      <w:r w:rsidR="00DC38A4">
        <w:rPr>
          <w:sz w:val="24"/>
          <w:szCs w:val="24"/>
        </w:rPr>
        <w:t>a</w:t>
      </w:r>
      <w:r w:rsidR="00081EC6">
        <w:rPr>
          <w:sz w:val="24"/>
          <w:szCs w:val="24"/>
        </w:rPr>
        <w:t xml:space="preserve"> discourse about </w:t>
      </w:r>
      <w:r w:rsidR="004176E2">
        <w:rPr>
          <w:sz w:val="24"/>
          <w:szCs w:val="24"/>
        </w:rPr>
        <w:t xml:space="preserve">their </w:t>
      </w:r>
      <w:r w:rsidR="00081EC6">
        <w:rPr>
          <w:sz w:val="24"/>
          <w:szCs w:val="24"/>
        </w:rPr>
        <w:t xml:space="preserve">visitors </w:t>
      </w:r>
      <w:r w:rsidR="00B77AD4">
        <w:rPr>
          <w:sz w:val="24"/>
          <w:szCs w:val="24"/>
        </w:rPr>
        <w:t>might</w:t>
      </w:r>
      <w:r w:rsidR="00081EC6">
        <w:rPr>
          <w:sz w:val="24"/>
          <w:szCs w:val="24"/>
        </w:rPr>
        <w:t xml:space="preserve"> be fitted.</w:t>
      </w:r>
      <w:r w:rsidR="00861AEE">
        <w:rPr>
          <w:sz w:val="24"/>
          <w:szCs w:val="24"/>
        </w:rPr>
        <w:t xml:space="preserve"> Who comes and in what numbers </w:t>
      </w:r>
      <w:r>
        <w:rPr>
          <w:sz w:val="24"/>
          <w:szCs w:val="24"/>
        </w:rPr>
        <w:t>did matter to</w:t>
      </w:r>
      <w:r w:rsidR="00861AEE">
        <w:rPr>
          <w:sz w:val="24"/>
          <w:szCs w:val="24"/>
        </w:rPr>
        <w:t xml:space="preserve"> museums in the nineteenth century, but far more attention was given to </w:t>
      </w:r>
      <w:r>
        <w:rPr>
          <w:sz w:val="24"/>
          <w:szCs w:val="24"/>
        </w:rPr>
        <w:t>t</w:t>
      </w:r>
      <w:r w:rsidR="00861AEE">
        <w:rPr>
          <w:sz w:val="24"/>
          <w:szCs w:val="24"/>
        </w:rPr>
        <w:t xml:space="preserve">he personal, educational and moral benefits of visiting a museum than is the case today. </w:t>
      </w:r>
      <w:r w:rsidR="0026279C">
        <w:rPr>
          <w:sz w:val="24"/>
          <w:szCs w:val="24"/>
        </w:rPr>
        <w:t xml:space="preserve">These </w:t>
      </w:r>
      <w:r w:rsidR="00275B4E">
        <w:rPr>
          <w:sz w:val="24"/>
          <w:szCs w:val="24"/>
        </w:rPr>
        <w:t>beliefs</w:t>
      </w:r>
      <w:r w:rsidR="0026279C">
        <w:rPr>
          <w:sz w:val="24"/>
          <w:szCs w:val="24"/>
        </w:rPr>
        <w:t xml:space="preserve"> </w:t>
      </w:r>
      <w:r w:rsidR="00D15429">
        <w:rPr>
          <w:sz w:val="24"/>
          <w:szCs w:val="24"/>
        </w:rPr>
        <w:t>may have been</w:t>
      </w:r>
      <w:r w:rsidR="0026279C">
        <w:rPr>
          <w:sz w:val="24"/>
          <w:szCs w:val="24"/>
        </w:rPr>
        <w:t xml:space="preserve"> sustained </w:t>
      </w:r>
      <w:r w:rsidR="00DC38A4">
        <w:rPr>
          <w:sz w:val="24"/>
          <w:szCs w:val="24"/>
        </w:rPr>
        <w:t>though</w:t>
      </w:r>
      <w:r w:rsidR="0026279C">
        <w:rPr>
          <w:sz w:val="24"/>
          <w:szCs w:val="24"/>
        </w:rPr>
        <w:t xml:space="preserve"> rhetoric </w:t>
      </w:r>
      <w:r w:rsidR="004176E2">
        <w:rPr>
          <w:sz w:val="24"/>
          <w:szCs w:val="24"/>
        </w:rPr>
        <w:t xml:space="preserve">rather </w:t>
      </w:r>
      <w:r w:rsidR="0026279C">
        <w:rPr>
          <w:sz w:val="24"/>
          <w:szCs w:val="24"/>
        </w:rPr>
        <w:t xml:space="preserve">than evidence, but they were strongly held. The context </w:t>
      </w:r>
      <w:r w:rsidR="009A753E">
        <w:rPr>
          <w:sz w:val="24"/>
          <w:szCs w:val="24"/>
        </w:rPr>
        <w:t xml:space="preserve">of the last </w:t>
      </w:r>
      <w:r w:rsidR="00D15429">
        <w:rPr>
          <w:sz w:val="24"/>
          <w:szCs w:val="24"/>
        </w:rPr>
        <w:t>20</w:t>
      </w:r>
      <w:r w:rsidR="009A753E">
        <w:rPr>
          <w:sz w:val="24"/>
          <w:szCs w:val="24"/>
        </w:rPr>
        <w:t xml:space="preserve"> years</w:t>
      </w:r>
      <w:r w:rsidR="0026279C">
        <w:rPr>
          <w:sz w:val="24"/>
          <w:szCs w:val="24"/>
        </w:rPr>
        <w:t xml:space="preserve"> is very different, </w:t>
      </w:r>
      <w:r w:rsidR="009A753E">
        <w:rPr>
          <w:sz w:val="24"/>
          <w:szCs w:val="24"/>
        </w:rPr>
        <w:t>with</w:t>
      </w:r>
      <w:r w:rsidR="0026279C">
        <w:rPr>
          <w:sz w:val="24"/>
          <w:szCs w:val="24"/>
        </w:rPr>
        <w:t xml:space="preserve"> the numbers and profile of visitors more important in policy and other discourses than the character of the</w:t>
      </w:r>
      <w:r w:rsidR="009A753E">
        <w:rPr>
          <w:sz w:val="24"/>
          <w:szCs w:val="24"/>
        </w:rPr>
        <w:t>ir</w:t>
      </w:r>
      <w:r w:rsidR="0026279C">
        <w:rPr>
          <w:sz w:val="24"/>
          <w:szCs w:val="24"/>
        </w:rPr>
        <w:t xml:space="preserve"> experience</w:t>
      </w:r>
      <w:r w:rsidR="009A753E">
        <w:rPr>
          <w:sz w:val="24"/>
          <w:szCs w:val="24"/>
        </w:rPr>
        <w:t>s</w:t>
      </w:r>
      <w:r w:rsidR="00D15429">
        <w:rPr>
          <w:sz w:val="24"/>
          <w:szCs w:val="24"/>
        </w:rPr>
        <w:t>. This</w:t>
      </w:r>
      <w:r w:rsidR="0000281B">
        <w:rPr>
          <w:sz w:val="24"/>
          <w:szCs w:val="24"/>
        </w:rPr>
        <w:t xml:space="preserve"> neglect of experience is a wider problem in cultural policy (Crossick &amp; Kaszynska, 2016). </w:t>
      </w:r>
      <w:r w:rsidR="0026279C">
        <w:rPr>
          <w:sz w:val="24"/>
          <w:szCs w:val="24"/>
        </w:rPr>
        <w:t xml:space="preserve">The </w:t>
      </w:r>
      <w:r w:rsidR="00B77AD4">
        <w:rPr>
          <w:sz w:val="24"/>
          <w:szCs w:val="24"/>
        </w:rPr>
        <w:t xml:space="preserve">nineteenth-century </w:t>
      </w:r>
      <w:r w:rsidR="0026279C">
        <w:rPr>
          <w:sz w:val="24"/>
          <w:szCs w:val="24"/>
        </w:rPr>
        <w:t xml:space="preserve">language of improvement derived from </w:t>
      </w:r>
      <w:r w:rsidR="00D15429">
        <w:rPr>
          <w:sz w:val="24"/>
          <w:szCs w:val="24"/>
        </w:rPr>
        <w:t>a</w:t>
      </w:r>
      <w:r w:rsidR="0026279C">
        <w:rPr>
          <w:sz w:val="24"/>
          <w:szCs w:val="24"/>
        </w:rPr>
        <w:t xml:space="preserve"> specific historical context and a </w:t>
      </w:r>
      <w:proofErr w:type="gramStart"/>
      <w:r w:rsidR="0026279C">
        <w:rPr>
          <w:sz w:val="24"/>
          <w:szCs w:val="24"/>
        </w:rPr>
        <w:t>particular framework</w:t>
      </w:r>
      <w:proofErr w:type="gramEnd"/>
      <w:r w:rsidR="0026279C">
        <w:rPr>
          <w:sz w:val="24"/>
          <w:szCs w:val="24"/>
        </w:rPr>
        <w:t xml:space="preserve"> of class relations, but there was a confident </w:t>
      </w:r>
      <w:r w:rsidR="009A753E">
        <w:rPr>
          <w:sz w:val="24"/>
          <w:szCs w:val="24"/>
        </w:rPr>
        <w:t>belief in</w:t>
      </w:r>
      <w:r w:rsidR="0026279C">
        <w:rPr>
          <w:sz w:val="24"/>
          <w:szCs w:val="24"/>
        </w:rPr>
        <w:t xml:space="preserve"> the difference engaging with museums </w:t>
      </w:r>
      <w:r w:rsidR="004176E2">
        <w:rPr>
          <w:sz w:val="24"/>
          <w:szCs w:val="24"/>
        </w:rPr>
        <w:t>would</w:t>
      </w:r>
      <w:r w:rsidR="0026279C">
        <w:rPr>
          <w:sz w:val="24"/>
          <w:szCs w:val="24"/>
        </w:rPr>
        <w:t xml:space="preserve"> make.</w:t>
      </w:r>
    </w:p>
    <w:p w:rsidR="0026279C" w:rsidRDefault="0026279C" w:rsidP="004120B2">
      <w:pPr>
        <w:rPr>
          <w:sz w:val="24"/>
          <w:szCs w:val="24"/>
        </w:rPr>
      </w:pPr>
      <w:r>
        <w:rPr>
          <w:sz w:val="24"/>
          <w:szCs w:val="24"/>
        </w:rPr>
        <w:lastRenderedPageBreak/>
        <w:t xml:space="preserve">By placing visitor numbers and profile at the centre of policy we have lost that. Numbers are </w:t>
      </w:r>
      <w:proofErr w:type="gramStart"/>
      <w:r>
        <w:rPr>
          <w:sz w:val="24"/>
          <w:szCs w:val="24"/>
        </w:rPr>
        <w:t>collected</w:t>
      </w:r>
      <w:proofErr w:type="gramEnd"/>
      <w:r>
        <w:rPr>
          <w:sz w:val="24"/>
          <w:szCs w:val="24"/>
        </w:rPr>
        <w:t xml:space="preserve"> and diversity sought not for some larger purpose but to signal the value for taxpayers’ money and to overcome </w:t>
      </w:r>
      <w:r w:rsidR="00C64242">
        <w:rPr>
          <w:sz w:val="24"/>
          <w:szCs w:val="24"/>
        </w:rPr>
        <w:t>any</w:t>
      </w:r>
      <w:r>
        <w:rPr>
          <w:sz w:val="24"/>
          <w:szCs w:val="24"/>
        </w:rPr>
        <w:t xml:space="preserve"> </w:t>
      </w:r>
      <w:r w:rsidR="00F41354">
        <w:rPr>
          <w:sz w:val="24"/>
          <w:szCs w:val="24"/>
        </w:rPr>
        <w:t>injustice</w:t>
      </w:r>
      <w:r>
        <w:rPr>
          <w:sz w:val="24"/>
          <w:szCs w:val="24"/>
        </w:rPr>
        <w:t xml:space="preserve"> </w:t>
      </w:r>
      <w:r w:rsidR="00C64242">
        <w:rPr>
          <w:sz w:val="24"/>
          <w:szCs w:val="24"/>
        </w:rPr>
        <w:t>in</w:t>
      </w:r>
      <w:r>
        <w:rPr>
          <w:sz w:val="24"/>
          <w:szCs w:val="24"/>
        </w:rPr>
        <w:t xml:space="preserve"> who is subsidising whom. These are </w:t>
      </w:r>
      <w:r w:rsidR="00C64242">
        <w:rPr>
          <w:sz w:val="24"/>
          <w:szCs w:val="24"/>
        </w:rPr>
        <w:t>important</w:t>
      </w:r>
      <w:r>
        <w:rPr>
          <w:sz w:val="24"/>
          <w:szCs w:val="24"/>
        </w:rPr>
        <w:t xml:space="preserve"> </w:t>
      </w:r>
      <w:r w:rsidR="00F41354">
        <w:rPr>
          <w:sz w:val="24"/>
          <w:szCs w:val="24"/>
        </w:rPr>
        <w:t>issues</w:t>
      </w:r>
      <w:r>
        <w:rPr>
          <w:sz w:val="24"/>
          <w:szCs w:val="24"/>
        </w:rPr>
        <w:t xml:space="preserve">, but they </w:t>
      </w:r>
      <w:r w:rsidR="00F41354">
        <w:rPr>
          <w:sz w:val="24"/>
          <w:szCs w:val="24"/>
        </w:rPr>
        <w:t>are approached</w:t>
      </w:r>
      <w:r>
        <w:rPr>
          <w:sz w:val="24"/>
          <w:szCs w:val="24"/>
        </w:rPr>
        <w:t xml:space="preserve"> in a </w:t>
      </w:r>
      <w:r w:rsidR="00F41354">
        <w:rPr>
          <w:sz w:val="24"/>
          <w:szCs w:val="24"/>
        </w:rPr>
        <w:t>setting</w:t>
      </w:r>
      <w:r>
        <w:rPr>
          <w:sz w:val="24"/>
          <w:szCs w:val="24"/>
        </w:rPr>
        <w:t xml:space="preserve"> where </w:t>
      </w:r>
      <w:r w:rsidR="00F41354">
        <w:rPr>
          <w:sz w:val="24"/>
          <w:szCs w:val="24"/>
        </w:rPr>
        <w:t>the dominant</w:t>
      </w:r>
      <w:r w:rsidR="00833AE8">
        <w:rPr>
          <w:sz w:val="24"/>
          <w:szCs w:val="24"/>
        </w:rPr>
        <w:t xml:space="preserve"> discourse about why museums matter has lost its coherence. </w:t>
      </w:r>
      <w:r w:rsidR="00C64242">
        <w:rPr>
          <w:sz w:val="24"/>
          <w:szCs w:val="24"/>
        </w:rPr>
        <w:t xml:space="preserve">As I </w:t>
      </w:r>
      <w:r w:rsidR="003845B1">
        <w:rPr>
          <w:sz w:val="24"/>
          <w:szCs w:val="24"/>
        </w:rPr>
        <w:t>noted above</w:t>
      </w:r>
      <w:r w:rsidR="00C64242">
        <w:rPr>
          <w:sz w:val="24"/>
          <w:szCs w:val="24"/>
        </w:rPr>
        <w:t>, the</w:t>
      </w:r>
      <w:r w:rsidR="00833AE8">
        <w:rPr>
          <w:sz w:val="24"/>
          <w:szCs w:val="24"/>
        </w:rPr>
        <w:t xml:space="preserve"> purpose for which data is collected </w:t>
      </w:r>
      <w:r w:rsidR="00C64242">
        <w:rPr>
          <w:sz w:val="24"/>
          <w:szCs w:val="24"/>
        </w:rPr>
        <w:t>is</w:t>
      </w:r>
      <w:r w:rsidR="00833AE8">
        <w:rPr>
          <w:sz w:val="24"/>
          <w:szCs w:val="24"/>
        </w:rPr>
        <w:t xml:space="preserve"> crucial for shaping the questions and therefore the answers. </w:t>
      </w:r>
      <w:r w:rsidR="003845B1">
        <w:rPr>
          <w:sz w:val="24"/>
          <w:szCs w:val="24"/>
        </w:rPr>
        <w:t xml:space="preserve">An </w:t>
      </w:r>
      <w:r w:rsidR="00F41354">
        <w:rPr>
          <w:sz w:val="24"/>
          <w:szCs w:val="24"/>
        </w:rPr>
        <w:t>analysis of s</w:t>
      </w:r>
      <w:r w:rsidR="00397C93">
        <w:rPr>
          <w:sz w:val="24"/>
          <w:szCs w:val="24"/>
        </w:rPr>
        <w:t xml:space="preserve">even </w:t>
      </w:r>
      <w:r w:rsidR="00C64242">
        <w:rPr>
          <w:sz w:val="24"/>
          <w:szCs w:val="24"/>
        </w:rPr>
        <w:t xml:space="preserve">Danish </w:t>
      </w:r>
      <w:r w:rsidR="00397C93">
        <w:rPr>
          <w:sz w:val="24"/>
          <w:szCs w:val="24"/>
        </w:rPr>
        <w:t>cultural participation</w:t>
      </w:r>
      <w:r w:rsidR="00F41354">
        <w:rPr>
          <w:sz w:val="24"/>
          <w:szCs w:val="24"/>
        </w:rPr>
        <w:t xml:space="preserve"> surveys between 1964 and 2012 </w:t>
      </w:r>
      <w:r w:rsidR="00487D87">
        <w:rPr>
          <w:sz w:val="24"/>
          <w:szCs w:val="24"/>
        </w:rPr>
        <w:t>illustrates this well. T</w:t>
      </w:r>
      <w:r w:rsidR="00397C93">
        <w:rPr>
          <w:sz w:val="24"/>
          <w:szCs w:val="24"/>
        </w:rPr>
        <w:t xml:space="preserve">he meanings of both culture and </w:t>
      </w:r>
      <w:r w:rsidR="00A91FE3">
        <w:rPr>
          <w:sz w:val="24"/>
          <w:szCs w:val="24"/>
        </w:rPr>
        <w:t xml:space="preserve">participants shifted </w:t>
      </w:r>
      <w:r w:rsidR="00C64242">
        <w:rPr>
          <w:sz w:val="24"/>
          <w:szCs w:val="24"/>
        </w:rPr>
        <w:t>over the period</w:t>
      </w:r>
      <w:r w:rsidR="00A91FE3">
        <w:rPr>
          <w:sz w:val="24"/>
          <w:szCs w:val="24"/>
        </w:rPr>
        <w:t xml:space="preserve"> as the wider </w:t>
      </w:r>
      <w:r w:rsidR="00487D87">
        <w:rPr>
          <w:sz w:val="24"/>
          <w:szCs w:val="24"/>
        </w:rPr>
        <w:t xml:space="preserve">political and social </w:t>
      </w:r>
      <w:r w:rsidR="00B77AD4">
        <w:rPr>
          <w:sz w:val="24"/>
          <w:szCs w:val="24"/>
        </w:rPr>
        <w:t>environment</w:t>
      </w:r>
      <w:r w:rsidR="00A91FE3">
        <w:rPr>
          <w:sz w:val="24"/>
          <w:szCs w:val="24"/>
        </w:rPr>
        <w:t xml:space="preserve"> changed. Where participants had once been </w:t>
      </w:r>
      <w:r w:rsidR="00222921">
        <w:rPr>
          <w:sz w:val="24"/>
          <w:szCs w:val="24"/>
        </w:rPr>
        <w:t>surveyed</w:t>
      </w:r>
      <w:r w:rsidR="00A91FE3">
        <w:rPr>
          <w:sz w:val="24"/>
          <w:szCs w:val="24"/>
        </w:rPr>
        <w:t xml:space="preserve"> primarily as citizens, with </w:t>
      </w:r>
      <w:r w:rsidR="00487D87">
        <w:rPr>
          <w:sz w:val="24"/>
          <w:szCs w:val="24"/>
        </w:rPr>
        <w:t>governments</w:t>
      </w:r>
      <w:r w:rsidR="00A91FE3">
        <w:rPr>
          <w:sz w:val="24"/>
          <w:szCs w:val="24"/>
        </w:rPr>
        <w:t xml:space="preserve"> interest</w:t>
      </w:r>
      <w:r w:rsidR="00487D87">
        <w:rPr>
          <w:sz w:val="24"/>
          <w:szCs w:val="24"/>
        </w:rPr>
        <w:t>ed</w:t>
      </w:r>
      <w:r w:rsidR="00A91FE3">
        <w:rPr>
          <w:sz w:val="24"/>
          <w:szCs w:val="24"/>
        </w:rPr>
        <w:t xml:space="preserve"> in how they spent their expanding leisure time, they </w:t>
      </w:r>
      <w:r w:rsidR="00222921">
        <w:rPr>
          <w:sz w:val="24"/>
          <w:szCs w:val="24"/>
        </w:rPr>
        <w:t xml:space="preserve">came to be seen </w:t>
      </w:r>
      <w:r w:rsidR="00C64242">
        <w:rPr>
          <w:sz w:val="24"/>
          <w:szCs w:val="24"/>
        </w:rPr>
        <w:t xml:space="preserve">from the 1990s </w:t>
      </w:r>
      <w:r w:rsidR="00A91FE3">
        <w:rPr>
          <w:sz w:val="24"/>
          <w:szCs w:val="24"/>
        </w:rPr>
        <w:t xml:space="preserve">as customers. The legitimacy of publicly-funded cultural institutions in Denmark </w:t>
      </w:r>
      <w:r w:rsidR="00222921">
        <w:rPr>
          <w:sz w:val="24"/>
          <w:szCs w:val="24"/>
        </w:rPr>
        <w:t>now rested</w:t>
      </w:r>
      <w:r w:rsidR="00A91FE3">
        <w:rPr>
          <w:sz w:val="24"/>
          <w:szCs w:val="24"/>
        </w:rPr>
        <w:t xml:space="preserve"> on the extent to w</w:t>
      </w:r>
      <w:r w:rsidR="00B77AD4">
        <w:rPr>
          <w:sz w:val="24"/>
          <w:szCs w:val="24"/>
        </w:rPr>
        <w:t xml:space="preserve">hich consumers made use of them </w:t>
      </w:r>
      <w:r w:rsidR="00D65508">
        <w:rPr>
          <w:sz w:val="24"/>
          <w:szCs w:val="24"/>
        </w:rPr>
        <w:t xml:space="preserve">(Balling &amp; </w:t>
      </w:r>
      <w:proofErr w:type="spellStart"/>
      <w:r w:rsidR="00D65508">
        <w:rPr>
          <w:sz w:val="24"/>
          <w:szCs w:val="24"/>
        </w:rPr>
        <w:t>Kann</w:t>
      </w:r>
      <w:proofErr w:type="spellEnd"/>
      <w:r w:rsidR="00D65508">
        <w:rPr>
          <w:sz w:val="24"/>
          <w:szCs w:val="24"/>
        </w:rPr>
        <w:t>-Christensen, 2013).</w:t>
      </w:r>
      <w:r w:rsidR="00A91FE3">
        <w:rPr>
          <w:sz w:val="24"/>
          <w:szCs w:val="24"/>
        </w:rPr>
        <w:t xml:space="preserve"> </w:t>
      </w:r>
      <w:r w:rsidR="00B77AD4">
        <w:rPr>
          <w:sz w:val="24"/>
          <w:szCs w:val="24"/>
        </w:rPr>
        <w:t>The</w:t>
      </w:r>
      <w:r w:rsidR="00A91FE3">
        <w:rPr>
          <w:sz w:val="24"/>
          <w:szCs w:val="24"/>
        </w:rPr>
        <w:t xml:space="preserve"> deficit model, with its concept of barriers to participation in a </w:t>
      </w:r>
      <w:proofErr w:type="gramStart"/>
      <w:r w:rsidR="00A91FE3">
        <w:rPr>
          <w:sz w:val="24"/>
          <w:szCs w:val="24"/>
        </w:rPr>
        <w:t>particular kind</w:t>
      </w:r>
      <w:proofErr w:type="gramEnd"/>
      <w:r w:rsidR="00A91FE3">
        <w:rPr>
          <w:sz w:val="24"/>
          <w:szCs w:val="24"/>
        </w:rPr>
        <w:t xml:space="preserve"> of publicly-funded culture, came to prevail</w:t>
      </w:r>
      <w:r w:rsidR="00A56233">
        <w:rPr>
          <w:sz w:val="24"/>
          <w:szCs w:val="24"/>
        </w:rPr>
        <w:t xml:space="preserve"> in ways parallel to Britain</w:t>
      </w:r>
      <w:r w:rsidR="00A91FE3">
        <w:rPr>
          <w:sz w:val="24"/>
          <w:szCs w:val="24"/>
        </w:rPr>
        <w:t xml:space="preserve">. </w:t>
      </w:r>
      <w:r w:rsidR="00C64242">
        <w:rPr>
          <w:sz w:val="24"/>
          <w:szCs w:val="24"/>
        </w:rPr>
        <w:t>These changing</w:t>
      </w:r>
      <w:r w:rsidR="00A91FE3">
        <w:rPr>
          <w:sz w:val="24"/>
          <w:szCs w:val="24"/>
        </w:rPr>
        <w:t xml:space="preserve"> Danish </w:t>
      </w:r>
      <w:r w:rsidR="00C64242">
        <w:rPr>
          <w:sz w:val="24"/>
          <w:szCs w:val="24"/>
        </w:rPr>
        <w:t>surveys provide</w:t>
      </w:r>
      <w:r w:rsidR="00A91FE3">
        <w:rPr>
          <w:sz w:val="24"/>
          <w:szCs w:val="24"/>
        </w:rPr>
        <w:t xml:space="preserve"> a powerful example of </w:t>
      </w:r>
      <w:r w:rsidR="00AF7B60">
        <w:rPr>
          <w:sz w:val="24"/>
          <w:szCs w:val="24"/>
        </w:rPr>
        <w:t xml:space="preserve">how the context in which data is collected is fundamental to its meaning. </w:t>
      </w:r>
    </w:p>
    <w:p w:rsidR="00222921" w:rsidRDefault="008727B7" w:rsidP="004120B2">
      <w:pPr>
        <w:rPr>
          <w:sz w:val="24"/>
          <w:szCs w:val="24"/>
        </w:rPr>
      </w:pPr>
      <w:r>
        <w:rPr>
          <w:sz w:val="24"/>
          <w:szCs w:val="24"/>
        </w:rPr>
        <w:t>Democratising</w:t>
      </w:r>
      <w:r w:rsidR="000D6F65">
        <w:rPr>
          <w:sz w:val="24"/>
          <w:szCs w:val="24"/>
        </w:rPr>
        <w:t xml:space="preserve"> access </w:t>
      </w:r>
      <w:r>
        <w:rPr>
          <w:sz w:val="24"/>
          <w:szCs w:val="24"/>
        </w:rPr>
        <w:t xml:space="preserve">to museums </w:t>
      </w:r>
      <w:r w:rsidR="00F52882">
        <w:rPr>
          <w:sz w:val="24"/>
          <w:szCs w:val="24"/>
        </w:rPr>
        <w:t xml:space="preserve">is </w:t>
      </w:r>
      <w:r w:rsidR="000D6F65">
        <w:rPr>
          <w:sz w:val="24"/>
          <w:szCs w:val="24"/>
        </w:rPr>
        <w:t xml:space="preserve">the core driver in a way that it wasn’t in the nineteenth century, and data is gathered on numbers attending and their demographic profile with little interest in the character or meanings of their experience. </w:t>
      </w:r>
      <w:r w:rsidR="00791B60">
        <w:rPr>
          <w:sz w:val="24"/>
          <w:szCs w:val="24"/>
        </w:rPr>
        <w:t xml:space="preserve">Seeking </w:t>
      </w:r>
      <w:r w:rsidR="000D6F65">
        <w:rPr>
          <w:sz w:val="24"/>
          <w:szCs w:val="24"/>
        </w:rPr>
        <w:t>an association between museum atten</w:t>
      </w:r>
      <w:r w:rsidR="00487D87">
        <w:rPr>
          <w:sz w:val="24"/>
          <w:szCs w:val="24"/>
        </w:rPr>
        <w:t xml:space="preserve">dance and subjective wellbeing </w:t>
      </w:r>
      <w:r w:rsidR="00F52882">
        <w:rPr>
          <w:sz w:val="24"/>
          <w:szCs w:val="24"/>
        </w:rPr>
        <w:t>does not constitute tha</w:t>
      </w:r>
      <w:r w:rsidR="000D6F65">
        <w:rPr>
          <w:sz w:val="24"/>
          <w:szCs w:val="24"/>
        </w:rPr>
        <w:t>t.</w:t>
      </w:r>
      <w:r w:rsidR="00AF47B1">
        <w:rPr>
          <w:sz w:val="24"/>
          <w:szCs w:val="24"/>
        </w:rPr>
        <w:t xml:space="preserve"> There are other perspectives, however, </w:t>
      </w:r>
      <w:r w:rsidR="00487D87">
        <w:rPr>
          <w:sz w:val="24"/>
          <w:szCs w:val="24"/>
        </w:rPr>
        <w:t xml:space="preserve">which </w:t>
      </w:r>
      <w:r w:rsidR="00B77AD4">
        <w:rPr>
          <w:sz w:val="24"/>
          <w:szCs w:val="24"/>
        </w:rPr>
        <w:t>recover</w:t>
      </w:r>
      <w:r w:rsidR="00644C89">
        <w:rPr>
          <w:sz w:val="24"/>
          <w:szCs w:val="24"/>
        </w:rPr>
        <w:t xml:space="preserve"> the museum as part of the wider public realm</w:t>
      </w:r>
      <w:r w:rsidR="00B77AD4">
        <w:rPr>
          <w:sz w:val="24"/>
          <w:szCs w:val="24"/>
        </w:rPr>
        <w:t>,</w:t>
      </w:r>
      <w:r w:rsidR="00F52882">
        <w:rPr>
          <w:sz w:val="24"/>
          <w:szCs w:val="24"/>
        </w:rPr>
        <w:t xml:space="preserve"> albeit in </w:t>
      </w:r>
      <w:r w:rsidR="00791B60">
        <w:rPr>
          <w:sz w:val="24"/>
          <w:szCs w:val="24"/>
        </w:rPr>
        <w:t>way</w:t>
      </w:r>
      <w:r w:rsidR="00F52882">
        <w:rPr>
          <w:sz w:val="24"/>
          <w:szCs w:val="24"/>
        </w:rPr>
        <w:t>s</w:t>
      </w:r>
      <w:r w:rsidR="00791B60">
        <w:rPr>
          <w:sz w:val="24"/>
          <w:szCs w:val="24"/>
        </w:rPr>
        <w:t xml:space="preserve"> very different from the late nineteenth century</w:t>
      </w:r>
      <w:r w:rsidR="00644C89">
        <w:rPr>
          <w:sz w:val="24"/>
          <w:szCs w:val="24"/>
        </w:rPr>
        <w:t xml:space="preserve">. Museums </w:t>
      </w:r>
      <w:r w:rsidR="00487D87">
        <w:rPr>
          <w:sz w:val="24"/>
          <w:szCs w:val="24"/>
        </w:rPr>
        <w:t xml:space="preserve">today </w:t>
      </w:r>
      <w:r w:rsidR="00791B60">
        <w:rPr>
          <w:sz w:val="24"/>
          <w:szCs w:val="24"/>
        </w:rPr>
        <w:t xml:space="preserve">are </w:t>
      </w:r>
      <w:r w:rsidR="00644C89">
        <w:rPr>
          <w:sz w:val="24"/>
          <w:szCs w:val="24"/>
        </w:rPr>
        <w:t xml:space="preserve">a part of the civic space </w:t>
      </w:r>
      <w:r w:rsidR="00791B60">
        <w:rPr>
          <w:sz w:val="24"/>
          <w:szCs w:val="24"/>
        </w:rPr>
        <w:t>with</w:t>
      </w:r>
      <w:r w:rsidR="00644C89">
        <w:rPr>
          <w:sz w:val="24"/>
          <w:szCs w:val="24"/>
        </w:rPr>
        <w:t xml:space="preserve"> cafes, retailing, educational activities and so on, </w:t>
      </w:r>
      <w:r w:rsidR="00791B60">
        <w:rPr>
          <w:sz w:val="24"/>
          <w:szCs w:val="24"/>
        </w:rPr>
        <w:t>put</w:t>
      </w:r>
      <w:r w:rsidR="00644C89">
        <w:rPr>
          <w:sz w:val="24"/>
          <w:szCs w:val="24"/>
        </w:rPr>
        <w:t xml:space="preserve"> there by the quest for financial sustainability, relevance and engagement. As the </w:t>
      </w:r>
      <w:r w:rsidR="00487D87">
        <w:rPr>
          <w:sz w:val="24"/>
          <w:szCs w:val="24"/>
        </w:rPr>
        <w:t>spaces of</w:t>
      </w:r>
      <w:r w:rsidR="00644C89">
        <w:rPr>
          <w:sz w:val="24"/>
          <w:szCs w:val="24"/>
        </w:rPr>
        <w:t xml:space="preserve"> the city </w:t>
      </w:r>
      <w:r w:rsidR="001F101E">
        <w:rPr>
          <w:sz w:val="24"/>
          <w:szCs w:val="24"/>
        </w:rPr>
        <w:t>become</w:t>
      </w:r>
      <w:r w:rsidR="00644C89">
        <w:rPr>
          <w:sz w:val="24"/>
          <w:szCs w:val="24"/>
        </w:rPr>
        <w:t xml:space="preserve"> privatised,</w:t>
      </w:r>
      <w:r w:rsidR="001F101E">
        <w:rPr>
          <w:sz w:val="24"/>
          <w:szCs w:val="24"/>
        </w:rPr>
        <w:t xml:space="preserve"> so</w:t>
      </w:r>
      <w:r w:rsidR="00644C89">
        <w:rPr>
          <w:sz w:val="24"/>
          <w:szCs w:val="24"/>
        </w:rPr>
        <w:t xml:space="preserve"> the museum </w:t>
      </w:r>
      <w:r w:rsidR="00791B60">
        <w:rPr>
          <w:sz w:val="24"/>
          <w:szCs w:val="24"/>
        </w:rPr>
        <w:t>refashions itself as</w:t>
      </w:r>
      <w:r w:rsidR="00644C89">
        <w:rPr>
          <w:sz w:val="24"/>
          <w:szCs w:val="24"/>
        </w:rPr>
        <w:t xml:space="preserve"> part of the public realm</w:t>
      </w:r>
      <w:r w:rsidR="00717710">
        <w:rPr>
          <w:sz w:val="24"/>
          <w:szCs w:val="24"/>
        </w:rPr>
        <w:t xml:space="preserve">, with implications for </w:t>
      </w:r>
      <w:r w:rsidR="00A56233">
        <w:rPr>
          <w:sz w:val="24"/>
          <w:szCs w:val="24"/>
        </w:rPr>
        <w:t>its</w:t>
      </w:r>
      <w:r w:rsidR="00222921">
        <w:rPr>
          <w:sz w:val="24"/>
          <w:szCs w:val="24"/>
        </w:rPr>
        <w:t xml:space="preserve"> role</w:t>
      </w:r>
      <w:r w:rsidR="00717710">
        <w:rPr>
          <w:sz w:val="24"/>
          <w:szCs w:val="24"/>
        </w:rPr>
        <w:t xml:space="preserve"> i</w:t>
      </w:r>
      <w:r w:rsidR="00A56233">
        <w:rPr>
          <w:sz w:val="24"/>
          <w:szCs w:val="24"/>
        </w:rPr>
        <w:t>n public and participatory arts.</w:t>
      </w:r>
      <w:r w:rsidR="00717710">
        <w:rPr>
          <w:sz w:val="24"/>
          <w:szCs w:val="24"/>
        </w:rPr>
        <w:t xml:space="preserve"> This is far from </w:t>
      </w:r>
      <w:r w:rsidR="00791B60">
        <w:rPr>
          <w:sz w:val="24"/>
          <w:szCs w:val="24"/>
        </w:rPr>
        <w:t>a</w:t>
      </w:r>
      <w:r w:rsidR="00717710">
        <w:rPr>
          <w:sz w:val="24"/>
          <w:szCs w:val="24"/>
        </w:rPr>
        <w:t xml:space="preserve"> narrow focus on visitor numbers and profile and has the potential </w:t>
      </w:r>
      <w:r w:rsidR="001F101E">
        <w:rPr>
          <w:sz w:val="24"/>
          <w:szCs w:val="24"/>
        </w:rPr>
        <w:t>to shape</w:t>
      </w:r>
      <w:r w:rsidR="00717710">
        <w:rPr>
          <w:sz w:val="24"/>
          <w:szCs w:val="24"/>
        </w:rPr>
        <w:t xml:space="preserve"> a more coherent and challenging vision </w:t>
      </w:r>
      <w:proofErr w:type="gramStart"/>
      <w:r w:rsidR="00717710">
        <w:rPr>
          <w:sz w:val="24"/>
          <w:szCs w:val="24"/>
        </w:rPr>
        <w:t>for the purpose of</w:t>
      </w:r>
      <w:proofErr w:type="gramEnd"/>
      <w:r w:rsidR="00717710">
        <w:rPr>
          <w:sz w:val="24"/>
          <w:szCs w:val="24"/>
        </w:rPr>
        <w:t xml:space="preserve"> the museum today</w:t>
      </w:r>
      <w:r w:rsidR="00791B60">
        <w:rPr>
          <w:sz w:val="24"/>
          <w:szCs w:val="24"/>
        </w:rPr>
        <w:t xml:space="preserve">. </w:t>
      </w:r>
      <w:r w:rsidR="00717710">
        <w:rPr>
          <w:sz w:val="24"/>
          <w:szCs w:val="24"/>
        </w:rPr>
        <w:t xml:space="preserve">I return to my key point – in the second half of the nineteenth century those who established museums had a relatively clear sense </w:t>
      </w:r>
      <w:r w:rsidR="00222921">
        <w:rPr>
          <w:sz w:val="24"/>
          <w:szCs w:val="24"/>
        </w:rPr>
        <w:t xml:space="preserve">both </w:t>
      </w:r>
      <w:r w:rsidR="00717710">
        <w:rPr>
          <w:sz w:val="24"/>
          <w:szCs w:val="24"/>
        </w:rPr>
        <w:t xml:space="preserve">of their purpose and </w:t>
      </w:r>
      <w:r w:rsidR="00222921">
        <w:rPr>
          <w:sz w:val="24"/>
          <w:szCs w:val="24"/>
        </w:rPr>
        <w:t xml:space="preserve">of </w:t>
      </w:r>
      <w:r w:rsidR="00717710">
        <w:rPr>
          <w:sz w:val="24"/>
          <w:szCs w:val="24"/>
        </w:rPr>
        <w:t xml:space="preserve">how they fitted into the wider public sphere. </w:t>
      </w:r>
      <w:r w:rsidR="001F101E">
        <w:rPr>
          <w:sz w:val="24"/>
          <w:szCs w:val="24"/>
        </w:rPr>
        <w:t>The</w:t>
      </w:r>
      <w:r w:rsidR="00B77AD4">
        <w:rPr>
          <w:sz w:val="24"/>
          <w:szCs w:val="24"/>
        </w:rPr>
        <w:t xml:space="preserve"> </w:t>
      </w:r>
      <w:r w:rsidR="00717710">
        <w:rPr>
          <w:sz w:val="24"/>
          <w:szCs w:val="24"/>
        </w:rPr>
        <w:t xml:space="preserve">narrative </w:t>
      </w:r>
      <w:r w:rsidR="001F101E">
        <w:rPr>
          <w:sz w:val="24"/>
          <w:szCs w:val="24"/>
        </w:rPr>
        <w:t xml:space="preserve">today </w:t>
      </w:r>
      <w:r w:rsidR="00723BE5">
        <w:rPr>
          <w:sz w:val="24"/>
          <w:szCs w:val="24"/>
        </w:rPr>
        <w:t>is less coherent and</w:t>
      </w:r>
      <w:r w:rsidR="00B77AD4">
        <w:rPr>
          <w:sz w:val="24"/>
          <w:szCs w:val="24"/>
        </w:rPr>
        <w:t xml:space="preserve"> </w:t>
      </w:r>
      <w:r w:rsidR="00717710">
        <w:rPr>
          <w:sz w:val="24"/>
          <w:szCs w:val="24"/>
        </w:rPr>
        <w:t>much more fragmented.</w:t>
      </w:r>
    </w:p>
    <w:p w:rsidR="0000567C" w:rsidRDefault="008A3B02" w:rsidP="004120B2">
      <w:pPr>
        <w:rPr>
          <w:sz w:val="24"/>
          <w:szCs w:val="24"/>
        </w:rPr>
      </w:pPr>
      <w:r>
        <w:rPr>
          <w:sz w:val="24"/>
          <w:szCs w:val="24"/>
        </w:rPr>
        <w:t>The relationship between audiences and collections has in recent years been taking on new forms</w:t>
      </w:r>
      <w:r w:rsidR="00370574">
        <w:rPr>
          <w:sz w:val="24"/>
          <w:szCs w:val="24"/>
        </w:rPr>
        <w:t xml:space="preserve"> as </w:t>
      </w:r>
      <w:r w:rsidR="00D0766F">
        <w:rPr>
          <w:sz w:val="24"/>
          <w:szCs w:val="24"/>
        </w:rPr>
        <w:t xml:space="preserve">many </w:t>
      </w:r>
      <w:r w:rsidR="00370574">
        <w:rPr>
          <w:sz w:val="24"/>
          <w:szCs w:val="24"/>
        </w:rPr>
        <w:t>museums seek a</w:t>
      </w:r>
      <w:r w:rsidR="00D0766F">
        <w:rPr>
          <w:sz w:val="24"/>
          <w:szCs w:val="24"/>
        </w:rPr>
        <w:t xml:space="preserve"> more participatory and dynamic engagement</w:t>
      </w:r>
      <w:r>
        <w:rPr>
          <w:sz w:val="24"/>
          <w:szCs w:val="24"/>
        </w:rPr>
        <w:t xml:space="preserve">. The </w:t>
      </w:r>
      <w:proofErr w:type="spellStart"/>
      <w:r>
        <w:rPr>
          <w:sz w:val="24"/>
          <w:szCs w:val="24"/>
        </w:rPr>
        <w:t>Gulbenkian</w:t>
      </w:r>
      <w:proofErr w:type="spellEnd"/>
      <w:r>
        <w:rPr>
          <w:sz w:val="24"/>
          <w:szCs w:val="24"/>
        </w:rPr>
        <w:t xml:space="preserve"> Foundation’s inquiry into the civic role of culture </w:t>
      </w:r>
      <w:r w:rsidR="003D34FB">
        <w:rPr>
          <w:sz w:val="24"/>
          <w:szCs w:val="24"/>
        </w:rPr>
        <w:t>distinguishes</w:t>
      </w:r>
      <w:r>
        <w:rPr>
          <w:sz w:val="24"/>
          <w:szCs w:val="24"/>
        </w:rPr>
        <w:t xml:space="preserve"> between access, participation and co-design (</w:t>
      </w:r>
      <w:proofErr w:type="spellStart"/>
      <w:r>
        <w:rPr>
          <w:sz w:val="24"/>
          <w:szCs w:val="24"/>
        </w:rPr>
        <w:t>Gulbenkian</w:t>
      </w:r>
      <w:proofErr w:type="spellEnd"/>
      <w:r>
        <w:rPr>
          <w:sz w:val="24"/>
          <w:szCs w:val="24"/>
        </w:rPr>
        <w:t xml:space="preserve"> Foundation, 2017)</w:t>
      </w:r>
      <w:r w:rsidR="003D34FB">
        <w:rPr>
          <w:sz w:val="24"/>
          <w:szCs w:val="24"/>
        </w:rPr>
        <w:t>.</w:t>
      </w:r>
      <w:r>
        <w:rPr>
          <w:sz w:val="24"/>
          <w:szCs w:val="24"/>
        </w:rPr>
        <w:t xml:space="preserve"> </w:t>
      </w:r>
      <w:r w:rsidR="00723BE5">
        <w:rPr>
          <w:sz w:val="24"/>
          <w:szCs w:val="24"/>
        </w:rPr>
        <w:t xml:space="preserve">All three </w:t>
      </w:r>
      <w:r w:rsidR="003D34FB">
        <w:rPr>
          <w:sz w:val="24"/>
          <w:szCs w:val="24"/>
        </w:rPr>
        <w:t>raise key questions and each of them has implications for collections. A</w:t>
      </w:r>
      <w:r>
        <w:rPr>
          <w:sz w:val="24"/>
          <w:szCs w:val="24"/>
        </w:rPr>
        <w:t xml:space="preserve"> variety of new initiatives signal that something different is going on. Some museums are claiming to constitute critical alternative spaces f</w:t>
      </w:r>
      <w:r w:rsidR="00723BE5">
        <w:rPr>
          <w:sz w:val="24"/>
          <w:szCs w:val="24"/>
        </w:rPr>
        <w:t>or collaboration and engagement</w:t>
      </w:r>
      <w:r>
        <w:rPr>
          <w:sz w:val="24"/>
          <w:szCs w:val="24"/>
        </w:rPr>
        <w:t xml:space="preserve"> as </w:t>
      </w:r>
      <w:r w:rsidR="003D34FB">
        <w:rPr>
          <w:sz w:val="24"/>
          <w:szCs w:val="24"/>
        </w:rPr>
        <w:t>Queen’s Museum</w:t>
      </w:r>
      <w:r w:rsidR="00723BE5">
        <w:rPr>
          <w:sz w:val="24"/>
          <w:szCs w:val="24"/>
        </w:rPr>
        <w:t>,</w:t>
      </w:r>
      <w:r w:rsidR="003D34FB">
        <w:rPr>
          <w:sz w:val="24"/>
          <w:szCs w:val="24"/>
        </w:rPr>
        <w:t xml:space="preserve"> in New York</w:t>
      </w:r>
      <w:r w:rsidR="00723BE5">
        <w:rPr>
          <w:sz w:val="24"/>
          <w:szCs w:val="24"/>
        </w:rPr>
        <w:t>’s</w:t>
      </w:r>
      <w:r w:rsidR="003D34FB">
        <w:rPr>
          <w:sz w:val="24"/>
          <w:szCs w:val="24"/>
        </w:rPr>
        <w:t xml:space="preserve"> b</w:t>
      </w:r>
      <w:r>
        <w:rPr>
          <w:sz w:val="24"/>
          <w:szCs w:val="24"/>
        </w:rPr>
        <w:t>orough with the most disadvantaged immigrant districts</w:t>
      </w:r>
      <w:r w:rsidR="00723BE5">
        <w:rPr>
          <w:sz w:val="24"/>
          <w:szCs w:val="24"/>
        </w:rPr>
        <w:t>,</w:t>
      </w:r>
      <w:r>
        <w:rPr>
          <w:sz w:val="24"/>
          <w:szCs w:val="24"/>
        </w:rPr>
        <w:t xml:space="preserve"> did under Tom </w:t>
      </w:r>
      <w:proofErr w:type="spellStart"/>
      <w:r>
        <w:rPr>
          <w:sz w:val="24"/>
          <w:szCs w:val="24"/>
        </w:rPr>
        <w:t>Finkelpearl’s</w:t>
      </w:r>
      <w:proofErr w:type="spellEnd"/>
      <w:r>
        <w:rPr>
          <w:sz w:val="24"/>
          <w:szCs w:val="24"/>
        </w:rPr>
        <w:t xml:space="preserve"> leadership, constructing </w:t>
      </w:r>
      <w:r w:rsidR="00D0766F">
        <w:rPr>
          <w:sz w:val="24"/>
          <w:szCs w:val="24"/>
        </w:rPr>
        <w:t>an interactive</w:t>
      </w:r>
      <w:r>
        <w:rPr>
          <w:sz w:val="24"/>
          <w:szCs w:val="24"/>
        </w:rPr>
        <w:t xml:space="preserve"> collection in new ways. Derby Museum</w:t>
      </w:r>
      <w:r w:rsidR="003D34FB">
        <w:rPr>
          <w:sz w:val="24"/>
          <w:szCs w:val="24"/>
        </w:rPr>
        <w:t>’s Object Walks programme</w:t>
      </w:r>
      <w:r>
        <w:rPr>
          <w:sz w:val="24"/>
          <w:szCs w:val="24"/>
        </w:rPr>
        <w:t xml:space="preserve"> takes </w:t>
      </w:r>
      <w:r w:rsidR="003D34FB">
        <w:rPr>
          <w:sz w:val="24"/>
          <w:szCs w:val="24"/>
        </w:rPr>
        <w:t>items in its</w:t>
      </w:r>
      <w:r>
        <w:rPr>
          <w:sz w:val="24"/>
          <w:szCs w:val="24"/>
        </w:rPr>
        <w:t xml:space="preserve"> collection to the comm</w:t>
      </w:r>
      <w:r w:rsidR="003D34FB">
        <w:rPr>
          <w:sz w:val="24"/>
          <w:szCs w:val="24"/>
        </w:rPr>
        <w:t xml:space="preserve">unity beyond its walls, as when a West African headrest </w:t>
      </w:r>
      <w:r>
        <w:rPr>
          <w:sz w:val="24"/>
          <w:szCs w:val="24"/>
        </w:rPr>
        <w:t>spent several days on the counter of a local flor</w:t>
      </w:r>
      <w:r w:rsidR="002E5A7D">
        <w:rPr>
          <w:sz w:val="24"/>
          <w:szCs w:val="24"/>
        </w:rPr>
        <w:t>i</w:t>
      </w:r>
      <w:r w:rsidR="00EF28F2">
        <w:rPr>
          <w:sz w:val="24"/>
          <w:szCs w:val="24"/>
        </w:rPr>
        <w:t>st, prompt</w:t>
      </w:r>
      <w:r w:rsidR="003D34FB">
        <w:rPr>
          <w:sz w:val="24"/>
          <w:szCs w:val="24"/>
        </w:rPr>
        <w:t>ing</w:t>
      </w:r>
      <w:r w:rsidR="00EF28F2">
        <w:rPr>
          <w:sz w:val="24"/>
          <w:szCs w:val="24"/>
        </w:rPr>
        <w:t xml:space="preserve"> different kinds of conversation with customers.</w:t>
      </w:r>
      <w:r w:rsidR="0000567C">
        <w:rPr>
          <w:sz w:val="24"/>
          <w:szCs w:val="24"/>
        </w:rPr>
        <w:t xml:space="preserve"> </w:t>
      </w:r>
    </w:p>
    <w:p w:rsidR="00EB2A59" w:rsidRDefault="0000567C" w:rsidP="004120B2">
      <w:pPr>
        <w:rPr>
          <w:sz w:val="24"/>
          <w:szCs w:val="24"/>
        </w:rPr>
      </w:pPr>
      <w:r>
        <w:rPr>
          <w:sz w:val="24"/>
          <w:szCs w:val="24"/>
        </w:rPr>
        <w:t xml:space="preserve">The </w:t>
      </w:r>
      <w:r w:rsidR="00723BE5">
        <w:rPr>
          <w:sz w:val="24"/>
          <w:szCs w:val="24"/>
        </w:rPr>
        <w:t xml:space="preserve">nineteenth-century </w:t>
      </w:r>
      <w:r>
        <w:rPr>
          <w:sz w:val="24"/>
          <w:szCs w:val="24"/>
        </w:rPr>
        <w:t>founders of</w:t>
      </w:r>
      <w:r w:rsidR="00FF62BF">
        <w:rPr>
          <w:sz w:val="24"/>
          <w:szCs w:val="24"/>
        </w:rPr>
        <w:t xml:space="preserve"> museums </w:t>
      </w:r>
      <w:r w:rsidR="00723BE5">
        <w:rPr>
          <w:sz w:val="24"/>
          <w:szCs w:val="24"/>
        </w:rPr>
        <w:t>were</w:t>
      </w:r>
      <w:r w:rsidR="00FF62BF">
        <w:rPr>
          <w:sz w:val="24"/>
          <w:szCs w:val="24"/>
        </w:rPr>
        <w:t xml:space="preserve"> confident of what they should contain, in terms of artefacts and their origin</w:t>
      </w:r>
      <w:r w:rsidR="00E72A03">
        <w:rPr>
          <w:sz w:val="24"/>
          <w:szCs w:val="24"/>
        </w:rPr>
        <w:t xml:space="preserve">, their confidence born in their </w:t>
      </w:r>
      <w:r w:rsidR="00A56233">
        <w:rPr>
          <w:sz w:val="24"/>
          <w:szCs w:val="24"/>
        </w:rPr>
        <w:t xml:space="preserve">own </w:t>
      </w:r>
      <w:r w:rsidR="00E72A03">
        <w:rPr>
          <w:sz w:val="24"/>
          <w:szCs w:val="24"/>
        </w:rPr>
        <w:t>social and intellectual</w:t>
      </w:r>
      <w:r>
        <w:rPr>
          <w:sz w:val="24"/>
          <w:szCs w:val="24"/>
        </w:rPr>
        <w:t xml:space="preserve"> </w:t>
      </w:r>
      <w:r w:rsidR="00723BE5">
        <w:rPr>
          <w:sz w:val="24"/>
          <w:szCs w:val="24"/>
        </w:rPr>
        <w:lastRenderedPageBreak/>
        <w:t>authority. Yet c</w:t>
      </w:r>
      <w:r w:rsidR="00791B60">
        <w:rPr>
          <w:sz w:val="24"/>
          <w:szCs w:val="24"/>
        </w:rPr>
        <w:t>ollections exclude as well as include</w:t>
      </w:r>
      <w:r w:rsidR="00E72A03">
        <w:rPr>
          <w:sz w:val="24"/>
          <w:szCs w:val="24"/>
        </w:rPr>
        <w:t xml:space="preserve">, and marginalised groups </w:t>
      </w:r>
      <w:r w:rsidR="00723BE5">
        <w:rPr>
          <w:sz w:val="24"/>
          <w:szCs w:val="24"/>
        </w:rPr>
        <w:t xml:space="preserve">now focus on this exclusion </w:t>
      </w:r>
      <w:r w:rsidR="00E72A03">
        <w:rPr>
          <w:sz w:val="24"/>
          <w:szCs w:val="24"/>
        </w:rPr>
        <w:t>to assert their identity and seek re</w:t>
      </w:r>
      <w:r w:rsidR="003D34FB">
        <w:rPr>
          <w:sz w:val="24"/>
          <w:szCs w:val="24"/>
        </w:rPr>
        <w:t xml:space="preserve">cognition in the public sphere. We see this in </w:t>
      </w:r>
      <w:r w:rsidR="00BA3A94">
        <w:rPr>
          <w:sz w:val="24"/>
          <w:szCs w:val="24"/>
        </w:rPr>
        <w:t>the campaigns to reconfigure how collections are constituted and presented through different pr</w:t>
      </w:r>
      <w:r w:rsidR="00723BE5">
        <w:rPr>
          <w:sz w:val="24"/>
          <w:szCs w:val="24"/>
        </w:rPr>
        <w:t>isms of sexuality or ethnicity,</w:t>
      </w:r>
      <w:r w:rsidR="003D34FB">
        <w:rPr>
          <w:sz w:val="24"/>
          <w:szCs w:val="24"/>
        </w:rPr>
        <w:t xml:space="preserve"> </w:t>
      </w:r>
      <w:r w:rsidR="00BA3A94">
        <w:rPr>
          <w:sz w:val="24"/>
          <w:szCs w:val="24"/>
        </w:rPr>
        <w:t>the work of traveller communities</w:t>
      </w:r>
      <w:r w:rsidR="00791B60">
        <w:rPr>
          <w:sz w:val="24"/>
          <w:szCs w:val="24"/>
        </w:rPr>
        <w:t xml:space="preserve"> in Britain</w:t>
      </w:r>
      <w:r w:rsidR="00BA3A94">
        <w:rPr>
          <w:sz w:val="24"/>
          <w:szCs w:val="24"/>
        </w:rPr>
        <w:t xml:space="preserve"> to give substance and coherence to their cultural materials</w:t>
      </w:r>
      <w:r w:rsidR="007C074A">
        <w:rPr>
          <w:sz w:val="24"/>
          <w:szCs w:val="24"/>
        </w:rPr>
        <w:t xml:space="preserve"> (</w:t>
      </w:r>
      <w:proofErr w:type="spellStart"/>
      <w:r w:rsidR="007C074A">
        <w:rPr>
          <w:sz w:val="24"/>
          <w:szCs w:val="24"/>
        </w:rPr>
        <w:t>Belfiore</w:t>
      </w:r>
      <w:proofErr w:type="spellEnd"/>
      <w:r w:rsidR="007C074A">
        <w:rPr>
          <w:sz w:val="24"/>
          <w:szCs w:val="24"/>
        </w:rPr>
        <w:t>, 201</w:t>
      </w:r>
      <w:r w:rsidR="007806D6">
        <w:rPr>
          <w:sz w:val="24"/>
          <w:szCs w:val="24"/>
        </w:rPr>
        <w:t>4</w:t>
      </w:r>
      <w:r w:rsidR="00323EBE">
        <w:rPr>
          <w:sz w:val="24"/>
          <w:szCs w:val="24"/>
        </w:rPr>
        <w:t xml:space="preserve"> &amp; f</w:t>
      </w:r>
      <w:r w:rsidR="00D65508">
        <w:rPr>
          <w:sz w:val="24"/>
          <w:szCs w:val="24"/>
        </w:rPr>
        <w:t>orthcoming</w:t>
      </w:r>
      <w:r w:rsidR="007C074A">
        <w:rPr>
          <w:sz w:val="24"/>
          <w:szCs w:val="24"/>
        </w:rPr>
        <w:t>)</w:t>
      </w:r>
      <w:r w:rsidR="00BA3A94">
        <w:rPr>
          <w:sz w:val="24"/>
          <w:szCs w:val="24"/>
        </w:rPr>
        <w:t xml:space="preserve">, or </w:t>
      </w:r>
      <w:r>
        <w:rPr>
          <w:sz w:val="24"/>
          <w:szCs w:val="24"/>
        </w:rPr>
        <w:t xml:space="preserve">the campaign in countries with indigenous peoples for recognition </w:t>
      </w:r>
      <w:r w:rsidR="008C6904">
        <w:rPr>
          <w:sz w:val="24"/>
          <w:szCs w:val="24"/>
        </w:rPr>
        <w:t>through the medium of</w:t>
      </w:r>
      <w:r>
        <w:rPr>
          <w:sz w:val="24"/>
          <w:szCs w:val="24"/>
        </w:rPr>
        <w:t xml:space="preserve"> archives and collections. An</w:t>
      </w:r>
      <w:r w:rsidR="00BA3A94">
        <w:rPr>
          <w:sz w:val="24"/>
          <w:szCs w:val="24"/>
        </w:rPr>
        <w:t xml:space="preserve"> exhibition I </w:t>
      </w:r>
      <w:r w:rsidR="00D65508">
        <w:rPr>
          <w:sz w:val="24"/>
          <w:szCs w:val="24"/>
        </w:rPr>
        <w:t>visited</w:t>
      </w:r>
      <w:r w:rsidR="00BA3A94">
        <w:rPr>
          <w:sz w:val="24"/>
          <w:szCs w:val="24"/>
        </w:rPr>
        <w:t xml:space="preserve"> at Rio Art Museum </w:t>
      </w:r>
      <w:r w:rsidR="00DA0AE4">
        <w:rPr>
          <w:sz w:val="24"/>
          <w:szCs w:val="24"/>
        </w:rPr>
        <w:t>saw</w:t>
      </w:r>
      <w:r w:rsidR="00BA3A94">
        <w:rPr>
          <w:sz w:val="24"/>
          <w:szCs w:val="24"/>
        </w:rPr>
        <w:t xml:space="preserve"> </w:t>
      </w:r>
      <w:r w:rsidR="00DA0AE4">
        <w:rPr>
          <w:sz w:val="24"/>
          <w:szCs w:val="24"/>
        </w:rPr>
        <w:t>people of indigenous origin collecting</w:t>
      </w:r>
      <w:r w:rsidR="00BA3A94">
        <w:rPr>
          <w:sz w:val="24"/>
          <w:szCs w:val="24"/>
        </w:rPr>
        <w:t xml:space="preserve"> doc</w:t>
      </w:r>
      <w:r w:rsidR="00723BE5">
        <w:rPr>
          <w:sz w:val="24"/>
          <w:szCs w:val="24"/>
        </w:rPr>
        <w:t xml:space="preserve">uments, stories and videos as </w:t>
      </w:r>
      <w:r w:rsidR="00BA3A94">
        <w:rPr>
          <w:sz w:val="24"/>
          <w:szCs w:val="24"/>
        </w:rPr>
        <w:t>part of a campaign for an Indigenous Cultural Centre</w:t>
      </w:r>
      <w:r w:rsidR="00DA0AE4">
        <w:rPr>
          <w:sz w:val="24"/>
          <w:szCs w:val="24"/>
        </w:rPr>
        <w:t>.</w:t>
      </w:r>
      <w:r w:rsidR="00BA3A94">
        <w:rPr>
          <w:sz w:val="24"/>
          <w:szCs w:val="24"/>
        </w:rPr>
        <w:t xml:space="preserve"> </w:t>
      </w:r>
      <w:r w:rsidR="008C6904">
        <w:rPr>
          <w:sz w:val="24"/>
          <w:szCs w:val="24"/>
        </w:rPr>
        <w:t>M</w:t>
      </w:r>
      <w:r w:rsidR="00DA0AE4">
        <w:rPr>
          <w:sz w:val="24"/>
          <w:szCs w:val="24"/>
        </w:rPr>
        <w:t>useums</w:t>
      </w:r>
      <w:r w:rsidR="00BA3A94">
        <w:rPr>
          <w:sz w:val="24"/>
          <w:szCs w:val="24"/>
        </w:rPr>
        <w:t xml:space="preserve"> are fundamental to identity and recognition</w:t>
      </w:r>
      <w:r w:rsidR="00DA0AE4">
        <w:rPr>
          <w:sz w:val="24"/>
          <w:szCs w:val="24"/>
        </w:rPr>
        <w:t xml:space="preserve">, </w:t>
      </w:r>
      <w:r w:rsidR="008C6904">
        <w:rPr>
          <w:sz w:val="24"/>
          <w:szCs w:val="24"/>
        </w:rPr>
        <w:t xml:space="preserve">and in that </w:t>
      </w:r>
      <w:proofErr w:type="gramStart"/>
      <w:r w:rsidR="008C6904">
        <w:rPr>
          <w:sz w:val="24"/>
          <w:szCs w:val="24"/>
        </w:rPr>
        <w:t>context</w:t>
      </w:r>
      <w:proofErr w:type="gramEnd"/>
      <w:r w:rsidR="008C6904">
        <w:rPr>
          <w:sz w:val="24"/>
          <w:szCs w:val="24"/>
        </w:rPr>
        <w:t xml:space="preserve"> </w:t>
      </w:r>
      <w:r w:rsidR="00DA0AE4">
        <w:rPr>
          <w:sz w:val="24"/>
          <w:szCs w:val="24"/>
        </w:rPr>
        <w:t>collections become a contested area.</w:t>
      </w:r>
      <w:r w:rsidR="00BA3A94">
        <w:rPr>
          <w:sz w:val="24"/>
          <w:szCs w:val="24"/>
        </w:rPr>
        <w:t xml:space="preserve"> </w:t>
      </w:r>
    </w:p>
    <w:p w:rsidR="00D008C0" w:rsidRDefault="00922AB9" w:rsidP="004120B2">
      <w:pPr>
        <w:rPr>
          <w:sz w:val="24"/>
          <w:szCs w:val="24"/>
        </w:rPr>
      </w:pPr>
      <w:r>
        <w:rPr>
          <w:sz w:val="24"/>
          <w:szCs w:val="24"/>
        </w:rPr>
        <w:t xml:space="preserve">Initiatives such as these show how the conception and practice surrounding collections </w:t>
      </w:r>
      <w:r w:rsidR="00791B60">
        <w:rPr>
          <w:sz w:val="24"/>
          <w:szCs w:val="24"/>
        </w:rPr>
        <w:t xml:space="preserve">can </w:t>
      </w:r>
      <w:r>
        <w:rPr>
          <w:sz w:val="24"/>
          <w:szCs w:val="24"/>
        </w:rPr>
        <w:t xml:space="preserve">become part of a dialogue with audiences. </w:t>
      </w:r>
      <w:r w:rsidR="00A56233">
        <w:rPr>
          <w:sz w:val="24"/>
          <w:szCs w:val="24"/>
        </w:rPr>
        <w:t xml:space="preserve">Collections and audiences have </w:t>
      </w:r>
      <w:r w:rsidR="00DA0AE4">
        <w:rPr>
          <w:sz w:val="24"/>
          <w:szCs w:val="24"/>
        </w:rPr>
        <w:t xml:space="preserve">indeed </w:t>
      </w:r>
      <w:r w:rsidR="00A56233">
        <w:rPr>
          <w:sz w:val="24"/>
          <w:szCs w:val="24"/>
        </w:rPr>
        <w:t xml:space="preserve">always gone together. </w:t>
      </w:r>
      <w:r w:rsidR="00791B60">
        <w:rPr>
          <w:sz w:val="24"/>
          <w:szCs w:val="24"/>
        </w:rPr>
        <w:t>We thus</w:t>
      </w:r>
      <w:r>
        <w:rPr>
          <w:sz w:val="24"/>
          <w:szCs w:val="24"/>
        </w:rPr>
        <w:t xml:space="preserve"> return to </w:t>
      </w:r>
      <w:r w:rsidR="00791B60">
        <w:rPr>
          <w:sz w:val="24"/>
          <w:szCs w:val="24"/>
        </w:rPr>
        <w:t>the way</w:t>
      </w:r>
      <w:r w:rsidR="00D56FB5">
        <w:rPr>
          <w:sz w:val="24"/>
          <w:szCs w:val="24"/>
        </w:rPr>
        <w:t xml:space="preserve"> visitors and collections are</w:t>
      </w:r>
      <w:r w:rsidR="004E1B8D">
        <w:rPr>
          <w:sz w:val="24"/>
          <w:szCs w:val="24"/>
        </w:rPr>
        <w:t xml:space="preserve"> embedded in how museums have </w:t>
      </w:r>
      <w:r w:rsidR="00DA0AE4">
        <w:rPr>
          <w:sz w:val="24"/>
          <w:szCs w:val="24"/>
        </w:rPr>
        <w:t>emerged</w:t>
      </w:r>
      <w:r w:rsidR="004E1B8D">
        <w:rPr>
          <w:sz w:val="24"/>
          <w:szCs w:val="24"/>
        </w:rPr>
        <w:t xml:space="preserve"> and what has been expected of them. Once placed in their historical contexts, similarities can </w:t>
      </w:r>
      <w:r w:rsidR="00DA0AE4">
        <w:rPr>
          <w:sz w:val="24"/>
          <w:szCs w:val="24"/>
        </w:rPr>
        <w:t xml:space="preserve">be </w:t>
      </w:r>
      <w:r w:rsidR="00D008C0">
        <w:rPr>
          <w:sz w:val="24"/>
          <w:szCs w:val="24"/>
        </w:rPr>
        <w:t>understood through</w:t>
      </w:r>
      <w:r w:rsidR="00DA0AE4">
        <w:rPr>
          <w:sz w:val="24"/>
          <w:szCs w:val="24"/>
        </w:rPr>
        <w:t xml:space="preserve"> an</w:t>
      </w:r>
      <w:r w:rsidR="004E1B8D">
        <w:rPr>
          <w:sz w:val="24"/>
          <w:szCs w:val="24"/>
        </w:rPr>
        <w:t xml:space="preserve"> appreciation of difference. </w:t>
      </w:r>
      <w:r w:rsidR="00791B60">
        <w:rPr>
          <w:sz w:val="24"/>
          <w:szCs w:val="24"/>
        </w:rPr>
        <w:t>By</w:t>
      </w:r>
      <w:r w:rsidR="004E1B8D">
        <w:rPr>
          <w:sz w:val="24"/>
          <w:szCs w:val="24"/>
        </w:rPr>
        <w:t xml:space="preserve"> bringing together the changing contexts in which museums, audiences and collections have been configured and debated, we can better understand what is going on </w:t>
      </w:r>
      <w:r w:rsidR="00DA0AE4">
        <w:rPr>
          <w:sz w:val="24"/>
          <w:szCs w:val="24"/>
        </w:rPr>
        <w:t>at different historic times</w:t>
      </w:r>
      <w:r w:rsidR="004E1B8D">
        <w:rPr>
          <w:sz w:val="24"/>
          <w:szCs w:val="24"/>
        </w:rPr>
        <w:t>.</w:t>
      </w:r>
      <w:r w:rsidR="00DA0AE4">
        <w:rPr>
          <w:sz w:val="24"/>
          <w:szCs w:val="24"/>
        </w:rPr>
        <w:t xml:space="preserve"> Including the historic time in which we now live.</w:t>
      </w:r>
      <w:r w:rsidR="004E1B8D" w:rsidRPr="004E1B8D">
        <w:rPr>
          <w:sz w:val="24"/>
          <w:szCs w:val="24"/>
        </w:rPr>
        <w:t xml:space="preserve"> </w:t>
      </w:r>
      <w:r w:rsidR="00DA0AE4">
        <w:rPr>
          <w:sz w:val="24"/>
          <w:szCs w:val="24"/>
        </w:rPr>
        <w:t>Fo</w:t>
      </w:r>
      <w:r w:rsidR="00A56233">
        <w:rPr>
          <w:sz w:val="24"/>
          <w:szCs w:val="24"/>
        </w:rPr>
        <w:t>r a historian who has in more recent years come to think a good deal about culture</w:t>
      </w:r>
      <w:r w:rsidR="00F143E7">
        <w:rPr>
          <w:sz w:val="24"/>
          <w:szCs w:val="24"/>
        </w:rPr>
        <w:t>, its value</w:t>
      </w:r>
      <w:r w:rsidR="00A56233">
        <w:rPr>
          <w:sz w:val="24"/>
          <w:szCs w:val="24"/>
        </w:rPr>
        <w:t xml:space="preserve"> and its institutional practice, that is a reassuring conclusion.</w:t>
      </w:r>
    </w:p>
    <w:p w:rsidR="00D008C0" w:rsidRDefault="00D008C0" w:rsidP="004120B2">
      <w:pPr>
        <w:rPr>
          <w:sz w:val="24"/>
          <w:szCs w:val="24"/>
        </w:rPr>
      </w:pPr>
    </w:p>
    <w:p w:rsidR="001170B7" w:rsidRPr="003E67D0" w:rsidRDefault="00323EBE" w:rsidP="004120B2">
      <w:pPr>
        <w:rPr>
          <w:b/>
          <w:sz w:val="24"/>
          <w:szCs w:val="24"/>
        </w:rPr>
      </w:pPr>
      <w:r>
        <w:rPr>
          <w:b/>
          <w:sz w:val="24"/>
          <w:szCs w:val="24"/>
        </w:rPr>
        <w:t>References</w:t>
      </w:r>
      <w:r w:rsidR="003E67D0">
        <w:rPr>
          <w:b/>
          <w:sz w:val="24"/>
          <w:szCs w:val="24"/>
        </w:rPr>
        <w:br/>
      </w:r>
    </w:p>
    <w:p w:rsidR="00D65508" w:rsidRPr="00D65508" w:rsidRDefault="00D65508" w:rsidP="001170B7">
      <w:pPr>
        <w:rPr>
          <w:sz w:val="24"/>
          <w:szCs w:val="24"/>
        </w:rPr>
      </w:pPr>
      <w:r>
        <w:rPr>
          <w:sz w:val="24"/>
          <w:szCs w:val="24"/>
        </w:rPr>
        <w:t xml:space="preserve">Balling, G. &amp; </w:t>
      </w:r>
      <w:proofErr w:type="spellStart"/>
      <w:r>
        <w:rPr>
          <w:sz w:val="24"/>
          <w:szCs w:val="24"/>
        </w:rPr>
        <w:t>Kann</w:t>
      </w:r>
      <w:proofErr w:type="spellEnd"/>
      <w:r>
        <w:rPr>
          <w:sz w:val="24"/>
          <w:szCs w:val="24"/>
        </w:rPr>
        <w:t xml:space="preserve">-Christensen, N., 2013. ‘What is a non-user? An analysis of Danish surveys on cultural habits and participation.’ </w:t>
      </w:r>
      <w:r>
        <w:rPr>
          <w:i/>
          <w:sz w:val="24"/>
          <w:szCs w:val="24"/>
        </w:rPr>
        <w:t>Cultural Trends</w:t>
      </w:r>
      <w:r>
        <w:rPr>
          <w:sz w:val="24"/>
          <w:szCs w:val="24"/>
        </w:rPr>
        <w:t>, 22, 67-76.</w:t>
      </w:r>
    </w:p>
    <w:p w:rsidR="007C074A" w:rsidRDefault="007C074A" w:rsidP="001170B7">
      <w:pPr>
        <w:rPr>
          <w:sz w:val="24"/>
          <w:szCs w:val="24"/>
        </w:rPr>
      </w:pPr>
      <w:proofErr w:type="spellStart"/>
      <w:r>
        <w:rPr>
          <w:sz w:val="24"/>
          <w:szCs w:val="24"/>
        </w:rPr>
        <w:t>Belfiore</w:t>
      </w:r>
      <w:proofErr w:type="spellEnd"/>
      <w:r>
        <w:rPr>
          <w:sz w:val="24"/>
          <w:szCs w:val="24"/>
        </w:rPr>
        <w:t xml:space="preserve">, E. </w:t>
      </w:r>
      <w:r w:rsidR="007806D6">
        <w:rPr>
          <w:sz w:val="24"/>
          <w:szCs w:val="24"/>
        </w:rPr>
        <w:t xml:space="preserve">2014. </w:t>
      </w:r>
      <w:r>
        <w:rPr>
          <w:sz w:val="24"/>
          <w:szCs w:val="24"/>
        </w:rPr>
        <w:t>The politics of cultural value: towards an emancipatory framework. Unpublished report from Cultural Value Project Research Development Award.</w:t>
      </w:r>
    </w:p>
    <w:p w:rsidR="00D65508" w:rsidRPr="00D65508" w:rsidRDefault="00D65508" w:rsidP="00D65508">
      <w:pPr>
        <w:pStyle w:val="NormalWeb"/>
        <w:rPr>
          <w:i/>
        </w:rPr>
      </w:pPr>
      <w:proofErr w:type="spellStart"/>
      <w:r>
        <w:t>Belfiore</w:t>
      </w:r>
      <w:proofErr w:type="spellEnd"/>
      <w:r>
        <w:t xml:space="preserve">, E. Forthcoming. Whose cultural value? Representation, power and creative industries. </w:t>
      </w:r>
      <w:r>
        <w:rPr>
          <w:i/>
        </w:rPr>
        <w:t>International Journal of Cultural Policy.</w:t>
      </w:r>
    </w:p>
    <w:p w:rsidR="001170B7" w:rsidRDefault="001170B7" w:rsidP="001170B7">
      <w:pPr>
        <w:rPr>
          <w:sz w:val="24"/>
          <w:szCs w:val="24"/>
        </w:rPr>
      </w:pPr>
      <w:r>
        <w:rPr>
          <w:sz w:val="24"/>
          <w:szCs w:val="24"/>
        </w:rPr>
        <w:t xml:space="preserve">Booth, C. 1902-03. </w:t>
      </w:r>
      <w:r>
        <w:rPr>
          <w:i/>
          <w:sz w:val="24"/>
          <w:szCs w:val="24"/>
        </w:rPr>
        <w:t>The Life and Labour of the People in London</w:t>
      </w:r>
      <w:r>
        <w:rPr>
          <w:sz w:val="24"/>
          <w:szCs w:val="24"/>
        </w:rPr>
        <w:t xml:space="preserve">. London: </w:t>
      </w:r>
      <w:r w:rsidR="00943678">
        <w:rPr>
          <w:sz w:val="24"/>
          <w:szCs w:val="24"/>
        </w:rPr>
        <w:t>Macmillan</w:t>
      </w:r>
    </w:p>
    <w:p w:rsidR="001170B7" w:rsidRDefault="001170B7" w:rsidP="001170B7">
      <w:pPr>
        <w:rPr>
          <w:sz w:val="24"/>
          <w:szCs w:val="24"/>
        </w:rPr>
      </w:pPr>
      <w:r>
        <w:rPr>
          <w:sz w:val="24"/>
          <w:szCs w:val="24"/>
        </w:rPr>
        <w:t xml:space="preserve">Crossick, G. 1991. From gentlemen to the residuum: languages of social description in Victorian Britain. In P. Corfield (Ed.), </w:t>
      </w:r>
      <w:r>
        <w:rPr>
          <w:i/>
          <w:sz w:val="24"/>
          <w:szCs w:val="24"/>
        </w:rPr>
        <w:t>Language, History and Class</w:t>
      </w:r>
      <w:r>
        <w:rPr>
          <w:sz w:val="24"/>
          <w:szCs w:val="24"/>
        </w:rPr>
        <w:t>, 150-178.</w:t>
      </w:r>
      <w:r>
        <w:rPr>
          <w:i/>
          <w:sz w:val="24"/>
          <w:szCs w:val="24"/>
        </w:rPr>
        <w:t xml:space="preserve"> </w:t>
      </w:r>
      <w:r>
        <w:rPr>
          <w:sz w:val="24"/>
          <w:szCs w:val="24"/>
        </w:rPr>
        <w:t>Oxford: Blackwell.</w:t>
      </w:r>
    </w:p>
    <w:p w:rsidR="00A837C8" w:rsidRDefault="00A837C8" w:rsidP="001170B7">
      <w:pPr>
        <w:rPr>
          <w:sz w:val="24"/>
          <w:szCs w:val="24"/>
        </w:rPr>
      </w:pPr>
      <w:r>
        <w:rPr>
          <w:sz w:val="24"/>
          <w:szCs w:val="24"/>
        </w:rPr>
        <w:t xml:space="preserve">Crossick, G. &amp; </w:t>
      </w:r>
      <w:proofErr w:type="spellStart"/>
      <w:r>
        <w:rPr>
          <w:sz w:val="24"/>
          <w:szCs w:val="24"/>
        </w:rPr>
        <w:t>Jaumain</w:t>
      </w:r>
      <w:proofErr w:type="spellEnd"/>
      <w:r>
        <w:rPr>
          <w:sz w:val="24"/>
          <w:szCs w:val="24"/>
        </w:rPr>
        <w:t xml:space="preserve">, S. 1999. The world of the department store: distribution, culture and social change. In G. Crossick &amp; S. </w:t>
      </w:r>
      <w:proofErr w:type="spellStart"/>
      <w:r>
        <w:rPr>
          <w:sz w:val="24"/>
          <w:szCs w:val="24"/>
        </w:rPr>
        <w:t>Jaumain</w:t>
      </w:r>
      <w:proofErr w:type="spellEnd"/>
      <w:r>
        <w:rPr>
          <w:sz w:val="24"/>
          <w:szCs w:val="24"/>
        </w:rPr>
        <w:t xml:space="preserve"> (Eds.), </w:t>
      </w:r>
      <w:r>
        <w:rPr>
          <w:i/>
          <w:sz w:val="24"/>
          <w:szCs w:val="24"/>
        </w:rPr>
        <w:t xml:space="preserve">Cathedrals of Consumption. The European Department Store 1850-1939, </w:t>
      </w:r>
      <w:r w:rsidRPr="00A837C8">
        <w:rPr>
          <w:sz w:val="24"/>
          <w:szCs w:val="24"/>
        </w:rPr>
        <w:t>1-45</w:t>
      </w:r>
      <w:r>
        <w:rPr>
          <w:i/>
          <w:sz w:val="24"/>
          <w:szCs w:val="24"/>
        </w:rPr>
        <w:t xml:space="preserve">. </w:t>
      </w:r>
      <w:r w:rsidRPr="00A837C8">
        <w:rPr>
          <w:sz w:val="24"/>
          <w:szCs w:val="24"/>
        </w:rPr>
        <w:t>Aldershot: Ashgate</w:t>
      </w:r>
    </w:p>
    <w:p w:rsidR="0000281B" w:rsidRPr="0000281B" w:rsidRDefault="0000281B" w:rsidP="001170B7">
      <w:pPr>
        <w:rPr>
          <w:sz w:val="24"/>
          <w:szCs w:val="24"/>
        </w:rPr>
      </w:pPr>
      <w:r>
        <w:rPr>
          <w:sz w:val="24"/>
          <w:szCs w:val="24"/>
        </w:rPr>
        <w:t xml:space="preserve">Crossick, G. &amp; Kaszynska, P. 2016. </w:t>
      </w:r>
      <w:r>
        <w:rPr>
          <w:i/>
          <w:sz w:val="24"/>
          <w:szCs w:val="24"/>
        </w:rPr>
        <w:t>Understanding the value of arts &amp; culture. The AHRC Cultural Value Project</w:t>
      </w:r>
      <w:r>
        <w:rPr>
          <w:sz w:val="24"/>
          <w:szCs w:val="24"/>
        </w:rPr>
        <w:t>. Swindon: Arts &amp; Humanities Research Council.</w:t>
      </w:r>
    </w:p>
    <w:p w:rsidR="001170B7" w:rsidRPr="001170B7" w:rsidRDefault="001170B7" w:rsidP="001170B7">
      <w:pPr>
        <w:rPr>
          <w:sz w:val="24"/>
          <w:szCs w:val="24"/>
        </w:rPr>
      </w:pPr>
      <w:proofErr w:type="spellStart"/>
      <w:r>
        <w:rPr>
          <w:sz w:val="24"/>
          <w:szCs w:val="24"/>
        </w:rPr>
        <w:t>Daunton</w:t>
      </w:r>
      <w:proofErr w:type="spellEnd"/>
      <w:r>
        <w:rPr>
          <w:sz w:val="24"/>
          <w:szCs w:val="24"/>
        </w:rPr>
        <w:t xml:space="preserve">, M. 2001. Introduction. In M. </w:t>
      </w:r>
      <w:proofErr w:type="spellStart"/>
      <w:r>
        <w:rPr>
          <w:sz w:val="24"/>
          <w:szCs w:val="24"/>
        </w:rPr>
        <w:t>Daunton</w:t>
      </w:r>
      <w:proofErr w:type="spellEnd"/>
      <w:r>
        <w:rPr>
          <w:sz w:val="24"/>
          <w:szCs w:val="24"/>
        </w:rPr>
        <w:t xml:space="preserve"> (Ed.), </w:t>
      </w:r>
      <w:r>
        <w:rPr>
          <w:i/>
          <w:sz w:val="24"/>
          <w:szCs w:val="24"/>
        </w:rPr>
        <w:t>The Urban History of Britain. Vol 3 1840-1950</w:t>
      </w:r>
      <w:r>
        <w:rPr>
          <w:sz w:val="24"/>
          <w:szCs w:val="24"/>
        </w:rPr>
        <w:t>, 1-56. Cambridge: Cambridge University Press.</w:t>
      </w:r>
    </w:p>
    <w:p w:rsidR="001170B7" w:rsidRDefault="001170B7" w:rsidP="001170B7">
      <w:pPr>
        <w:rPr>
          <w:sz w:val="24"/>
          <w:szCs w:val="24"/>
        </w:rPr>
      </w:pPr>
      <w:proofErr w:type="spellStart"/>
      <w:r>
        <w:rPr>
          <w:sz w:val="24"/>
          <w:szCs w:val="24"/>
        </w:rPr>
        <w:lastRenderedPageBreak/>
        <w:t>Desrosières</w:t>
      </w:r>
      <w:proofErr w:type="spellEnd"/>
      <w:r>
        <w:rPr>
          <w:sz w:val="24"/>
          <w:szCs w:val="24"/>
        </w:rPr>
        <w:t xml:space="preserve">, A. &amp; </w:t>
      </w:r>
      <w:proofErr w:type="spellStart"/>
      <w:proofErr w:type="gramStart"/>
      <w:r>
        <w:rPr>
          <w:sz w:val="24"/>
          <w:szCs w:val="24"/>
        </w:rPr>
        <w:t>Thévenot,L</w:t>
      </w:r>
      <w:proofErr w:type="spellEnd"/>
      <w:proofErr w:type="gramEnd"/>
      <w:r>
        <w:rPr>
          <w:sz w:val="24"/>
          <w:szCs w:val="24"/>
        </w:rPr>
        <w:t xml:space="preserve"> 1979. Les mots et les </w:t>
      </w:r>
      <w:proofErr w:type="spellStart"/>
      <w:r>
        <w:rPr>
          <w:sz w:val="24"/>
          <w:szCs w:val="24"/>
        </w:rPr>
        <w:t>chiffres</w:t>
      </w:r>
      <w:proofErr w:type="spellEnd"/>
      <w:r>
        <w:rPr>
          <w:sz w:val="24"/>
          <w:szCs w:val="24"/>
        </w:rPr>
        <w:t xml:space="preserve">: les nomenclatures </w:t>
      </w:r>
      <w:proofErr w:type="spellStart"/>
      <w:r>
        <w:rPr>
          <w:sz w:val="24"/>
          <w:szCs w:val="24"/>
        </w:rPr>
        <w:t>socioprofessionnelles</w:t>
      </w:r>
      <w:proofErr w:type="spellEnd"/>
      <w:r>
        <w:rPr>
          <w:sz w:val="24"/>
          <w:szCs w:val="24"/>
        </w:rPr>
        <w:t xml:space="preserve">. </w:t>
      </w:r>
      <w:proofErr w:type="spellStart"/>
      <w:r>
        <w:rPr>
          <w:i/>
          <w:sz w:val="24"/>
          <w:szCs w:val="24"/>
        </w:rPr>
        <w:t>Economie</w:t>
      </w:r>
      <w:proofErr w:type="spellEnd"/>
      <w:r>
        <w:rPr>
          <w:i/>
          <w:sz w:val="24"/>
          <w:szCs w:val="24"/>
        </w:rPr>
        <w:t xml:space="preserve"> et </w:t>
      </w:r>
      <w:proofErr w:type="spellStart"/>
      <w:r>
        <w:rPr>
          <w:i/>
          <w:sz w:val="24"/>
          <w:szCs w:val="24"/>
        </w:rPr>
        <w:t>Statistique</w:t>
      </w:r>
      <w:proofErr w:type="spellEnd"/>
      <w:r>
        <w:rPr>
          <w:i/>
          <w:sz w:val="24"/>
          <w:szCs w:val="24"/>
        </w:rPr>
        <w:t xml:space="preserve">, </w:t>
      </w:r>
      <w:r w:rsidRPr="00644F8F">
        <w:rPr>
          <w:sz w:val="24"/>
          <w:szCs w:val="24"/>
        </w:rPr>
        <w:t>110, 49-65.</w:t>
      </w:r>
    </w:p>
    <w:p w:rsidR="003F68A3" w:rsidRPr="00592989" w:rsidRDefault="003F68A3" w:rsidP="003F68A3">
      <w:pPr>
        <w:rPr>
          <w:sz w:val="24"/>
          <w:szCs w:val="24"/>
        </w:rPr>
      </w:pPr>
      <w:proofErr w:type="spellStart"/>
      <w:r>
        <w:rPr>
          <w:sz w:val="24"/>
          <w:szCs w:val="24"/>
        </w:rPr>
        <w:t>Gulbenkian</w:t>
      </w:r>
      <w:proofErr w:type="spellEnd"/>
      <w:r>
        <w:rPr>
          <w:sz w:val="24"/>
          <w:szCs w:val="24"/>
        </w:rPr>
        <w:t xml:space="preserve"> Foundation 2017. </w:t>
      </w:r>
      <w:r>
        <w:rPr>
          <w:i/>
          <w:sz w:val="24"/>
          <w:szCs w:val="24"/>
        </w:rPr>
        <w:t>Rethinking Relationships. Inquiry into the Civic Role of Arts Organisations. Phase 1 Report</w:t>
      </w:r>
      <w:r>
        <w:rPr>
          <w:sz w:val="24"/>
          <w:szCs w:val="24"/>
        </w:rPr>
        <w:t xml:space="preserve">. London: </w:t>
      </w:r>
      <w:proofErr w:type="spellStart"/>
      <w:r>
        <w:rPr>
          <w:sz w:val="24"/>
          <w:szCs w:val="24"/>
        </w:rPr>
        <w:t>Calouste</w:t>
      </w:r>
      <w:proofErr w:type="spellEnd"/>
      <w:r>
        <w:rPr>
          <w:sz w:val="24"/>
          <w:szCs w:val="24"/>
        </w:rPr>
        <w:t xml:space="preserve"> </w:t>
      </w:r>
      <w:proofErr w:type="spellStart"/>
      <w:r>
        <w:rPr>
          <w:sz w:val="24"/>
          <w:szCs w:val="24"/>
        </w:rPr>
        <w:t>Gulbenkian</w:t>
      </w:r>
      <w:proofErr w:type="spellEnd"/>
      <w:r>
        <w:rPr>
          <w:sz w:val="24"/>
          <w:szCs w:val="24"/>
        </w:rPr>
        <w:t xml:space="preserve"> Foundation</w:t>
      </w:r>
    </w:p>
    <w:p w:rsidR="001170B7" w:rsidRDefault="001170B7" w:rsidP="001170B7">
      <w:pPr>
        <w:rPr>
          <w:sz w:val="24"/>
          <w:szCs w:val="24"/>
        </w:rPr>
      </w:pPr>
      <w:r>
        <w:rPr>
          <w:sz w:val="24"/>
          <w:szCs w:val="24"/>
        </w:rPr>
        <w:t xml:space="preserve">Levi, L. 1885. </w:t>
      </w:r>
      <w:r>
        <w:rPr>
          <w:i/>
          <w:sz w:val="24"/>
          <w:szCs w:val="24"/>
        </w:rPr>
        <w:t>Wages and Earnings of the Working Classes</w:t>
      </w:r>
      <w:r>
        <w:rPr>
          <w:sz w:val="24"/>
          <w:szCs w:val="24"/>
        </w:rPr>
        <w:t xml:space="preserve">. London: </w:t>
      </w:r>
      <w:r w:rsidR="003E67D0">
        <w:rPr>
          <w:sz w:val="24"/>
          <w:szCs w:val="24"/>
        </w:rPr>
        <w:t>John Murray</w:t>
      </w:r>
    </w:p>
    <w:p w:rsidR="001F6673" w:rsidRPr="001F6673" w:rsidRDefault="001F6673" w:rsidP="001170B7">
      <w:pPr>
        <w:rPr>
          <w:sz w:val="24"/>
          <w:szCs w:val="24"/>
        </w:rPr>
      </w:pPr>
      <w:proofErr w:type="spellStart"/>
      <w:r>
        <w:rPr>
          <w:sz w:val="24"/>
          <w:szCs w:val="24"/>
        </w:rPr>
        <w:t>Meller</w:t>
      </w:r>
      <w:proofErr w:type="spellEnd"/>
      <w:r>
        <w:rPr>
          <w:sz w:val="24"/>
          <w:szCs w:val="24"/>
        </w:rPr>
        <w:t xml:space="preserve">, H. 1976. </w:t>
      </w:r>
      <w:r>
        <w:rPr>
          <w:i/>
          <w:sz w:val="24"/>
          <w:szCs w:val="24"/>
        </w:rPr>
        <w:t>Leisure and the Changing City, 1870-191</w:t>
      </w:r>
      <w:r w:rsidRPr="001F6673">
        <w:rPr>
          <w:i/>
          <w:sz w:val="24"/>
          <w:szCs w:val="24"/>
        </w:rPr>
        <w:t>4</w:t>
      </w:r>
      <w:r>
        <w:rPr>
          <w:sz w:val="24"/>
          <w:szCs w:val="24"/>
        </w:rPr>
        <w:t>. London: Routledge.</w:t>
      </w:r>
    </w:p>
    <w:p w:rsidR="001170B7" w:rsidRDefault="001170B7" w:rsidP="001170B7">
      <w:pPr>
        <w:rPr>
          <w:sz w:val="24"/>
          <w:szCs w:val="24"/>
        </w:rPr>
      </w:pPr>
      <w:r>
        <w:rPr>
          <w:sz w:val="24"/>
          <w:szCs w:val="24"/>
        </w:rPr>
        <w:t>Morris, R.J. 198</w:t>
      </w:r>
      <w:r w:rsidR="00644F8F">
        <w:rPr>
          <w:sz w:val="24"/>
          <w:szCs w:val="24"/>
        </w:rPr>
        <w:t>0</w:t>
      </w:r>
      <w:r>
        <w:rPr>
          <w:sz w:val="24"/>
          <w:szCs w:val="24"/>
        </w:rPr>
        <w:t xml:space="preserve">. </w:t>
      </w:r>
      <w:r w:rsidR="00644F8F">
        <w:rPr>
          <w:sz w:val="24"/>
          <w:szCs w:val="24"/>
        </w:rPr>
        <w:t xml:space="preserve">Middle-class culture 1700-1914. In D. Fraser (Ed.). </w:t>
      </w:r>
      <w:r w:rsidR="00644F8F" w:rsidRPr="00644F8F">
        <w:rPr>
          <w:i/>
          <w:sz w:val="24"/>
          <w:szCs w:val="24"/>
        </w:rPr>
        <w:t>A History of Modern Leeds</w:t>
      </w:r>
      <w:r w:rsidR="00644F8F">
        <w:rPr>
          <w:sz w:val="24"/>
          <w:szCs w:val="24"/>
        </w:rPr>
        <w:t>, 200-222. Manchester: Manchester University Press.</w:t>
      </w:r>
    </w:p>
    <w:p w:rsidR="00E540E8" w:rsidRPr="00E540E8" w:rsidRDefault="00E540E8" w:rsidP="001170B7">
      <w:pPr>
        <w:rPr>
          <w:sz w:val="24"/>
          <w:szCs w:val="24"/>
        </w:rPr>
      </w:pPr>
      <w:r w:rsidRPr="00E540E8">
        <w:rPr>
          <w:sz w:val="24"/>
          <w:szCs w:val="24"/>
        </w:rPr>
        <w:t>National Gallery Site Commission</w:t>
      </w:r>
      <w:r>
        <w:rPr>
          <w:sz w:val="24"/>
          <w:szCs w:val="24"/>
        </w:rPr>
        <w:t xml:space="preserve">, 1857. </w:t>
      </w:r>
      <w:r>
        <w:rPr>
          <w:i/>
          <w:sz w:val="24"/>
          <w:szCs w:val="24"/>
        </w:rPr>
        <w:t>Report from the National Gallery Site Commission</w:t>
      </w:r>
      <w:r w:rsidR="0076506C">
        <w:rPr>
          <w:sz w:val="24"/>
          <w:szCs w:val="24"/>
        </w:rPr>
        <w:t>. London: House of Commons</w:t>
      </w:r>
    </w:p>
    <w:p w:rsidR="003E67D0" w:rsidRDefault="003E67D0" w:rsidP="003E67D0">
      <w:pPr>
        <w:rPr>
          <w:sz w:val="24"/>
          <w:szCs w:val="24"/>
        </w:rPr>
      </w:pPr>
      <w:r>
        <w:rPr>
          <w:sz w:val="24"/>
          <w:szCs w:val="24"/>
        </w:rPr>
        <w:t xml:space="preserve">Rees Leahy, H. &amp; </w:t>
      </w:r>
      <w:proofErr w:type="spellStart"/>
      <w:r>
        <w:rPr>
          <w:sz w:val="24"/>
          <w:szCs w:val="24"/>
        </w:rPr>
        <w:t>McCombe</w:t>
      </w:r>
      <w:proofErr w:type="spellEnd"/>
      <w:r>
        <w:rPr>
          <w:sz w:val="24"/>
          <w:szCs w:val="24"/>
        </w:rPr>
        <w:t xml:space="preserve">, R. 2015. </w:t>
      </w:r>
      <w:r>
        <w:rPr>
          <w:i/>
          <w:sz w:val="24"/>
          <w:szCs w:val="24"/>
        </w:rPr>
        <w:t>Learning from the past</w:t>
      </w:r>
      <w:r>
        <w:rPr>
          <w:sz w:val="24"/>
          <w:szCs w:val="24"/>
        </w:rPr>
        <w:t>. Unpublished report.</w:t>
      </w:r>
    </w:p>
    <w:p w:rsidR="003E67D0" w:rsidRPr="003E67D0" w:rsidRDefault="003E67D0" w:rsidP="003E67D0">
      <w:pPr>
        <w:rPr>
          <w:sz w:val="24"/>
          <w:szCs w:val="24"/>
        </w:rPr>
      </w:pPr>
      <w:proofErr w:type="gramStart"/>
      <w:r w:rsidRPr="003E67D0">
        <w:rPr>
          <w:iCs/>
          <w:color w:val="000000"/>
          <w:sz w:val="24"/>
          <w:szCs w:val="24"/>
        </w:rPr>
        <w:t>Selwood,  S.</w:t>
      </w:r>
      <w:proofErr w:type="gramEnd"/>
      <w:r w:rsidRPr="003E67D0">
        <w:rPr>
          <w:iCs/>
          <w:color w:val="000000"/>
          <w:sz w:val="24"/>
          <w:szCs w:val="24"/>
        </w:rPr>
        <w:t xml:space="preserve"> (2002) ‘What difference do museums make? P</w:t>
      </w:r>
      <w:r>
        <w:rPr>
          <w:iCs/>
          <w:color w:val="000000"/>
          <w:sz w:val="24"/>
          <w:szCs w:val="24"/>
        </w:rPr>
        <w:t xml:space="preserve">roducing evidence on the impact </w:t>
      </w:r>
      <w:r w:rsidRPr="003E67D0">
        <w:rPr>
          <w:iCs/>
          <w:color w:val="000000"/>
          <w:sz w:val="24"/>
          <w:szCs w:val="24"/>
        </w:rPr>
        <w:t>of museums’, </w:t>
      </w:r>
      <w:r w:rsidRPr="003E67D0">
        <w:rPr>
          <w:i/>
          <w:iCs/>
          <w:color w:val="000000"/>
          <w:sz w:val="24"/>
          <w:szCs w:val="24"/>
        </w:rPr>
        <w:t>Critical Quarterly</w:t>
      </w:r>
      <w:r w:rsidRPr="003E67D0">
        <w:rPr>
          <w:iCs/>
          <w:color w:val="000000"/>
          <w:sz w:val="24"/>
          <w:szCs w:val="24"/>
        </w:rPr>
        <w:t>, vol. 44, no. 4, pp. 65-81</w:t>
      </w:r>
    </w:p>
    <w:p w:rsidR="001170B7" w:rsidRDefault="008225CE" w:rsidP="003E67D0">
      <w:pPr>
        <w:spacing w:after="0" w:line="240" w:lineRule="auto"/>
        <w:rPr>
          <w:sz w:val="24"/>
          <w:szCs w:val="24"/>
        </w:rPr>
      </w:pPr>
      <w:r>
        <w:rPr>
          <w:sz w:val="24"/>
          <w:szCs w:val="24"/>
        </w:rPr>
        <w:t xml:space="preserve">Wallis, W. 1911. The Museum and Art Gallery. In J.H. </w:t>
      </w:r>
      <w:proofErr w:type="spellStart"/>
      <w:r>
        <w:rPr>
          <w:sz w:val="24"/>
          <w:szCs w:val="24"/>
        </w:rPr>
        <w:t>Muirhead</w:t>
      </w:r>
      <w:proofErr w:type="spellEnd"/>
      <w:r>
        <w:rPr>
          <w:sz w:val="24"/>
          <w:szCs w:val="24"/>
        </w:rPr>
        <w:t xml:space="preserve"> (Ed.). </w:t>
      </w:r>
      <w:r w:rsidR="003E67D0">
        <w:rPr>
          <w:i/>
          <w:sz w:val="24"/>
          <w:szCs w:val="24"/>
        </w:rPr>
        <w:t xml:space="preserve">Birmingham </w:t>
      </w:r>
      <w:r>
        <w:rPr>
          <w:i/>
          <w:sz w:val="24"/>
          <w:szCs w:val="24"/>
        </w:rPr>
        <w:t>Institutions</w:t>
      </w:r>
      <w:r w:rsidR="00107447">
        <w:rPr>
          <w:sz w:val="24"/>
          <w:szCs w:val="24"/>
        </w:rPr>
        <w:t>, 477-524. Birmingham: Cornish Brothers.</w:t>
      </w:r>
      <w:r w:rsidR="003E67D0">
        <w:rPr>
          <w:sz w:val="24"/>
          <w:szCs w:val="24"/>
        </w:rPr>
        <w:br/>
      </w:r>
      <w:r w:rsidR="003E67D0">
        <w:rPr>
          <w:sz w:val="24"/>
          <w:szCs w:val="24"/>
        </w:rPr>
        <w:br/>
      </w:r>
      <w:r w:rsidR="00A837C8">
        <w:rPr>
          <w:i/>
          <w:sz w:val="24"/>
          <w:szCs w:val="24"/>
        </w:rPr>
        <w:t>Walsall Observer</w:t>
      </w:r>
      <w:r w:rsidR="00A837C8">
        <w:rPr>
          <w:sz w:val="24"/>
          <w:szCs w:val="24"/>
        </w:rPr>
        <w:t xml:space="preserve">. 21 May 1892. </w:t>
      </w:r>
      <w:r w:rsidR="003E67D0">
        <w:rPr>
          <w:sz w:val="24"/>
          <w:szCs w:val="24"/>
        </w:rPr>
        <w:br/>
      </w:r>
      <w:r w:rsidR="003E67D0">
        <w:rPr>
          <w:sz w:val="24"/>
          <w:szCs w:val="24"/>
        </w:rPr>
        <w:br/>
      </w:r>
      <w:r w:rsidR="005341C5">
        <w:rPr>
          <w:sz w:val="24"/>
          <w:szCs w:val="24"/>
        </w:rPr>
        <w:t xml:space="preserve">Waterfield, G. 2015. </w:t>
      </w:r>
      <w:r w:rsidR="005341C5">
        <w:rPr>
          <w:i/>
          <w:sz w:val="24"/>
          <w:szCs w:val="24"/>
        </w:rPr>
        <w:t>The People’s Galleries. Art Museums and Exhibitions in Britain, 1800-1914</w:t>
      </w:r>
      <w:r w:rsidR="005341C5">
        <w:rPr>
          <w:sz w:val="24"/>
          <w:szCs w:val="24"/>
        </w:rPr>
        <w:t>. New Haven: Yale University Press.</w:t>
      </w:r>
    </w:p>
    <w:p w:rsidR="00733651" w:rsidRPr="00733651" w:rsidRDefault="00733651" w:rsidP="004120B2">
      <w:pPr>
        <w:rPr>
          <w:i/>
          <w:sz w:val="24"/>
          <w:szCs w:val="24"/>
        </w:rPr>
      </w:pPr>
    </w:p>
    <w:sectPr w:rsidR="00733651" w:rsidRPr="00733651" w:rsidSect="005460ED">
      <w:headerReference w:type="default" r:id="rId7"/>
      <w:headerReference w:type="first" r:id="rId8"/>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2DD" w:rsidRDefault="008552DD" w:rsidP="00B84D0B">
      <w:pPr>
        <w:spacing w:after="0" w:line="240" w:lineRule="auto"/>
      </w:pPr>
      <w:r>
        <w:separator/>
      </w:r>
    </w:p>
  </w:endnote>
  <w:endnote w:type="continuationSeparator" w:id="0">
    <w:p w:rsidR="008552DD" w:rsidRDefault="008552DD" w:rsidP="00B84D0B">
      <w:pPr>
        <w:spacing w:after="0" w:line="240" w:lineRule="auto"/>
      </w:pPr>
      <w:r>
        <w:continuationSeparator/>
      </w:r>
    </w:p>
  </w:endnote>
  <w:endnote w:id="1">
    <w:p w:rsidR="00F41354" w:rsidRPr="00F41354" w:rsidRDefault="00F41354" w:rsidP="00F41354">
      <w:pPr>
        <w:rPr>
          <w:sz w:val="24"/>
          <w:szCs w:val="24"/>
        </w:rPr>
      </w:pPr>
      <w:r>
        <w:rPr>
          <w:rStyle w:val="EndnoteReference"/>
        </w:rPr>
        <w:endnoteRef/>
      </w:r>
      <w:r>
        <w:t xml:space="preserve"> </w:t>
      </w:r>
      <w:r>
        <w:rPr>
          <w:sz w:val="24"/>
          <w:szCs w:val="24"/>
        </w:rPr>
        <w:t>I’m grateful to Peter Jenkinson for drawing my attention to this report.</w:t>
      </w:r>
    </w:p>
  </w:endnote>
  <w:endnote w:id="2">
    <w:p w:rsidR="006263EF" w:rsidRDefault="006263EF">
      <w:pPr>
        <w:pStyle w:val="EndnoteText"/>
      </w:pPr>
      <w:r>
        <w:rPr>
          <w:rStyle w:val="EndnoteReference"/>
        </w:rPr>
        <w:endnoteRef/>
      </w:r>
      <w:r w:rsidR="00D5251A">
        <w:t xml:space="preserve"> </w:t>
      </w:r>
      <w:r w:rsidR="00D5251A" w:rsidRPr="00F41354">
        <w:rPr>
          <w:sz w:val="24"/>
          <w:szCs w:val="24"/>
        </w:rPr>
        <w:t>I’m g</w:t>
      </w:r>
      <w:r w:rsidRPr="00F41354">
        <w:rPr>
          <w:sz w:val="24"/>
          <w:szCs w:val="24"/>
        </w:rPr>
        <w:t>rateful to Emily Pringle</w:t>
      </w:r>
      <w:r w:rsidR="00D5251A" w:rsidRPr="00F41354">
        <w:rPr>
          <w:sz w:val="24"/>
          <w:szCs w:val="24"/>
        </w:rPr>
        <w:t xml:space="preserve">, Tate, for a helpful discussion of </w:t>
      </w:r>
      <w:r w:rsidR="00F41354" w:rsidRPr="00F41354">
        <w:rPr>
          <w:sz w:val="24"/>
          <w:szCs w:val="24"/>
        </w:rPr>
        <w:t>these</w:t>
      </w:r>
      <w:r w:rsidR="00D5251A" w:rsidRPr="00F41354">
        <w:rPr>
          <w:sz w:val="24"/>
          <w:szCs w:val="24"/>
        </w:rPr>
        <w:t xml:space="preserve"> issue</w:t>
      </w:r>
      <w:r w:rsidR="00F41354" w:rsidRPr="00F41354">
        <w:rPr>
          <w:sz w:val="24"/>
          <w:szCs w:val="24"/>
        </w:rPr>
        <w:t>s</w:t>
      </w:r>
      <w:r w:rsidR="00D5251A" w:rsidRPr="00F41354">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2DD" w:rsidRDefault="008552DD" w:rsidP="00B84D0B">
      <w:pPr>
        <w:spacing w:after="0" w:line="240" w:lineRule="auto"/>
      </w:pPr>
      <w:r>
        <w:separator/>
      </w:r>
    </w:p>
  </w:footnote>
  <w:footnote w:type="continuationSeparator" w:id="0">
    <w:p w:rsidR="008552DD" w:rsidRDefault="008552DD" w:rsidP="00B8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514517"/>
      <w:docPartObj>
        <w:docPartGallery w:val="Page Numbers (Top of Page)"/>
        <w:docPartUnique/>
      </w:docPartObj>
    </w:sdtPr>
    <w:sdtEndPr>
      <w:rPr>
        <w:noProof/>
      </w:rPr>
    </w:sdtEndPr>
    <w:sdtContent>
      <w:p w:rsidR="005460ED" w:rsidRDefault="005460ED">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6263EF" w:rsidRDefault="00626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ED" w:rsidRDefault="005460ED">
    <w:pPr>
      <w:pStyle w:val="Header"/>
      <w:jc w:val="right"/>
    </w:pPr>
  </w:p>
  <w:p w:rsidR="005460ED" w:rsidRDefault="00546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F4"/>
    <w:rsid w:val="0000281B"/>
    <w:rsid w:val="00002C9D"/>
    <w:rsid w:val="0000567C"/>
    <w:rsid w:val="000110E3"/>
    <w:rsid w:val="00012641"/>
    <w:rsid w:val="000268B4"/>
    <w:rsid w:val="00067D7F"/>
    <w:rsid w:val="00075C5A"/>
    <w:rsid w:val="00081EC6"/>
    <w:rsid w:val="00092A0B"/>
    <w:rsid w:val="000A33D4"/>
    <w:rsid w:val="000B21FC"/>
    <w:rsid w:val="000D48C1"/>
    <w:rsid w:val="000D6F65"/>
    <w:rsid w:val="000F652B"/>
    <w:rsid w:val="00104396"/>
    <w:rsid w:val="00107447"/>
    <w:rsid w:val="001170B7"/>
    <w:rsid w:val="00137924"/>
    <w:rsid w:val="001C1152"/>
    <w:rsid w:val="001D0DC9"/>
    <w:rsid w:val="001E4F41"/>
    <w:rsid w:val="001F101E"/>
    <w:rsid w:val="001F6673"/>
    <w:rsid w:val="00202E64"/>
    <w:rsid w:val="002060B3"/>
    <w:rsid w:val="00222921"/>
    <w:rsid w:val="002359E1"/>
    <w:rsid w:val="0026279C"/>
    <w:rsid w:val="00275B4E"/>
    <w:rsid w:val="002763F2"/>
    <w:rsid w:val="00277267"/>
    <w:rsid w:val="00290DB2"/>
    <w:rsid w:val="002C2BF8"/>
    <w:rsid w:val="002E5A7D"/>
    <w:rsid w:val="002F06FB"/>
    <w:rsid w:val="003044A7"/>
    <w:rsid w:val="00306D82"/>
    <w:rsid w:val="00322131"/>
    <w:rsid w:val="00323EBE"/>
    <w:rsid w:val="00324BC3"/>
    <w:rsid w:val="003264EF"/>
    <w:rsid w:val="0033107C"/>
    <w:rsid w:val="00331DBE"/>
    <w:rsid w:val="00334C8C"/>
    <w:rsid w:val="0035479C"/>
    <w:rsid w:val="003614C6"/>
    <w:rsid w:val="00370574"/>
    <w:rsid w:val="00373DEB"/>
    <w:rsid w:val="003845B1"/>
    <w:rsid w:val="00397C93"/>
    <w:rsid w:val="003A2674"/>
    <w:rsid w:val="003D34FB"/>
    <w:rsid w:val="003D5A5F"/>
    <w:rsid w:val="003E67D0"/>
    <w:rsid w:val="003F0E99"/>
    <w:rsid w:val="003F68A3"/>
    <w:rsid w:val="00410BC7"/>
    <w:rsid w:val="004120B2"/>
    <w:rsid w:val="004176E2"/>
    <w:rsid w:val="00461D38"/>
    <w:rsid w:val="00480BA0"/>
    <w:rsid w:val="00487D87"/>
    <w:rsid w:val="004A1882"/>
    <w:rsid w:val="004E1B8D"/>
    <w:rsid w:val="004E3DE3"/>
    <w:rsid w:val="004E54FF"/>
    <w:rsid w:val="004F64F4"/>
    <w:rsid w:val="005123F3"/>
    <w:rsid w:val="00532CB7"/>
    <w:rsid w:val="005341C5"/>
    <w:rsid w:val="005460ED"/>
    <w:rsid w:val="00592989"/>
    <w:rsid w:val="005D7694"/>
    <w:rsid w:val="005E4C69"/>
    <w:rsid w:val="00604685"/>
    <w:rsid w:val="006263EF"/>
    <w:rsid w:val="006401F6"/>
    <w:rsid w:val="00644C89"/>
    <w:rsid w:val="00644F8F"/>
    <w:rsid w:val="00661FD0"/>
    <w:rsid w:val="006C2BBD"/>
    <w:rsid w:val="006E2909"/>
    <w:rsid w:val="006E69FC"/>
    <w:rsid w:val="006F0F65"/>
    <w:rsid w:val="0070091F"/>
    <w:rsid w:val="00704B08"/>
    <w:rsid w:val="00717710"/>
    <w:rsid w:val="00723BE5"/>
    <w:rsid w:val="00733651"/>
    <w:rsid w:val="007341DA"/>
    <w:rsid w:val="00734A37"/>
    <w:rsid w:val="0076506C"/>
    <w:rsid w:val="007806D6"/>
    <w:rsid w:val="00791B60"/>
    <w:rsid w:val="007C074A"/>
    <w:rsid w:val="007C5F2C"/>
    <w:rsid w:val="007D4BF4"/>
    <w:rsid w:val="007E2D17"/>
    <w:rsid w:val="007F005E"/>
    <w:rsid w:val="007F7ECF"/>
    <w:rsid w:val="008225CE"/>
    <w:rsid w:val="00833AE8"/>
    <w:rsid w:val="00834EB4"/>
    <w:rsid w:val="00840D82"/>
    <w:rsid w:val="00852793"/>
    <w:rsid w:val="008552DD"/>
    <w:rsid w:val="00861AEE"/>
    <w:rsid w:val="00864CB5"/>
    <w:rsid w:val="00871B79"/>
    <w:rsid w:val="008727B7"/>
    <w:rsid w:val="00874C54"/>
    <w:rsid w:val="00885C0F"/>
    <w:rsid w:val="0089533E"/>
    <w:rsid w:val="008A3B02"/>
    <w:rsid w:val="008B5409"/>
    <w:rsid w:val="008C6904"/>
    <w:rsid w:val="008D0DC5"/>
    <w:rsid w:val="008D5BFD"/>
    <w:rsid w:val="008E26AC"/>
    <w:rsid w:val="008E6D90"/>
    <w:rsid w:val="009063C6"/>
    <w:rsid w:val="00910444"/>
    <w:rsid w:val="009227C4"/>
    <w:rsid w:val="00922AB9"/>
    <w:rsid w:val="00935DB8"/>
    <w:rsid w:val="00943678"/>
    <w:rsid w:val="00945BE3"/>
    <w:rsid w:val="00962B3B"/>
    <w:rsid w:val="009A753E"/>
    <w:rsid w:val="009F5F4B"/>
    <w:rsid w:val="00A046A1"/>
    <w:rsid w:val="00A2359B"/>
    <w:rsid w:val="00A32257"/>
    <w:rsid w:val="00A56233"/>
    <w:rsid w:val="00A61A8F"/>
    <w:rsid w:val="00A76EEE"/>
    <w:rsid w:val="00A83192"/>
    <w:rsid w:val="00A837C8"/>
    <w:rsid w:val="00A91FE3"/>
    <w:rsid w:val="00AA5BB8"/>
    <w:rsid w:val="00AB314E"/>
    <w:rsid w:val="00AF47B1"/>
    <w:rsid w:val="00AF7B60"/>
    <w:rsid w:val="00AF7BBD"/>
    <w:rsid w:val="00B40C7A"/>
    <w:rsid w:val="00B57F57"/>
    <w:rsid w:val="00B723D8"/>
    <w:rsid w:val="00B74485"/>
    <w:rsid w:val="00B7729E"/>
    <w:rsid w:val="00B77AD4"/>
    <w:rsid w:val="00B81F5C"/>
    <w:rsid w:val="00B833DB"/>
    <w:rsid w:val="00B84D0B"/>
    <w:rsid w:val="00B85ADF"/>
    <w:rsid w:val="00B97375"/>
    <w:rsid w:val="00BA3A94"/>
    <w:rsid w:val="00BA5992"/>
    <w:rsid w:val="00BC6CFA"/>
    <w:rsid w:val="00C0019F"/>
    <w:rsid w:val="00C64242"/>
    <w:rsid w:val="00C8551C"/>
    <w:rsid w:val="00C902D5"/>
    <w:rsid w:val="00CC2AC1"/>
    <w:rsid w:val="00CD5D91"/>
    <w:rsid w:val="00CE536B"/>
    <w:rsid w:val="00CF0720"/>
    <w:rsid w:val="00D000AC"/>
    <w:rsid w:val="00D008C0"/>
    <w:rsid w:val="00D0766F"/>
    <w:rsid w:val="00D1018F"/>
    <w:rsid w:val="00D15429"/>
    <w:rsid w:val="00D22F2F"/>
    <w:rsid w:val="00D23499"/>
    <w:rsid w:val="00D36AA0"/>
    <w:rsid w:val="00D465A9"/>
    <w:rsid w:val="00D5251A"/>
    <w:rsid w:val="00D56FB5"/>
    <w:rsid w:val="00D63F80"/>
    <w:rsid w:val="00D65508"/>
    <w:rsid w:val="00D7614A"/>
    <w:rsid w:val="00DA0AE4"/>
    <w:rsid w:val="00DC38A4"/>
    <w:rsid w:val="00DE51FC"/>
    <w:rsid w:val="00E25FC1"/>
    <w:rsid w:val="00E3580F"/>
    <w:rsid w:val="00E540E8"/>
    <w:rsid w:val="00E62F00"/>
    <w:rsid w:val="00E6367C"/>
    <w:rsid w:val="00E72A03"/>
    <w:rsid w:val="00E734E8"/>
    <w:rsid w:val="00E838C9"/>
    <w:rsid w:val="00EA0A14"/>
    <w:rsid w:val="00EB09C6"/>
    <w:rsid w:val="00EB2A59"/>
    <w:rsid w:val="00ED0C4F"/>
    <w:rsid w:val="00EF28F2"/>
    <w:rsid w:val="00F05830"/>
    <w:rsid w:val="00F143E7"/>
    <w:rsid w:val="00F2249D"/>
    <w:rsid w:val="00F27EAF"/>
    <w:rsid w:val="00F41354"/>
    <w:rsid w:val="00F430F1"/>
    <w:rsid w:val="00F46F8B"/>
    <w:rsid w:val="00F47160"/>
    <w:rsid w:val="00F5207B"/>
    <w:rsid w:val="00F52882"/>
    <w:rsid w:val="00F63982"/>
    <w:rsid w:val="00F94A0B"/>
    <w:rsid w:val="00FA542C"/>
    <w:rsid w:val="00FB11C2"/>
    <w:rsid w:val="00FB5DCE"/>
    <w:rsid w:val="00FD7140"/>
    <w:rsid w:val="00FF62BF"/>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4474"/>
  <w15:chartTrackingRefBased/>
  <w15:docId w15:val="{B73B752F-F143-477F-91CC-66CD4A20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84D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4D0B"/>
    <w:rPr>
      <w:sz w:val="20"/>
      <w:szCs w:val="20"/>
    </w:rPr>
  </w:style>
  <w:style w:type="character" w:styleId="EndnoteReference">
    <w:name w:val="endnote reference"/>
    <w:basedOn w:val="DefaultParagraphFont"/>
    <w:uiPriority w:val="99"/>
    <w:semiHidden/>
    <w:unhideWhenUsed/>
    <w:rsid w:val="00B84D0B"/>
    <w:rPr>
      <w:vertAlign w:val="superscript"/>
    </w:rPr>
  </w:style>
  <w:style w:type="paragraph" w:styleId="FootnoteText">
    <w:name w:val="footnote text"/>
    <w:basedOn w:val="Normal"/>
    <w:link w:val="FootnoteTextChar"/>
    <w:uiPriority w:val="99"/>
    <w:semiHidden/>
    <w:unhideWhenUsed/>
    <w:rsid w:val="00B84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D0B"/>
    <w:rPr>
      <w:sz w:val="20"/>
      <w:szCs w:val="20"/>
    </w:rPr>
  </w:style>
  <w:style w:type="character" w:styleId="FootnoteReference">
    <w:name w:val="footnote reference"/>
    <w:basedOn w:val="DefaultParagraphFont"/>
    <w:uiPriority w:val="99"/>
    <w:semiHidden/>
    <w:unhideWhenUsed/>
    <w:rsid w:val="00B84D0B"/>
    <w:rPr>
      <w:vertAlign w:val="superscript"/>
    </w:rPr>
  </w:style>
  <w:style w:type="paragraph" w:styleId="Header">
    <w:name w:val="header"/>
    <w:basedOn w:val="Normal"/>
    <w:link w:val="HeaderChar"/>
    <w:uiPriority w:val="99"/>
    <w:unhideWhenUsed/>
    <w:rsid w:val="00A23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9B"/>
  </w:style>
  <w:style w:type="paragraph" w:styleId="Footer">
    <w:name w:val="footer"/>
    <w:basedOn w:val="Normal"/>
    <w:link w:val="FooterChar"/>
    <w:uiPriority w:val="99"/>
    <w:unhideWhenUsed/>
    <w:rsid w:val="00A23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9B"/>
  </w:style>
  <w:style w:type="paragraph" w:styleId="BalloonText">
    <w:name w:val="Balloon Text"/>
    <w:basedOn w:val="Normal"/>
    <w:link w:val="BalloonTextChar"/>
    <w:uiPriority w:val="99"/>
    <w:semiHidden/>
    <w:unhideWhenUsed/>
    <w:rsid w:val="00F47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160"/>
    <w:rPr>
      <w:rFonts w:ascii="Segoe UI" w:hAnsi="Segoe UI" w:cs="Segoe UI"/>
      <w:sz w:val="18"/>
      <w:szCs w:val="18"/>
    </w:rPr>
  </w:style>
  <w:style w:type="paragraph" w:styleId="NormalWeb">
    <w:name w:val="Normal (Web)"/>
    <w:basedOn w:val="Normal"/>
    <w:uiPriority w:val="99"/>
    <w:unhideWhenUsed/>
    <w:rsid w:val="00D65508"/>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392F-5681-45B7-A0F2-23D97940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Crossick</dc:creator>
  <cp:keywords/>
  <dc:description/>
  <cp:lastModifiedBy>Geoffrey Crossick</cp:lastModifiedBy>
  <cp:revision>53</cp:revision>
  <cp:lastPrinted>2018-07-06T20:54:00Z</cp:lastPrinted>
  <dcterms:created xsi:type="dcterms:W3CDTF">2018-07-06T13:44:00Z</dcterms:created>
  <dcterms:modified xsi:type="dcterms:W3CDTF">2018-08-28T18:09:00Z</dcterms:modified>
</cp:coreProperties>
</file>