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0936E6" w14:textId="77777777" w:rsidR="004807D7" w:rsidRDefault="004807D7" w:rsidP="00936D5C">
      <w:pPr>
        <w:ind w:firstLine="0"/>
        <w:jc w:val="center"/>
        <w:rPr>
          <w:sz w:val="32"/>
          <w:szCs w:val="32"/>
        </w:rPr>
      </w:pPr>
    </w:p>
    <w:p w14:paraId="4D79BA8F" w14:textId="372CD58C" w:rsidR="00936D5C" w:rsidRPr="004807D7" w:rsidRDefault="00936D5C" w:rsidP="00936D5C">
      <w:pPr>
        <w:ind w:firstLine="0"/>
        <w:jc w:val="center"/>
        <w:rPr>
          <w:sz w:val="32"/>
          <w:szCs w:val="32"/>
        </w:rPr>
      </w:pPr>
      <w:bookmarkStart w:id="0" w:name="_Hlk152339433"/>
      <w:r w:rsidRPr="004807D7">
        <w:rPr>
          <w:sz w:val="32"/>
          <w:szCs w:val="32"/>
        </w:rPr>
        <w:t>THE BOOK OF THE SCIENCE OF THE SAND: GEOMANCY BETWEEN DIVINATION, PROGNOSTICS AND PSYCHOLOGY IN MEDIEVAL EUROPE</w:t>
      </w:r>
    </w:p>
    <w:bookmarkEnd w:id="0"/>
    <w:p w14:paraId="795439C3" w14:textId="77777777" w:rsidR="004807D7" w:rsidRDefault="004807D7" w:rsidP="00936D5C">
      <w:pPr>
        <w:ind w:firstLine="0"/>
        <w:jc w:val="center"/>
        <w:rPr>
          <w:b/>
          <w:bCs/>
          <w:sz w:val="32"/>
          <w:szCs w:val="32"/>
        </w:rPr>
      </w:pPr>
    </w:p>
    <w:p w14:paraId="5BA87BAB" w14:textId="77777777" w:rsidR="004807D7" w:rsidRDefault="004807D7" w:rsidP="00936D5C">
      <w:pPr>
        <w:ind w:firstLine="0"/>
        <w:jc w:val="center"/>
        <w:rPr>
          <w:b/>
          <w:bCs/>
          <w:sz w:val="32"/>
          <w:szCs w:val="32"/>
        </w:rPr>
      </w:pPr>
    </w:p>
    <w:p w14:paraId="4C61A0BD" w14:textId="77777777" w:rsidR="004807D7" w:rsidRDefault="004807D7" w:rsidP="00936D5C">
      <w:pPr>
        <w:ind w:firstLine="0"/>
        <w:jc w:val="center"/>
        <w:rPr>
          <w:b/>
          <w:bCs/>
          <w:sz w:val="32"/>
          <w:szCs w:val="32"/>
        </w:rPr>
      </w:pPr>
    </w:p>
    <w:p w14:paraId="35AC5232" w14:textId="77777777" w:rsidR="004807D7" w:rsidRDefault="004807D7" w:rsidP="00936D5C">
      <w:pPr>
        <w:ind w:firstLine="0"/>
        <w:jc w:val="center"/>
        <w:rPr>
          <w:b/>
          <w:bCs/>
          <w:sz w:val="32"/>
          <w:szCs w:val="32"/>
        </w:rPr>
      </w:pPr>
    </w:p>
    <w:p w14:paraId="7FE482B7" w14:textId="0DC18328" w:rsidR="004807D7" w:rsidRPr="004807D7" w:rsidRDefault="004807D7" w:rsidP="00936D5C">
      <w:pPr>
        <w:ind w:firstLine="0"/>
        <w:jc w:val="center"/>
      </w:pPr>
      <w:r w:rsidRPr="004807D7">
        <w:t>Arianna Dalla Costa</w:t>
      </w:r>
    </w:p>
    <w:p w14:paraId="51F6EE9E" w14:textId="77777777" w:rsidR="00936D5C" w:rsidRDefault="00936D5C" w:rsidP="00936D5C">
      <w:pPr>
        <w:ind w:firstLine="0"/>
      </w:pPr>
    </w:p>
    <w:p w14:paraId="14386FA2" w14:textId="77777777" w:rsidR="004807D7" w:rsidRDefault="004807D7" w:rsidP="00936D5C">
      <w:pPr>
        <w:ind w:firstLine="0"/>
      </w:pPr>
    </w:p>
    <w:p w14:paraId="5355F99D" w14:textId="77777777" w:rsidR="004807D7" w:rsidRDefault="004807D7" w:rsidP="00936D5C">
      <w:pPr>
        <w:ind w:firstLine="0"/>
      </w:pPr>
    </w:p>
    <w:p w14:paraId="01A5B934" w14:textId="77777777" w:rsidR="004807D7" w:rsidRDefault="004807D7" w:rsidP="00936D5C">
      <w:pPr>
        <w:ind w:firstLine="0"/>
      </w:pPr>
    </w:p>
    <w:p w14:paraId="0CA73C4A" w14:textId="77777777" w:rsidR="004807D7" w:rsidRDefault="004807D7" w:rsidP="00936D5C">
      <w:pPr>
        <w:ind w:firstLine="0"/>
      </w:pPr>
    </w:p>
    <w:p w14:paraId="1D77D415" w14:textId="77777777" w:rsidR="004807D7" w:rsidRDefault="004807D7" w:rsidP="00936D5C">
      <w:pPr>
        <w:ind w:firstLine="0"/>
      </w:pPr>
    </w:p>
    <w:p w14:paraId="157ECE7C" w14:textId="0C1FD725" w:rsidR="004807D7" w:rsidRDefault="004807D7" w:rsidP="004807D7">
      <w:pPr>
        <w:ind w:firstLine="0"/>
        <w:jc w:val="center"/>
      </w:pPr>
      <w:r w:rsidRPr="004807D7">
        <w:t>A dissertation submitted in fulfilment of the requirements for the degree of Doctor of Philosophy</w:t>
      </w:r>
    </w:p>
    <w:p w14:paraId="401B23C4" w14:textId="77777777" w:rsidR="004807D7" w:rsidRDefault="004807D7" w:rsidP="004807D7">
      <w:pPr>
        <w:ind w:firstLine="0"/>
        <w:jc w:val="center"/>
      </w:pPr>
    </w:p>
    <w:p w14:paraId="39A7602B" w14:textId="77777777" w:rsidR="004807D7" w:rsidRDefault="004807D7" w:rsidP="004807D7">
      <w:pPr>
        <w:ind w:firstLine="0"/>
        <w:jc w:val="center"/>
      </w:pPr>
    </w:p>
    <w:p w14:paraId="4328AF93" w14:textId="199CE89F" w:rsidR="004807D7" w:rsidRDefault="004807D7" w:rsidP="004807D7">
      <w:pPr>
        <w:ind w:firstLine="0"/>
        <w:jc w:val="center"/>
      </w:pPr>
      <w:r>
        <w:t>THE WARBURG INSTITUTE</w:t>
      </w:r>
    </w:p>
    <w:p w14:paraId="6E8EAC73" w14:textId="0F1932D3" w:rsidR="004807D7" w:rsidRDefault="004807D7" w:rsidP="004807D7">
      <w:pPr>
        <w:ind w:firstLine="0"/>
        <w:jc w:val="center"/>
      </w:pPr>
      <w:r>
        <w:t xml:space="preserve">UNIVERSITY OF LONDON </w:t>
      </w:r>
    </w:p>
    <w:p w14:paraId="51041B6B" w14:textId="583690C8" w:rsidR="004807D7" w:rsidRDefault="004807D7" w:rsidP="004807D7">
      <w:pPr>
        <w:ind w:firstLine="0"/>
        <w:jc w:val="center"/>
      </w:pPr>
      <w:r>
        <w:t>2023</w:t>
      </w:r>
    </w:p>
    <w:p w14:paraId="7A3D338B" w14:textId="18EF54CF" w:rsidR="004807D7" w:rsidRPr="004807D7" w:rsidRDefault="004807D7" w:rsidP="004807D7">
      <w:r>
        <w:br w:type="page"/>
      </w:r>
    </w:p>
    <w:p w14:paraId="4F882E73" w14:textId="77777777" w:rsidR="007A1CC6" w:rsidRDefault="007A1CC6" w:rsidP="007A1CC6">
      <w:pPr>
        <w:pStyle w:val="NormalWeb"/>
        <w:shd w:val="clear" w:color="auto" w:fill="FFFFFF"/>
        <w:spacing w:before="0" w:beforeAutospacing="0" w:after="0" w:afterAutospacing="0" w:line="235" w:lineRule="atLeast"/>
        <w:jc w:val="center"/>
        <w:rPr>
          <w:rFonts w:asciiTheme="majorBidi" w:hAnsiTheme="majorBidi" w:cstheme="majorBidi"/>
          <w:color w:val="000000"/>
          <w:bdr w:val="none" w:sz="0" w:space="0" w:color="auto" w:frame="1"/>
        </w:rPr>
      </w:pPr>
      <w:bookmarkStart w:id="1" w:name="_Hlk152343092"/>
      <w:r>
        <w:rPr>
          <w:rFonts w:asciiTheme="majorBidi" w:hAnsiTheme="majorBidi" w:cstheme="majorBidi"/>
          <w:color w:val="000000"/>
          <w:bdr w:val="none" w:sz="0" w:space="0" w:color="auto" w:frame="1"/>
        </w:rPr>
        <w:lastRenderedPageBreak/>
        <w:t>DECLARATION</w:t>
      </w:r>
    </w:p>
    <w:p w14:paraId="366ADB6D"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3C70C2C8"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4CED58DC"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4876C078" w14:textId="77777777" w:rsidR="007A1CC6" w:rsidRDefault="007A1CC6" w:rsidP="007A1CC6">
      <w:pPr>
        <w:pStyle w:val="NormalWeb"/>
        <w:shd w:val="clear" w:color="auto" w:fill="FFFFFF"/>
        <w:spacing w:before="0" w:beforeAutospacing="0" w:after="0" w:afterAutospacing="0" w:line="235" w:lineRule="atLeast"/>
        <w:jc w:val="both"/>
        <w:rPr>
          <w:rFonts w:asciiTheme="majorBidi" w:hAnsiTheme="majorBidi" w:cstheme="majorBidi"/>
          <w:color w:val="000000"/>
          <w:bdr w:val="none" w:sz="0" w:space="0" w:color="auto" w:frame="1"/>
        </w:rPr>
      </w:pPr>
    </w:p>
    <w:p w14:paraId="0EC29F8D" w14:textId="77777777" w:rsidR="007A1CC6" w:rsidRDefault="007A1CC6" w:rsidP="007A1CC6">
      <w:pPr>
        <w:pStyle w:val="NormalWeb"/>
        <w:shd w:val="clear" w:color="auto" w:fill="FFFFFF"/>
        <w:spacing w:before="0" w:beforeAutospacing="0" w:after="0" w:afterAutospacing="0" w:line="235" w:lineRule="atLeast"/>
        <w:jc w:val="both"/>
        <w:rPr>
          <w:rFonts w:asciiTheme="majorBidi" w:hAnsiTheme="majorBidi" w:cstheme="majorBidi"/>
          <w:color w:val="242424"/>
        </w:rPr>
      </w:pPr>
      <w:r>
        <w:rPr>
          <w:rFonts w:asciiTheme="majorBidi" w:hAnsiTheme="majorBidi" w:cstheme="majorBidi"/>
          <w:color w:val="000000"/>
          <w:bdr w:val="none" w:sz="0" w:space="0" w:color="auto" w:frame="1"/>
        </w:rPr>
        <w:t>I, Arianna Dalla Costa, hereby declare that this thesis represents my own work. Where information has been derived from other sources, I confirm that this been duly acknowledged in the thesis.</w:t>
      </w:r>
    </w:p>
    <w:p w14:paraId="5B6FA389"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64E1AB44"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40742A24"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43818A22"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5B9D1922"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34DA24F0"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2FC7E122" w14:textId="22FED9D8" w:rsidR="007A1CC6" w:rsidRDefault="001B3057"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r>
        <w:rPr>
          <w:noProof/>
        </w:rPr>
        <w:pict w14:anchorId="52402C86">
          <v:rect id="Ink 2" o:spid="_x0000_s1026" style="position:absolute;margin-left:0;margin-top:-60.9pt;width:278.8pt;height:137.1pt;z-index:251658240;visibility:visible;mso-position-horizontal:center;mso-position-horizontal-relative:margin" filled="f" strokeweight=".25mm">
            <v:stroke endcap="round"/>
            <v:path shadowok="f" o:extrusionok="f" fillok="f" insetpenok="f"/>
            <o:lock v:ext="edit" rotation="t" aspectratio="t" verticies="t" text="t" shapetype="t"/>
            <o:ink i="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" annotation="t"/>
            <w10:wrap anchorx="margin"/>
          </v:rect>
        </w:pict>
      </w:r>
    </w:p>
    <w:p w14:paraId="221495F1" w14:textId="5350F30C"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242424"/>
        </w:rPr>
      </w:pPr>
      <w:r>
        <w:rPr>
          <w:rFonts w:asciiTheme="majorBidi" w:hAnsiTheme="majorBidi" w:cstheme="majorBidi"/>
          <w:color w:val="000000"/>
          <w:bdr w:val="none" w:sz="0" w:space="0" w:color="auto" w:frame="1"/>
        </w:rPr>
        <w:t>Signature:</w:t>
      </w:r>
      <w:r w:rsidRPr="007A1CC6">
        <w:rPr>
          <w:rFonts w:asciiTheme="majorBidi" w:hAnsiTheme="majorBidi" w:cstheme="majorBidi"/>
          <w:noProof/>
          <w:color w:val="000000"/>
        </w:rPr>
        <w:t xml:space="preserve"> </w:t>
      </w:r>
    </w:p>
    <w:p w14:paraId="0AC9080F"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5D46E231" w14:textId="582162D8"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03605B3B" w14:textId="11C8642D"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2298895A" w14:textId="3EA08E8B"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50DA0DE6"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000000"/>
          <w:bdr w:val="none" w:sz="0" w:space="0" w:color="auto" w:frame="1"/>
        </w:rPr>
      </w:pPr>
    </w:p>
    <w:p w14:paraId="5853FFFA" w14:textId="77777777" w:rsidR="007A1CC6" w:rsidRDefault="007A1CC6" w:rsidP="007A1CC6">
      <w:pPr>
        <w:pStyle w:val="NormalWeb"/>
        <w:shd w:val="clear" w:color="auto" w:fill="FFFFFF"/>
        <w:spacing w:before="0" w:beforeAutospacing="0" w:after="0" w:afterAutospacing="0" w:line="235" w:lineRule="atLeast"/>
        <w:rPr>
          <w:rFonts w:asciiTheme="majorBidi" w:hAnsiTheme="majorBidi" w:cstheme="majorBidi"/>
          <w:color w:val="242424"/>
        </w:rPr>
      </w:pPr>
      <w:r>
        <w:rPr>
          <w:rFonts w:asciiTheme="majorBidi" w:hAnsiTheme="majorBidi" w:cstheme="majorBidi"/>
          <w:color w:val="000000"/>
          <w:bdr w:val="none" w:sz="0" w:space="0" w:color="auto" w:frame="1"/>
        </w:rPr>
        <w:t>Date: 04/12/2023</w:t>
      </w:r>
    </w:p>
    <w:p w14:paraId="26EEE2F3" w14:textId="1AE0A230" w:rsidR="007A1CC6" w:rsidRDefault="007A1CC6" w:rsidP="007A1CC6">
      <w:r>
        <w:br w:type="page"/>
      </w:r>
    </w:p>
    <w:p w14:paraId="37C1AB95" w14:textId="77777777" w:rsidR="007A1CC6" w:rsidRPr="007A1CC6" w:rsidRDefault="007A1CC6" w:rsidP="007A1CC6"/>
    <w:p w14:paraId="5268D588" w14:textId="689B3FE3" w:rsidR="00936D5C" w:rsidRDefault="00936D5C" w:rsidP="004807D7">
      <w:pPr>
        <w:ind w:firstLine="0"/>
        <w:jc w:val="center"/>
        <w:rPr>
          <w:b/>
          <w:bCs/>
        </w:rPr>
      </w:pPr>
      <w:r w:rsidRPr="00936D5C">
        <w:rPr>
          <w:b/>
          <w:bCs/>
        </w:rPr>
        <w:t>Abstract</w:t>
      </w:r>
    </w:p>
    <w:p w14:paraId="09E07556" w14:textId="77777777" w:rsidR="004807D7" w:rsidRPr="00936D5C" w:rsidRDefault="004807D7" w:rsidP="004807D7">
      <w:pPr>
        <w:ind w:firstLine="0"/>
        <w:jc w:val="center"/>
        <w:rPr>
          <w:b/>
          <w:bCs/>
        </w:rPr>
      </w:pPr>
    </w:p>
    <w:p w14:paraId="057D25DC" w14:textId="714F783D" w:rsidR="00936D5C" w:rsidRDefault="00936D5C" w:rsidP="00936D5C">
      <w:pPr>
        <w:spacing w:line="240" w:lineRule="auto"/>
        <w:ind w:firstLine="0"/>
      </w:pPr>
      <w:r>
        <w:t xml:space="preserve">In the context of the cultural renewal that characterised the renaissance of the twelfth century, among the mathematical, astronomical and astrological texts that were being translated from Arabic into Latin, a discipline previously unknown to the West made its entrance into Europe through Spain. This was called in Arabic ‘the science of the sand’, and became known in Latin as </w:t>
      </w:r>
      <w:r w:rsidRPr="00C67F90">
        <w:rPr>
          <w:i/>
          <w:iCs/>
        </w:rPr>
        <w:t>geomantia</w:t>
      </w:r>
      <w:r>
        <w:t xml:space="preserve"> (‘earth divination’). Geomancy quickly became a very popular, as well as controversial, form of prediction in medieval Europe. </w:t>
      </w:r>
      <w:r w:rsidR="00BF6F8F">
        <w:t>It</w:t>
      </w:r>
      <w:r>
        <w:t xml:space="preserve"> claimed to be a branch of astrology, yet some geomantic texts asserted that geomancers drew their knowledge directly from God. This perspective viewed geomancy as a form of divination or prophecy, a divinely inspired knowledge rather than a form of natural prediction. Additionally, geomancy was believed to have the power to explore the depths of the human soul, revealing its innermost thoughts and </w:t>
      </w:r>
      <w:r w:rsidR="00C67F90">
        <w:t>desires</w:t>
      </w:r>
      <w:r>
        <w:t xml:space="preserve">. These facets of geomantic practice, combined with the incorporation of </w:t>
      </w:r>
      <w:r w:rsidR="003057B9">
        <w:t>more unconventional</w:t>
      </w:r>
      <w:r>
        <w:t xml:space="preserve"> elements, led to it being perceived as contentious by intellectual and ecclesiastical elites. In fact, many condemnations in the late medieval and early modern periods categorised geomancy as a form of illicit magic, placing it alongside practices like necromancy and auguries. In my thesis, I contribute to the ongoing effort to illuminate the medieval practice of geomancy by examining its epistemic status and its position at the intersection of divination, prognostics, and psychology. My primary case study is a text titled </w:t>
      </w:r>
      <w:r w:rsidRPr="005173BA">
        <w:rPr>
          <w:i/>
          <w:iCs/>
        </w:rPr>
        <w:t>Liber arenalis scientiae</w:t>
      </w:r>
      <w:r>
        <w:t xml:space="preserve"> (‘The Book of the Science of the Sand’), a geomantic tract translated from Arabic into Latin in 1135 in Barcelona by the Italian translator Plato of Tivoli. Using this work as the basis for my analysis, I engage with a broader range of medieval geomantic literature as well as philosophical, theological, and literary texts from the same period. This approach helps </w:t>
      </w:r>
      <w:r w:rsidR="003C01A3">
        <w:t xml:space="preserve">one </w:t>
      </w:r>
      <w:r>
        <w:t>understand how geomantic knowledge redefined the correspondence between humans as microcosms and the universe as macrocosm. In a cosmos where causal connections linked the heavens to the terrestrial world, the geomancer served as both a messenger and an exegete of celestial signs. Through their technique, they revealed the inseparable connection between the heavens, the earth, and the human soul. By shedding light on the intricacies of geomancy’s epistemic foundation and its role at the crossroads of divination, prognostication, and psychology, this research contributes to a deeper understanding of the cultural and intellectual landscape of the late medieval period, and of the role that Arabic culture played in the development of Western science.</w:t>
      </w:r>
    </w:p>
    <w:bookmarkEnd w:id="1"/>
    <w:p w14:paraId="2EE6A166" w14:textId="60CA8238" w:rsidR="00936D5C" w:rsidRDefault="00936D5C" w:rsidP="00936D5C">
      <w:r>
        <w:br w:type="page"/>
      </w:r>
    </w:p>
    <w:p w14:paraId="7C59B68A" w14:textId="5B3E70E0" w:rsidR="00FF1FDD" w:rsidRDefault="00FF1FDD" w:rsidP="000D2277">
      <w:pPr>
        <w:spacing w:line="240" w:lineRule="atLeast"/>
        <w:ind w:firstLine="0"/>
        <w:jc w:val="center"/>
      </w:pPr>
      <w:r>
        <w:lastRenderedPageBreak/>
        <w:t>TABLE OF CONTENTS</w:t>
      </w:r>
    </w:p>
    <w:sdt>
      <w:sdtPr>
        <w:rPr>
          <w:rFonts w:asciiTheme="majorBidi" w:eastAsiaTheme="minorHAnsi" w:hAnsiTheme="majorBidi"/>
          <w:color w:val="auto"/>
          <w:sz w:val="24"/>
          <w:szCs w:val="24"/>
          <w:lang w:val="en-GB"/>
        </w:rPr>
        <w:id w:val="-790358051"/>
        <w:docPartObj>
          <w:docPartGallery w:val="Table of Contents"/>
          <w:docPartUnique/>
        </w:docPartObj>
      </w:sdtPr>
      <w:sdtEndPr>
        <w:rPr>
          <w:b/>
          <w:bCs/>
          <w:noProof/>
        </w:rPr>
      </w:sdtEndPr>
      <w:sdtContent>
        <w:p w14:paraId="4AFE3E27" w14:textId="15929409" w:rsidR="00093432" w:rsidRDefault="00093432" w:rsidP="000D2277">
          <w:pPr>
            <w:pStyle w:val="TOCHeading"/>
            <w:spacing w:line="240" w:lineRule="atLeast"/>
          </w:pPr>
        </w:p>
        <w:p w14:paraId="597C6A4B" w14:textId="5388D871" w:rsidR="00A47A5B" w:rsidRDefault="00093432" w:rsidP="00A47A5B">
          <w:pPr>
            <w:pStyle w:val="TOC3"/>
            <w:tabs>
              <w:tab w:val="right" w:leader="dot" w:pos="9016"/>
            </w:tabs>
            <w:ind w:left="0" w:firstLine="0"/>
            <w:rPr>
              <w:rFonts w:asciiTheme="minorHAnsi" w:eastAsiaTheme="minorEastAsia" w:hAnsiTheme="minorHAnsi" w:cstheme="minorBidi"/>
              <w:noProof/>
              <w:kern w:val="2"/>
              <w:lang w:eastAsia="en-GB"/>
            </w:rPr>
          </w:pPr>
          <w:r>
            <w:fldChar w:fldCharType="begin"/>
          </w:r>
          <w:r>
            <w:instrText xml:space="preserve"> TOC \o "1-3" \h \z \u </w:instrText>
          </w:r>
          <w:r>
            <w:fldChar w:fldCharType="separate"/>
          </w:r>
          <w:hyperlink w:anchor="_Toc165108621" w:history="1">
            <w:r w:rsidR="00A47A5B" w:rsidRPr="00AE4454">
              <w:rPr>
                <w:rStyle w:val="Hyperlink"/>
                <w:b/>
                <w:bCs/>
                <w:noProof/>
              </w:rPr>
              <w:t>Acknowledgements</w:t>
            </w:r>
            <w:r w:rsidR="00A47A5B">
              <w:rPr>
                <w:noProof/>
                <w:webHidden/>
              </w:rPr>
              <w:tab/>
            </w:r>
            <w:r w:rsidR="00A47A5B">
              <w:rPr>
                <w:noProof/>
                <w:webHidden/>
              </w:rPr>
              <w:fldChar w:fldCharType="begin"/>
            </w:r>
            <w:r w:rsidR="00A47A5B">
              <w:rPr>
                <w:noProof/>
                <w:webHidden/>
              </w:rPr>
              <w:instrText xml:space="preserve"> PAGEREF _Toc165108621 \h </w:instrText>
            </w:r>
            <w:r w:rsidR="00A47A5B">
              <w:rPr>
                <w:noProof/>
                <w:webHidden/>
              </w:rPr>
            </w:r>
            <w:r w:rsidR="00A47A5B">
              <w:rPr>
                <w:noProof/>
                <w:webHidden/>
              </w:rPr>
              <w:fldChar w:fldCharType="separate"/>
            </w:r>
            <w:r w:rsidR="005F3255">
              <w:rPr>
                <w:noProof/>
                <w:webHidden/>
              </w:rPr>
              <w:t>8</w:t>
            </w:r>
            <w:r w:rsidR="00A47A5B">
              <w:rPr>
                <w:noProof/>
                <w:webHidden/>
              </w:rPr>
              <w:fldChar w:fldCharType="end"/>
            </w:r>
          </w:hyperlink>
        </w:p>
        <w:p w14:paraId="1506A71A" w14:textId="625DD3E3"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22" w:history="1">
            <w:r w:rsidRPr="00AE4454">
              <w:rPr>
                <w:rStyle w:val="Hyperlink"/>
                <w:noProof/>
              </w:rPr>
              <w:t>INTRODUCTION</w:t>
            </w:r>
            <w:r>
              <w:rPr>
                <w:noProof/>
                <w:webHidden/>
              </w:rPr>
              <w:tab/>
            </w:r>
            <w:r>
              <w:rPr>
                <w:noProof/>
                <w:webHidden/>
              </w:rPr>
              <w:fldChar w:fldCharType="begin"/>
            </w:r>
            <w:r>
              <w:rPr>
                <w:noProof/>
                <w:webHidden/>
              </w:rPr>
              <w:instrText xml:space="preserve"> PAGEREF _Toc165108622 \h </w:instrText>
            </w:r>
            <w:r>
              <w:rPr>
                <w:noProof/>
                <w:webHidden/>
              </w:rPr>
            </w:r>
            <w:r>
              <w:rPr>
                <w:noProof/>
                <w:webHidden/>
              </w:rPr>
              <w:fldChar w:fldCharType="separate"/>
            </w:r>
            <w:r w:rsidR="005F3255">
              <w:rPr>
                <w:noProof/>
                <w:webHidden/>
              </w:rPr>
              <w:t>10</w:t>
            </w:r>
            <w:r>
              <w:rPr>
                <w:noProof/>
                <w:webHidden/>
              </w:rPr>
              <w:fldChar w:fldCharType="end"/>
            </w:r>
          </w:hyperlink>
        </w:p>
        <w:p w14:paraId="3B453A7B" w14:textId="3A0354B9"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23" w:history="1">
            <w:r w:rsidRPr="00AE4454">
              <w:rPr>
                <w:rStyle w:val="Hyperlink"/>
                <w:b/>
                <w:bCs/>
                <w:noProof/>
              </w:rPr>
              <w:t>Historiographical context</w:t>
            </w:r>
            <w:r>
              <w:rPr>
                <w:noProof/>
                <w:webHidden/>
              </w:rPr>
              <w:tab/>
            </w:r>
            <w:r>
              <w:rPr>
                <w:noProof/>
                <w:webHidden/>
              </w:rPr>
              <w:fldChar w:fldCharType="begin"/>
            </w:r>
            <w:r>
              <w:rPr>
                <w:noProof/>
                <w:webHidden/>
              </w:rPr>
              <w:instrText xml:space="preserve"> PAGEREF _Toc165108623 \h </w:instrText>
            </w:r>
            <w:r>
              <w:rPr>
                <w:noProof/>
                <w:webHidden/>
              </w:rPr>
            </w:r>
            <w:r>
              <w:rPr>
                <w:noProof/>
                <w:webHidden/>
              </w:rPr>
              <w:fldChar w:fldCharType="separate"/>
            </w:r>
            <w:r w:rsidR="005F3255">
              <w:rPr>
                <w:noProof/>
                <w:webHidden/>
              </w:rPr>
              <w:t>10</w:t>
            </w:r>
            <w:r>
              <w:rPr>
                <w:noProof/>
                <w:webHidden/>
              </w:rPr>
              <w:fldChar w:fldCharType="end"/>
            </w:r>
          </w:hyperlink>
        </w:p>
        <w:p w14:paraId="69E156B3" w14:textId="2ED4D145"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24" w:history="1">
            <w:r w:rsidRPr="00AE4454">
              <w:rPr>
                <w:rStyle w:val="Hyperlink"/>
                <w:b/>
                <w:bCs/>
                <w:noProof/>
              </w:rPr>
              <w:t>Methodology</w:t>
            </w:r>
            <w:r>
              <w:rPr>
                <w:noProof/>
                <w:webHidden/>
              </w:rPr>
              <w:tab/>
            </w:r>
            <w:r>
              <w:rPr>
                <w:noProof/>
                <w:webHidden/>
              </w:rPr>
              <w:fldChar w:fldCharType="begin"/>
            </w:r>
            <w:r>
              <w:rPr>
                <w:noProof/>
                <w:webHidden/>
              </w:rPr>
              <w:instrText xml:space="preserve"> PAGEREF _Toc165108624 \h </w:instrText>
            </w:r>
            <w:r>
              <w:rPr>
                <w:noProof/>
                <w:webHidden/>
              </w:rPr>
            </w:r>
            <w:r>
              <w:rPr>
                <w:noProof/>
                <w:webHidden/>
              </w:rPr>
              <w:fldChar w:fldCharType="separate"/>
            </w:r>
            <w:r w:rsidR="005F3255">
              <w:rPr>
                <w:noProof/>
                <w:webHidden/>
              </w:rPr>
              <w:t>17</w:t>
            </w:r>
            <w:r>
              <w:rPr>
                <w:noProof/>
                <w:webHidden/>
              </w:rPr>
              <w:fldChar w:fldCharType="end"/>
            </w:r>
          </w:hyperlink>
        </w:p>
        <w:p w14:paraId="04C7FEF3" w14:textId="0F58E079"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25" w:history="1">
            <w:r w:rsidRPr="00AE4454">
              <w:rPr>
                <w:rStyle w:val="Hyperlink"/>
                <w:b/>
                <w:bCs/>
                <w:noProof/>
              </w:rPr>
              <w:t>Organisation of the thesis</w:t>
            </w:r>
            <w:r>
              <w:rPr>
                <w:noProof/>
                <w:webHidden/>
              </w:rPr>
              <w:tab/>
            </w:r>
            <w:r>
              <w:rPr>
                <w:noProof/>
                <w:webHidden/>
              </w:rPr>
              <w:fldChar w:fldCharType="begin"/>
            </w:r>
            <w:r>
              <w:rPr>
                <w:noProof/>
                <w:webHidden/>
              </w:rPr>
              <w:instrText xml:space="preserve"> PAGEREF _Toc165108625 \h </w:instrText>
            </w:r>
            <w:r>
              <w:rPr>
                <w:noProof/>
                <w:webHidden/>
              </w:rPr>
            </w:r>
            <w:r>
              <w:rPr>
                <w:noProof/>
                <w:webHidden/>
              </w:rPr>
              <w:fldChar w:fldCharType="separate"/>
            </w:r>
            <w:r w:rsidR="005F3255">
              <w:rPr>
                <w:noProof/>
                <w:webHidden/>
              </w:rPr>
              <w:t>18</w:t>
            </w:r>
            <w:r>
              <w:rPr>
                <w:noProof/>
                <w:webHidden/>
              </w:rPr>
              <w:fldChar w:fldCharType="end"/>
            </w:r>
          </w:hyperlink>
        </w:p>
        <w:p w14:paraId="078C75AA" w14:textId="256C1BE5"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26" w:history="1">
            <w:r w:rsidRPr="00AE4454">
              <w:rPr>
                <w:rStyle w:val="Hyperlink"/>
                <w:noProof/>
              </w:rPr>
              <w:t>I. GEOMANCY IN THE WEST</w:t>
            </w:r>
            <w:r>
              <w:rPr>
                <w:noProof/>
                <w:webHidden/>
              </w:rPr>
              <w:tab/>
            </w:r>
            <w:r>
              <w:rPr>
                <w:noProof/>
                <w:webHidden/>
              </w:rPr>
              <w:fldChar w:fldCharType="begin"/>
            </w:r>
            <w:r>
              <w:rPr>
                <w:noProof/>
                <w:webHidden/>
              </w:rPr>
              <w:instrText xml:space="preserve"> PAGEREF _Toc165108626 \h </w:instrText>
            </w:r>
            <w:r>
              <w:rPr>
                <w:noProof/>
                <w:webHidden/>
              </w:rPr>
            </w:r>
            <w:r>
              <w:rPr>
                <w:noProof/>
                <w:webHidden/>
              </w:rPr>
              <w:fldChar w:fldCharType="separate"/>
            </w:r>
            <w:r w:rsidR="005F3255">
              <w:rPr>
                <w:noProof/>
                <w:webHidden/>
              </w:rPr>
              <w:t>22</w:t>
            </w:r>
            <w:r>
              <w:rPr>
                <w:noProof/>
                <w:webHidden/>
              </w:rPr>
              <w:fldChar w:fldCharType="end"/>
            </w:r>
          </w:hyperlink>
        </w:p>
        <w:p w14:paraId="328AB5E1" w14:textId="2B31A1BD"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27" w:history="1">
            <w:r w:rsidRPr="00AE4454">
              <w:rPr>
                <w:rStyle w:val="Hyperlink"/>
              </w:rPr>
              <w:t>I.1 THE GEOMANTIC TECHNIQUE</w:t>
            </w:r>
            <w:r>
              <w:rPr>
                <w:webHidden/>
              </w:rPr>
              <w:tab/>
            </w:r>
            <w:r>
              <w:rPr>
                <w:webHidden/>
              </w:rPr>
              <w:fldChar w:fldCharType="begin"/>
            </w:r>
            <w:r>
              <w:rPr>
                <w:webHidden/>
              </w:rPr>
              <w:instrText xml:space="preserve"> PAGEREF _Toc165108627 \h </w:instrText>
            </w:r>
            <w:r>
              <w:rPr>
                <w:webHidden/>
              </w:rPr>
            </w:r>
            <w:r>
              <w:rPr>
                <w:webHidden/>
              </w:rPr>
              <w:fldChar w:fldCharType="separate"/>
            </w:r>
            <w:r w:rsidR="005F3255">
              <w:rPr>
                <w:webHidden/>
              </w:rPr>
              <w:t>25</w:t>
            </w:r>
            <w:r>
              <w:rPr>
                <w:webHidden/>
              </w:rPr>
              <w:fldChar w:fldCharType="end"/>
            </w:r>
          </w:hyperlink>
        </w:p>
        <w:p w14:paraId="0E703848" w14:textId="47BB36D3"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28" w:history="1">
            <w:r w:rsidRPr="00AE4454">
              <w:rPr>
                <w:rStyle w:val="Hyperlink"/>
                <w:b/>
                <w:bCs/>
                <w:noProof/>
              </w:rPr>
              <w:t>The making of the geomantic chart</w:t>
            </w:r>
            <w:r>
              <w:rPr>
                <w:noProof/>
                <w:webHidden/>
              </w:rPr>
              <w:tab/>
            </w:r>
            <w:r>
              <w:rPr>
                <w:noProof/>
                <w:webHidden/>
              </w:rPr>
              <w:fldChar w:fldCharType="begin"/>
            </w:r>
            <w:r>
              <w:rPr>
                <w:noProof/>
                <w:webHidden/>
              </w:rPr>
              <w:instrText xml:space="preserve"> PAGEREF _Toc165108628 \h </w:instrText>
            </w:r>
            <w:r>
              <w:rPr>
                <w:noProof/>
                <w:webHidden/>
              </w:rPr>
            </w:r>
            <w:r>
              <w:rPr>
                <w:noProof/>
                <w:webHidden/>
              </w:rPr>
              <w:fldChar w:fldCharType="separate"/>
            </w:r>
            <w:r w:rsidR="005F3255">
              <w:rPr>
                <w:noProof/>
                <w:webHidden/>
              </w:rPr>
              <w:t>25</w:t>
            </w:r>
            <w:r>
              <w:rPr>
                <w:noProof/>
                <w:webHidden/>
              </w:rPr>
              <w:fldChar w:fldCharType="end"/>
            </w:r>
          </w:hyperlink>
        </w:p>
        <w:p w14:paraId="022BD6D6" w14:textId="3A00C856"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29" w:history="1">
            <w:r w:rsidRPr="00AE4454">
              <w:rPr>
                <w:rStyle w:val="Hyperlink"/>
                <w:b/>
                <w:bCs/>
                <w:noProof/>
              </w:rPr>
              <w:t>The houses</w:t>
            </w:r>
            <w:r>
              <w:rPr>
                <w:noProof/>
                <w:webHidden/>
              </w:rPr>
              <w:tab/>
            </w:r>
            <w:r>
              <w:rPr>
                <w:noProof/>
                <w:webHidden/>
              </w:rPr>
              <w:fldChar w:fldCharType="begin"/>
            </w:r>
            <w:r>
              <w:rPr>
                <w:noProof/>
                <w:webHidden/>
              </w:rPr>
              <w:instrText xml:space="preserve"> PAGEREF _Toc165108629 \h </w:instrText>
            </w:r>
            <w:r>
              <w:rPr>
                <w:noProof/>
                <w:webHidden/>
              </w:rPr>
            </w:r>
            <w:r>
              <w:rPr>
                <w:noProof/>
                <w:webHidden/>
              </w:rPr>
              <w:fldChar w:fldCharType="separate"/>
            </w:r>
            <w:r w:rsidR="005F3255">
              <w:rPr>
                <w:noProof/>
                <w:webHidden/>
              </w:rPr>
              <w:t>28</w:t>
            </w:r>
            <w:r>
              <w:rPr>
                <w:noProof/>
                <w:webHidden/>
              </w:rPr>
              <w:fldChar w:fldCharType="end"/>
            </w:r>
          </w:hyperlink>
        </w:p>
        <w:p w14:paraId="66DD7774" w14:textId="7DFD94EF"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0" w:history="1">
            <w:r w:rsidRPr="00AE4454">
              <w:rPr>
                <w:rStyle w:val="Hyperlink"/>
                <w:b/>
                <w:bCs/>
                <w:noProof/>
              </w:rPr>
              <w:t>The sixteen geomantic figures</w:t>
            </w:r>
            <w:r>
              <w:rPr>
                <w:noProof/>
                <w:webHidden/>
              </w:rPr>
              <w:tab/>
            </w:r>
            <w:r>
              <w:rPr>
                <w:noProof/>
                <w:webHidden/>
              </w:rPr>
              <w:fldChar w:fldCharType="begin"/>
            </w:r>
            <w:r>
              <w:rPr>
                <w:noProof/>
                <w:webHidden/>
              </w:rPr>
              <w:instrText xml:space="preserve"> PAGEREF _Toc165108630 \h </w:instrText>
            </w:r>
            <w:r>
              <w:rPr>
                <w:noProof/>
                <w:webHidden/>
              </w:rPr>
            </w:r>
            <w:r>
              <w:rPr>
                <w:noProof/>
                <w:webHidden/>
              </w:rPr>
              <w:fldChar w:fldCharType="separate"/>
            </w:r>
            <w:r w:rsidR="005F3255">
              <w:rPr>
                <w:noProof/>
                <w:webHidden/>
              </w:rPr>
              <w:t>30</w:t>
            </w:r>
            <w:r>
              <w:rPr>
                <w:noProof/>
                <w:webHidden/>
              </w:rPr>
              <w:fldChar w:fldCharType="end"/>
            </w:r>
          </w:hyperlink>
        </w:p>
        <w:p w14:paraId="593C8152" w14:textId="1EA411F3"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1" w:history="1">
            <w:r w:rsidRPr="00AE4454">
              <w:rPr>
                <w:rStyle w:val="Hyperlink"/>
                <w:b/>
                <w:bCs/>
                <w:noProof/>
              </w:rPr>
              <w:t>The interpretation of the geomantic chart</w:t>
            </w:r>
            <w:r>
              <w:rPr>
                <w:noProof/>
                <w:webHidden/>
              </w:rPr>
              <w:tab/>
            </w:r>
            <w:r>
              <w:rPr>
                <w:noProof/>
                <w:webHidden/>
              </w:rPr>
              <w:fldChar w:fldCharType="begin"/>
            </w:r>
            <w:r>
              <w:rPr>
                <w:noProof/>
                <w:webHidden/>
              </w:rPr>
              <w:instrText xml:space="preserve"> PAGEREF _Toc165108631 \h </w:instrText>
            </w:r>
            <w:r>
              <w:rPr>
                <w:noProof/>
                <w:webHidden/>
              </w:rPr>
            </w:r>
            <w:r>
              <w:rPr>
                <w:noProof/>
                <w:webHidden/>
              </w:rPr>
              <w:fldChar w:fldCharType="separate"/>
            </w:r>
            <w:r w:rsidR="005F3255">
              <w:rPr>
                <w:noProof/>
                <w:webHidden/>
              </w:rPr>
              <w:t>34</w:t>
            </w:r>
            <w:r>
              <w:rPr>
                <w:noProof/>
                <w:webHidden/>
              </w:rPr>
              <w:fldChar w:fldCharType="end"/>
            </w:r>
          </w:hyperlink>
        </w:p>
        <w:p w14:paraId="013A1204" w14:textId="036EBA2F"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32" w:history="1">
            <w:r w:rsidRPr="00AE4454">
              <w:rPr>
                <w:rStyle w:val="Hyperlink"/>
              </w:rPr>
              <w:t>I.2 GEOMANCY IN TRANSLATION</w:t>
            </w:r>
            <w:r>
              <w:rPr>
                <w:webHidden/>
              </w:rPr>
              <w:tab/>
            </w:r>
            <w:r>
              <w:rPr>
                <w:webHidden/>
              </w:rPr>
              <w:fldChar w:fldCharType="begin"/>
            </w:r>
            <w:r>
              <w:rPr>
                <w:webHidden/>
              </w:rPr>
              <w:instrText xml:space="preserve"> PAGEREF _Toc165108632 \h </w:instrText>
            </w:r>
            <w:r>
              <w:rPr>
                <w:webHidden/>
              </w:rPr>
            </w:r>
            <w:r>
              <w:rPr>
                <w:webHidden/>
              </w:rPr>
              <w:fldChar w:fldCharType="separate"/>
            </w:r>
            <w:r w:rsidR="005F3255">
              <w:rPr>
                <w:webHidden/>
              </w:rPr>
              <w:t>37</w:t>
            </w:r>
            <w:r>
              <w:rPr>
                <w:webHidden/>
              </w:rPr>
              <w:fldChar w:fldCharType="end"/>
            </w:r>
          </w:hyperlink>
        </w:p>
        <w:p w14:paraId="2BD1D428" w14:textId="4F6B91EE"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3" w:history="1">
            <w:r w:rsidRPr="00AE4454">
              <w:rPr>
                <w:rStyle w:val="Hyperlink"/>
                <w:b/>
                <w:bCs/>
                <w:noProof/>
              </w:rPr>
              <w:t>Geomancy in the twelfth-century Renaissance</w:t>
            </w:r>
            <w:r>
              <w:rPr>
                <w:noProof/>
                <w:webHidden/>
              </w:rPr>
              <w:tab/>
            </w:r>
            <w:r>
              <w:rPr>
                <w:noProof/>
                <w:webHidden/>
              </w:rPr>
              <w:fldChar w:fldCharType="begin"/>
            </w:r>
            <w:r>
              <w:rPr>
                <w:noProof/>
                <w:webHidden/>
              </w:rPr>
              <w:instrText xml:space="preserve"> PAGEREF _Toc165108633 \h </w:instrText>
            </w:r>
            <w:r>
              <w:rPr>
                <w:noProof/>
                <w:webHidden/>
              </w:rPr>
            </w:r>
            <w:r>
              <w:rPr>
                <w:noProof/>
                <w:webHidden/>
              </w:rPr>
              <w:fldChar w:fldCharType="separate"/>
            </w:r>
            <w:r w:rsidR="005F3255">
              <w:rPr>
                <w:noProof/>
                <w:webHidden/>
              </w:rPr>
              <w:t>37</w:t>
            </w:r>
            <w:r>
              <w:rPr>
                <w:noProof/>
                <w:webHidden/>
              </w:rPr>
              <w:fldChar w:fldCharType="end"/>
            </w:r>
          </w:hyperlink>
        </w:p>
        <w:p w14:paraId="2BC4DEEC" w14:textId="25C8E942"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4" w:history="1">
            <w:r w:rsidRPr="00AE4454">
              <w:rPr>
                <w:rStyle w:val="Hyperlink"/>
                <w:b/>
                <w:bCs/>
                <w:noProof/>
              </w:rPr>
              <w:t>Translations and translators of geomantic works</w:t>
            </w:r>
            <w:r>
              <w:rPr>
                <w:noProof/>
                <w:webHidden/>
              </w:rPr>
              <w:tab/>
            </w:r>
            <w:r>
              <w:rPr>
                <w:noProof/>
                <w:webHidden/>
              </w:rPr>
              <w:fldChar w:fldCharType="begin"/>
            </w:r>
            <w:r>
              <w:rPr>
                <w:noProof/>
                <w:webHidden/>
              </w:rPr>
              <w:instrText xml:space="preserve"> PAGEREF _Toc165108634 \h </w:instrText>
            </w:r>
            <w:r>
              <w:rPr>
                <w:noProof/>
                <w:webHidden/>
              </w:rPr>
            </w:r>
            <w:r>
              <w:rPr>
                <w:noProof/>
                <w:webHidden/>
              </w:rPr>
              <w:fldChar w:fldCharType="separate"/>
            </w:r>
            <w:r w:rsidR="005F3255">
              <w:rPr>
                <w:noProof/>
                <w:webHidden/>
              </w:rPr>
              <w:t>43</w:t>
            </w:r>
            <w:r>
              <w:rPr>
                <w:noProof/>
                <w:webHidden/>
              </w:rPr>
              <w:fldChar w:fldCharType="end"/>
            </w:r>
          </w:hyperlink>
        </w:p>
        <w:p w14:paraId="3AA8C14A" w14:textId="00B0D7B2"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35" w:history="1">
            <w:r w:rsidRPr="00AE4454">
              <w:rPr>
                <w:rStyle w:val="Hyperlink"/>
              </w:rPr>
              <w:t>I.3 THE DIFFUSION OF GEOMANCY IN EUROPE</w:t>
            </w:r>
            <w:r>
              <w:rPr>
                <w:webHidden/>
              </w:rPr>
              <w:tab/>
            </w:r>
            <w:r>
              <w:rPr>
                <w:webHidden/>
              </w:rPr>
              <w:fldChar w:fldCharType="begin"/>
            </w:r>
            <w:r>
              <w:rPr>
                <w:webHidden/>
              </w:rPr>
              <w:instrText xml:space="preserve"> PAGEREF _Toc165108635 \h </w:instrText>
            </w:r>
            <w:r>
              <w:rPr>
                <w:webHidden/>
              </w:rPr>
            </w:r>
            <w:r>
              <w:rPr>
                <w:webHidden/>
              </w:rPr>
              <w:fldChar w:fldCharType="separate"/>
            </w:r>
            <w:r w:rsidR="005F3255">
              <w:rPr>
                <w:webHidden/>
              </w:rPr>
              <w:t>48</w:t>
            </w:r>
            <w:r>
              <w:rPr>
                <w:webHidden/>
              </w:rPr>
              <w:fldChar w:fldCharType="end"/>
            </w:r>
          </w:hyperlink>
        </w:p>
        <w:p w14:paraId="770C02E4" w14:textId="6809D3BA"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6" w:history="1">
            <w:r w:rsidRPr="00AE4454">
              <w:rPr>
                <w:rStyle w:val="Hyperlink"/>
                <w:b/>
                <w:bCs/>
                <w:noProof/>
              </w:rPr>
              <w:t>Authors and practitioners</w:t>
            </w:r>
            <w:r>
              <w:rPr>
                <w:noProof/>
                <w:webHidden/>
              </w:rPr>
              <w:tab/>
            </w:r>
            <w:r>
              <w:rPr>
                <w:noProof/>
                <w:webHidden/>
              </w:rPr>
              <w:fldChar w:fldCharType="begin"/>
            </w:r>
            <w:r>
              <w:rPr>
                <w:noProof/>
                <w:webHidden/>
              </w:rPr>
              <w:instrText xml:space="preserve"> PAGEREF _Toc165108636 \h </w:instrText>
            </w:r>
            <w:r>
              <w:rPr>
                <w:noProof/>
                <w:webHidden/>
              </w:rPr>
            </w:r>
            <w:r>
              <w:rPr>
                <w:noProof/>
                <w:webHidden/>
              </w:rPr>
              <w:fldChar w:fldCharType="separate"/>
            </w:r>
            <w:r w:rsidR="005F3255">
              <w:rPr>
                <w:noProof/>
                <w:webHidden/>
              </w:rPr>
              <w:t>48</w:t>
            </w:r>
            <w:r>
              <w:rPr>
                <w:noProof/>
                <w:webHidden/>
              </w:rPr>
              <w:fldChar w:fldCharType="end"/>
            </w:r>
          </w:hyperlink>
        </w:p>
        <w:p w14:paraId="22D7E69B" w14:textId="5F89BFA4"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7" w:history="1">
            <w:r w:rsidRPr="00AE4454">
              <w:rPr>
                <w:rStyle w:val="Hyperlink"/>
                <w:b/>
                <w:bCs/>
                <w:noProof/>
              </w:rPr>
              <w:t>Geomancy discussed by thirteenth-century intellectual elites</w:t>
            </w:r>
            <w:r>
              <w:rPr>
                <w:noProof/>
                <w:webHidden/>
              </w:rPr>
              <w:tab/>
            </w:r>
            <w:r>
              <w:rPr>
                <w:noProof/>
                <w:webHidden/>
              </w:rPr>
              <w:fldChar w:fldCharType="begin"/>
            </w:r>
            <w:r>
              <w:rPr>
                <w:noProof/>
                <w:webHidden/>
              </w:rPr>
              <w:instrText xml:space="preserve"> PAGEREF _Toc165108637 \h </w:instrText>
            </w:r>
            <w:r>
              <w:rPr>
                <w:noProof/>
                <w:webHidden/>
              </w:rPr>
            </w:r>
            <w:r>
              <w:rPr>
                <w:noProof/>
                <w:webHidden/>
              </w:rPr>
              <w:fldChar w:fldCharType="separate"/>
            </w:r>
            <w:r w:rsidR="005F3255">
              <w:rPr>
                <w:noProof/>
                <w:webHidden/>
              </w:rPr>
              <w:t>52</w:t>
            </w:r>
            <w:r>
              <w:rPr>
                <w:noProof/>
                <w:webHidden/>
              </w:rPr>
              <w:fldChar w:fldCharType="end"/>
            </w:r>
          </w:hyperlink>
        </w:p>
        <w:p w14:paraId="4FB692DD" w14:textId="20504D6F"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38" w:history="1">
            <w:r w:rsidRPr="00AE4454">
              <w:rPr>
                <w:rStyle w:val="Hyperlink"/>
                <w:b/>
                <w:bCs/>
                <w:noProof/>
              </w:rPr>
              <w:t>Geomancy in literature</w:t>
            </w:r>
            <w:r>
              <w:rPr>
                <w:noProof/>
                <w:webHidden/>
              </w:rPr>
              <w:tab/>
            </w:r>
            <w:r>
              <w:rPr>
                <w:noProof/>
                <w:webHidden/>
              </w:rPr>
              <w:fldChar w:fldCharType="begin"/>
            </w:r>
            <w:r>
              <w:rPr>
                <w:noProof/>
                <w:webHidden/>
              </w:rPr>
              <w:instrText xml:space="preserve"> PAGEREF _Toc165108638 \h </w:instrText>
            </w:r>
            <w:r>
              <w:rPr>
                <w:noProof/>
                <w:webHidden/>
              </w:rPr>
            </w:r>
            <w:r>
              <w:rPr>
                <w:noProof/>
                <w:webHidden/>
              </w:rPr>
              <w:fldChar w:fldCharType="separate"/>
            </w:r>
            <w:r w:rsidR="005F3255">
              <w:rPr>
                <w:noProof/>
                <w:webHidden/>
              </w:rPr>
              <w:t>59</w:t>
            </w:r>
            <w:r>
              <w:rPr>
                <w:noProof/>
                <w:webHidden/>
              </w:rPr>
              <w:fldChar w:fldCharType="end"/>
            </w:r>
          </w:hyperlink>
        </w:p>
        <w:p w14:paraId="2A2CF7DC" w14:textId="270FB030"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39" w:history="1">
            <w:r w:rsidRPr="00AE4454">
              <w:rPr>
                <w:rStyle w:val="Hyperlink"/>
              </w:rPr>
              <w:t>I.4 GEOMANCY CONDEMNED</w:t>
            </w:r>
            <w:r>
              <w:rPr>
                <w:webHidden/>
              </w:rPr>
              <w:tab/>
            </w:r>
            <w:r>
              <w:rPr>
                <w:webHidden/>
              </w:rPr>
              <w:fldChar w:fldCharType="begin"/>
            </w:r>
            <w:r>
              <w:rPr>
                <w:webHidden/>
              </w:rPr>
              <w:instrText xml:space="preserve"> PAGEREF _Toc165108639 \h </w:instrText>
            </w:r>
            <w:r>
              <w:rPr>
                <w:webHidden/>
              </w:rPr>
            </w:r>
            <w:r>
              <w:rPr>
                <w:webHidden/>
              </w:rPr>
              <w:fldChar w:fldCharType="separate"/>
            </w:r>
            <w:r w:rsidR="005F3255">
              <w:rPr>
                <w:webHidden/>
              </w:rPr>
              <w:t>63</w:t>
            </w:r>
            <w:r>
              <w:rPr>
                <w:webHidden/>
              </w:rPr>
              <w:fldChar w:fldCharType="end"/>
            </w:r>
          </w:hyperlink>
        </w:p>
        <w:p w14:paraId="1A2D8904" w14:textId="6ACD9DA5"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40" w:history="1">
            <w:r w:rsidRPr="00AE4454">
              <w:rPr>
                <w:rStyle w:val="Hyperlink"/>
                <w:noProof/>
              </w:rPr>
              <w:t>II. THE BOOK OF THE SCIENCE OF THE SAND</w:t>
            </w:r>
            <w:r>
              <w:rPr>
                <w:noProof/>
                <w:webHidden/>
              </w:rPr>
              <w:tab/>
            </w:r>
            <w:r>
              <w:rPr>
                <w:noProof/>
                <w:webHidden/>
              </w:rPr>
              <w:fldChar w:fldCharType="begin"/>
            </w:r>
            <w:r>
              <w:rPr>
                <w:noProof/>
                <w:webHidden/>
              </w:rPr>
              <w:instrText xml:space="preserve"> PAGEREF _Toc165108640 \h </w:instrText>
            </w:r>
            <w:r>
              <w:rPr>
                <w:noProof/>
                <w:webHidden/>
              </w:rPr>
            </w:r>
            <w:r>
              <w:rPr>
                <w:noProof/>
                <w:webHidden/>
              </w:rPr>
              <w:fldChar w:fldCharType="separate"/>
            </w:r>
            <w:r w:rsidR="005F3255">
              <w:rPr>
                <w:noProof/>
                <w:webHidden/>
              </w:rPr>
              <w:t>72</w:t>
            </w:r>
            <w:r>
              <w:rPr>
                <w:noProof/>
                <w:webHidden/>
              </w:rPr>
              <w:fldChar w:fldCharType="end"/>
            </w:r>
          </w:hyperlink>
        </w:p>
        <w:p w14:paraId="5FEE2CFA" w14:textId="29EEEBCA"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41" w:history="1">
            <w:r w:rsidRPr="00AE4454">
              <w:rPr>
                <w:rStyle w:val="Hyperlink"/>
              </w:rPr>
              <w:t xml:space="preserve">II.1 </w:t>
            </w:r>
            <w:r w:rsidRPr="00AE4454">
              <w:rPr>
                <w:rStyle w:val="Hyperlink"/>
                <w:i/>
                <w:iCs/>
              </w:rPr>
              <w:t>LIBER ARENALIS SCIENTIAE</w:t>
            </w:r>
            <w:r w:rsidRPr="00AE4454">
              <w:rPr>
                <w:rStyle w:val="Hyperlink"/>
              </w:rPr>
              <w:t>: TRANSLATION OR COMPILATION?</w:t>
            </w:r>
            <w:r>
              <w:rPr>
                <w:webHidden/>
              </w:rPr>
              <w:tab/>
            </w:r>
            <w:r>
              <w:rPr>
                <w:webHidden/>
              </w:rPr>
              <w:fldChar w:fldCharType="begin"/>
            </w:r>
            <w:r>
              <w:rPr>
                <w:webHidden/>
              </w:rPr>
              <w:instrText xml:space="preserve"> PAGEREF _Toc165108641 \h </w:instrText>
            </w:r>
            <w:r>
              <w:rPr>
                <w:webHidden/>
              </w:rPr>
            </w:r>
            <w:r>
              <w:rPr>
                <w:webHidden/>
              </w:rPr>
              <w:fldChar w:fldCharType="separate"/>
            </w:r>
            <w:r w:rsidR="005F3255">
              <w:rPr>
                <w:webHidden/>
              </w:rPr>
              <w:t>72</w:t>
            </w:r>
            <w:r>
              <w:rPr>
                <w:webHidden/>
              </w:rPr>
              <w:fldChar w:fldCharType="end"/>
            </w:r>
          </w:hyperlink>
        </w:p>
        <w:p w14:paraId="4F405A72" w14:textId="45DF1D71"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2" w:history="1">
            <w:r w:rsidRPr="00AE4454">
              <w:rPr>
                <w:rStyle w:val="Hyperlink"/>
                <w:b/>
                <w:bCs/>
                <w:noProof/>
              </w:rPr>
              <w:t>The translation</w:t>
            </w:r>
            <w:r>
              <w:rPr>
                <w:noProof/>
                <w:webHidden/>
              </w:rPr>
              <w:tab/>
            </w:r>
            <w:r>
              <w:rPr>
                <w:noProof/>
                <w:webHidden/>
              </w:rPr>
              <w:fldChar w:fldCharType="begin"/>
            </w:r>
            <w:r>
              <w:rPr>
                <w:noProof/>
                <w:webHidden/>
              </w:rPr>
              <w:instrText xml:space="preserve"> PAGEREF _Toc165108642 \h </w:instrText>
            </w:r>
            <w:r>
              <w:rPr>
                <w:noProof/>
                <w:webHidden/>
              </w:rPr>
            </w:r>
            <w:r>
              <w:rPr>
                <w:noProof/>
                <w:webHidden/>
              </w:rPr>
              <w:fldChar w:fldCharType="separate"/>
            </w:r>
            <w:r w:rsidR="005F3255">
              <w:rPr>
                <w:noProof/>
                <w:webHidden/>
              </w:rPr>
              <w:t>76</w:t>
            </w:r>
            <w:r>
              <w:rPr>
                <w:noProof/>
                <w:webHidden/>
              </w:rPr>
              <w:fldChar w:fldCharType="end"/>
            </w:r>
          </w:hyperlink>
        </w:p>
        <w:p w14:paraId="72DAA945" w14:textId="62378D62"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3" w:history="1">
            <w:r w:rsidRPr="00AE4454">
              <w:rPr>
                <w:rStyle w:val="Hyperlink"/>
                <w:b/>
                <w:bCs/>
                <w:noProof/>
              </w:rPr>
              <w:t>The compilation</w:t>
            </w:r>
            <w:r>
              <w:rPr>
                <w:noProof/>
                <w:webHidden/>
              </w:rPr>
              <w:tab/>
            </w:r>
            <w:r>
              <w:rPr>
                <w:noProof/>
                <w:webHidden/>
              </w:rPr>
              <w:fldChar w:fldCharType="begin"/>
            </w:r>
            <w:r>
              <w:rPr>
                <w:noProof/>
                <w:webHidden/>
              </w:rPr>
              <w:instrText xml:space="preserve"> PAGEREF _Toc165108643 \h </w:instrText>
            </w:r>
            <w:r>
              <w:rPr>
                <w:noProof/>
                <w:webHidden/>
              </w:rPr>
            </w:r>
            <w:r>
              <w:rPr>
                <w:noProof/>
                <w:webHidden/>
              </w:rPr>
              <w:fldChar w:fldCharType="separate"/>
            </w:r>
            <w:r w:rsidR="005F3255">
              <w:rPr>
                <w:noProof/>
                <w:webHidden/>
              </w:rPr>
              <w:t>79</w:t>
            </w:r>
            <w:r>
              <w:rPr>
                <w:noProof/>
                <w:webHidden/>
              </w:rPr>
              <w:fldChar w:fldCharType="end"/>
            </w:r>
          </w:hyperlink>
        </w:p>
        <w:p w14:paraId="499C9E72" w14:textId="30824FE2"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44" w:history="1">
            <w:r w:rsidRPr="00AE4454">
              <w:rPr>
                <w:rStyle w:val="Hyperlink"/>
              </w:rPr>
              <w:t>II.2 SUMMARY OF CONTENTS</w:t>
            </w:r>
            <w:r>
              <w:rPr>
                <w:webHidden/>
              </w:rPr>
              <w:tab/>
            </w:r>
            <w:r>
              <w:rPr>
                <w:webHidden/>
              </w:rPr>
              <w:fldChar w:fldCharType="begin"/>
            </w:r>
            <w:r>
              <w:rPr>
                <w:webHidden/>
              </w:rPr>
              <w:instrText xml:space="preserve"> PAGEREF _Toc165108644 \h </w:instrText>
            </w:r>
            <w:r>
              <w:rPr>
                <w:webHidden/>
              </w:rPr>
            </w:r>
            <w:r>
              <w:rPr>
                <w:webHidden/>
              </w:rPr>
              <w:fldChar w:fldCharType="separate"/>
            </w:r>
            <w:r w:rsidR="005F3255">
              <w:rPr>
                <w:webHidden/>
              </w:rPr>
              <w:t>91</w:t>
            </w:r>
            <w:r>
              <w:rPr>
                <w:webHidden/>
              </w:rPr>
              <w:fldChar w:fldCharType="end"/>
            </w:r>
          </w:hyperlink>
        </w:p>
        <w:p w14:paraId="1877684A" w14:textId="345D7361"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5" w:history="1">
            <w:r w:rsidRPr="00AE4454">
              <w:rPr>
                <w:rStyle w:val="Hyperlink"/>
                <w:b/>
                <w:bCs/>
                <w:noProof/>
              </w:rPr>
              <w:t>Incipit and first part</w:t>
            </w:r>
            <w:r>
              <w:rPr>
                <w:noProof/>
                <w:webHidden/>
              </w:rPr>
              <w:tab/>
            </w:r>
            <w:r>
              <w:rPr>
                <w:noProof/>
                <w:webHidden/>
              </w:rPr>
              <w:fldChar w:fldCharType="begin"/>
            </w:r>
            <w:r>
              <w:rPr>
                <w:noProof/>
                <w:webHidden/>
              </w:rPr>
              <w:instrText xml:space="preserve"> PAGEREF _Toc165108645 \h </w:instrText>
            </w:r>
            <w:r>
              <w:rPr>
                <w:noProof/>
                <w:webHidden/>
              </w:rPr>
            </w:r>
            <w:r>
              <w:rPr>
                <w:noProof/>
                <w:webHidden/>
              </w:rPr>
              <w:fldChar w:fldCharType="separate"/>
            </w:r>
            <w:r w:rsidR="005F3255">
              <w:rPr>
                <w:noProof/>
                <w:webHidden/>
              </w:rPr>
              <w:t>92</w:t>
            </w:r>
            <w:r>
              <w:rPr>
                <w:noProof/>
                <w:webHidden/>
              </w:rPr>
              <w:fldChar w:fldCharType="end"/>
            </w:r>
          </w:hyperlink>
        </w:p>
        <w:p w14:paraId="37E88F70" w14:textId="30E2AF54"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6" w:history="1">
            <w:r w:rsidRPr="00AE4454">
              <w:rPr>
                <w:rStyle w:val="Hyperlink"/>
                <w:b/>
                <w:bCs/>
                <w:noProof/>
              </w:rPr>
              <w:t>Chapter 1. Here begin the meanings of the thoughts of the querent, according to the properties of the figures</w:t>
            </w:r>
            <w:r>
              <w:rPr>
                <w:noProof/>
                <w:webHidden/>
              </w:rPr>
              <w:tab/>
            </w:r>
            <w:r>
              <w:rPr>
                <w:noProof/>
                <w:webHidden/>
              </w:rPr>
              <w:fldChar w:fldCharType="begin"/>
            </w:r>
            <w:r>
              <w:rPr>
                <w:noProof/>
                <w:webHidden/>
              </w:rPr>
              <w:instrText xml:space="preserve"> PAGEREF _Toc165108646 \h </w:instrText>
            </w:r>
            <w:r>
              <w:rPr>
                <w:noProof/>
                <w:webHidden/>
              </w:rPr>
            </w:r>
            <w:r>
              <w:rPr>
                <w:noProof/>
                <w:webHidden/>
              </w:rPr>
              <w:fldChar w:fldCharType="separate"/>
            </w:r>
            <w:r w:rsidR="005F3255">
              <w:rPr>
                <w:noProof/>
                <w:webHidden/>
              </w:rPr>
              <w:t>96</w:t>
            </w:r>
            <w:r>
              <w:rPr>
                <w:noProof/>
                <w:webHidden/>
              </w:rPr>
              <w:fldChar w:fldCharType="end"/>
            </w:r>
          </w:hyperlink>
        </w:p>
        <w:p w14:paraId="6FD38A23" w14:textId="14ECA51E"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7" w:history="1">
            <w:r w:rsidRPr="00AE4454">
              <w:rPr>
                <w:rStyle w:val="Hyperlink"/>
                <w:b/>
                <w:bCs/>
                <w:noProof/>
              </w:rPr>
              <w:t>Chapter 2. On the judgement in which the sixteenth figures is always to be found</w:t>
            </w:r>
            <w:r>
              <w:rPr>
                <w:noProof/>
                <w:webHidden/>
              </w:rPr>
              <w:tab/>
            </w:r>
            <w:r>
              <w:rPr>
                <w:noProof/>
                <w:webHidden/>
              </w:rPr>
              <w:fldChar w:fldCharType="begin"/>
            </w:r>
            <w:r>
              <w:rPr>
                <w:noProof/>
                <w:webHidden/>
              </w:rPr>
              <w:instrText xml:space="preserve"> PAGEREF _Toc165108647 \h </w:instrText>
            </w:r>
            <w:r>
              <w:rPr>
                <w:noProof/>
                <w:webHidden/>
              </w:rPr>
            </w:r>
            <w:r>
              <w:rPr>
                <w:noProof/>
                <w:webHidden/>
              </w:rPr>
              <w:fldChar w:fldCharType="separate"/>
            </w:r>
            <w:r w:rsidR="005F3255">
              <w:rPr>
                <w:noProof/>
                <w:webHidden/>
              </w:rPr>
              <w:t>97</w:t>
            </w:r>
            <w:r>
              <w:rPr>
                <w:noProof/>
                <w:webHidden/>
              </w:rPr>
              <w:fldChar w:fldCharType="end"/>
            </w:r>
          </w:hyperlink>
        </w:p>
        <w:p w14:paraId="21674160" w14:textId="0B4FC8DE"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8" w:history="1">
            <w:r w:rsidRPr="00AE4454">
              <w:rPr>
                <w:rStyle w:val="Hyperlink"/>
                <w:b/>
                <w:bCs/>
                <w:noProof/>
              </w:rPr>
              <w:t>Chapter 3. On the manner of discovery of the intention of the questions</w:t>
            </w:r>
            <w:r>
              <w:rPr>
                <w:noProof/>
                <w:webHidden/>
              </w:rPr>
              <w:tab/>
            </w:r>
            <w:r>
              <w:rPr>
                <w:noProof/>
                <w:webHidden/>
              </w:rPr>
              <w:fldChar w:fldCharType="begin"/>
            </w:r>
            <w:r>
              <w:rPr>
                <w:noProof/>
                <w:webHidden/>
              </w:rPr>
              <w:instrText xml:space="preserve"> PAGEREF _Toc165108648 \h </w:instrText>
            </w:r>
            <w:r>
              <w:rPr>
                <w:noProof/>
                <w:webHidden/>
              </w:rPr>
            </w:r>
            <w:r>
              <w:rPr>
                <w:noProof/>
                <w:webHidden/>
              </w:rPr>
              <w:fldChar w:fldCharType="separate"/>
            </w:r>
            <w:r w:rsidR="005F3255">
              <w:rPr>
                <w:noProof/>
                <w:webHidden/>
              </w:rPr>
              <w:t>98</w:t>
            </w:r>
            <w:r>
              <w:rPr>
                <w:noProof/>
                <w:webHidden/>
              </w:rPr>
              <w:fldChar w:fldCharType="end"/>
            </w:r>
          </w:hyperlink>
        </w:p>
        <w:p w14:paraId="1143BFA4" w14:textId="2E834584"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49" w:history="1">
            <w:r w:rsidRPr="00AE4454">
              <w:rPr>
                <w:rStyle w:val="Hyperlink"/>
                <w:b/>
                <w:bCs/>
                <w:noProof/>
              </w:rPr>
              <w:t>Chapter 4. On the general method of investigating the intention</w:t>
            </w:r>
            <w:r>
              <w:rPr>
                <w:noProof/>
                <w:webHidden/>
              </w:rPr>
              <w:tab/>
            </w:r>
            <w:r>
              <w:rPr>
                <w:noProof/>
                <w:webHidden/>
              </w:rPr>
              <w:fldChar w:fldCharType="begin"/>
            </w:r>
            <w:r>
              <w:rPr>
                <w:noProof/>
                <w:webHidden/>
              </w:rPr>
              <w:instrText xml:space="preserve"> PAGEREF _Toc165108649 \h </w:instrText>
            </w:r>
            <w:r>
              <w:rPr>
                <w:noProof/>
                <w:webHidden/>
              </w:rPr>
            </w:r>
            <w:r>
              <w:rPr>
                <w:noProof/>
                <w:webHidden/>
              </w:rPr>
              <w:fldChar w:fldCharType="separate"/>
            </w:r>
            <w:r w:rsidR="005F3255">
              <w:rPr>
                <w:noProof/>
                <w:webHidden/>
              </w:rPr>
              <w:t>100</w:t>
            </w:r>
            <w:r>
              <w:rPr>
                <w:noProof/>
                <w:webHidden/>
              </w:rPr>
              <w:fldChar w:fldCharType="end"/>
            </w:r>
          </w:hyperlink>
        </w:p>
        <w:p w14:paraId="6F1BC028" w14:textId="51CC64F2"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50" w:history="1">
            <w:r w:rsidRPr="00AE4454">
              <w:rPr>
                <w:rStyle w:val="Hyperlink"/>
                <w:b/>
                <w:bCs/>
                <w:noProof/>
              </w:rPr>
              <w:t>Chapter 5. On the rules of finding the intention according to the astrologer Aephata</w:t>
            </w:r>
            <w:r>
              <w:rPr>
                <w:noProof/>
                <w:webHidden/>
              </w:rPr>
              <w:tab/>
            </w:r>
            <w:r>
              <w:rPr>
                <w:noProof/>
                <w:webHidden/>
              </w:rPr>
              <w:fldChar w:fldCharType="begin"/>
            </w:r>
            <w:r>
              <w:rPr>
                <w:noProof/>
                <w:webHidden/>
              </w:rPr>
              <w:instrText xml:space="preserve"> PAGEREF _Toc165108650 \h </w:instrText>
            </w:r>
            <w:r>
              <w:rPr>
                <w:noProof/>
                <w:webHidden/>
              </w:rPr>
            </w:r>
            <w:r>
              <w:rPr>
                <w:noProof/>
                <w:webHidden/>
              </w:rPr>
              <w:fldChar w:fldCharType="separate"/>
            </w:r>
            <w:r w:rsidR="005F3255">
              <w:rPr>
                <w:noProof/>
                <w:webHidden/>
              </w:rPr>
              <w:t>104</w:t>
            </w:r>
            <w:r>
              <w:rPr>
                <w:noProof/>
                <w:webHidden/>
              </w:rPr>
              <w:fldChar w:fldCharType="end"/>
            </w:r>
          </w:hyperlink>
        </w:p>
        <w:p w14:paraId="16A7A69C" w14:textId="096876C5"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51" w:history="1">
            <w:r w:rsidRPr="00AE4454">
              <w:rPr>
                <w:rStyle w:val="Hyperlink"/>
                <w:noProof/>
              </w:rPr>
              <w:t>III. AS ABOVE SO BELOW: GEOMANCY AND THE STARS</w:t>
            </w:r>
            <w:r>
              <w:rPr>
                <w:noProof/>
                <w:webHidden/>
              </w:rPr>
              <w:tab/>
            </w:r>
            <w:r>
              <w:rPr>
                <w:noProof/>
                <w:webHidden/>
              </w:rPr>
              <w:fldChar w:fldCharType="begin"/>
            </w:r>
            <w:r>
              <w:rPr>
                <w:noProof/>
                <w:webHidden/>
              </w:rPr>
              <w:instrText xml:space="preserve"> PAGEREF _Toc165108651 \h </w:instrText>
            </w:r>
            <w:r>
              <w:rPr>
                <w:noProof/>
                <w:webHidden/>
              </w:rPr>
            </w:r>
            <w:r>
              <w:rPr>
                <w:noProof/>
                <w:webHidden/>
              </w:rPr>
              <w:fldChar w:fldCharType="separate"/>
            </w:r>
            <w:r w:rsidR="005F3255">
              <w:rPr>
                <w:noProof/>
                <w:webHidden/>
              </w:rPr>
              <w:t>109</w:t>
            </w:r>
            <w:r>
              <w:rPr>
                <w:noProof/>
                <w:webHidden/>
              </w:rPr>
              <w:fldChar w:fldCharType="end"/>
            </w:r>
          </w:hyperlink>
        </w:p>
        <w:p w14:paraId="38AF6DB0" w14:textId="22339B18"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52" w:history="1">
            <w:r w:rsidRPr="00AE4454">
              <w:rPr>
                <w:rStyle w:val="Hyperlink"/>
              </w:rPr>
              <w:t>III.1 THE SCIENCE OF THE SAND AND THE SCIENCE OF THE STARS</w:t>
            </w:r>
            <w:r>
              <w:rPr>
                <w:webHidden/>
              </w:rPr>
              <w:tab/>
            </w:r>
            <w:r>
              <w:rPr>
                <w:webHidden/>
              </w:rPr>
              <w:fldChar w:fldCharType="begin"/>
            </w:r>
            <w:r>
              <w:rPr>
                <w:webHidden/>
              </w:rPr>
              <w:instrText xml:space="preserve"> PAGEREF _Toc165108652 \h </w:instrText>
            </w:r>
            <w:r>
              <w:rPr>
                <w:webHidden/>
              </w:rPr>
            </w:r>
            <w:r>
              <w:rPr>
                <w:webHidden/>
              </w:rPr>
              <w:fldChar w:fldCharType="separate"/>
            </w:r>
            <w:r w:rsidR="005F3255">
              <w:rPr>
                <w:webHidden/>
              </w:rPr>
              <w:t>110</w:t>
            </w:r>
            <w:r>
              <w:rPr>
                <w:webHidden/>
              </w:rPr>
              <w:fldChar w:fldCharType="end"/>
            </w:r>
          </w:hyperlink>
        </w:p>
        <w:p w14:paraId="3D0FC990" w14:textId="4AE302B1"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53" w:history="1">
            <w:r w:rsidRPr="00AE4454">
              <w:rPr>
                <w:rStyle w:val="Hyperlink"/>
                <w:b/>
                <w:bCs/>
                <w:noProof/>
              </w:rPr>
              <w:t>Astrology in the late-medieval universe</w:t>
            </w:r>
            <w:r>
              <w:rPr>
                <w:noProof/>
                <w:webHidden/>
              </w:rPr>
              <w:tab/>
            </w:r>
            <w:r>
              <w:rPr>
                <w:noProof/>
                <w:webHidden/>
              </w:rPr>
              <w:fldChar w:fldCharType="begin"/>
            </w:r>
            <w:r>
              <w:rPr>
                <w:noProof/>
                <w:webHidden/>
              </w:rPr>
              <w:instrText xml:space="preserve"> PAGEREF _Toc165108653 \h </w:instrText>
            </w:r>
            <w:r>
              <w:rPr>
                <w:noProof/>
                <w:webHidden/>
              </w:rPr>
            </w:r>
            <w:r>
              <w:rPr>
                <w:noProof/>
                <w:webHidden/>
              </w:rPr>
              <w:fldChar w:fldCharType="separate"/>
            </w:r>
            <w:r w:rsidR="005F3255">
              <w:rPr>
                <w:noProof/>
                <w:webHidden/>
              </w:rPr>
              <w:t>112</w:t>
            </w:r>
            <w:r>
              <w:rPr>
                <w:noProof/>
                <w:webHidden/>
              </w:rPr>
              <w:fldChar w:fldCharType="end"/>
            </w:r>
          </w:hyperlink>
        </w:p>
        <w:p w14:paraId="21B45DE0" w14:textId="31DBFB0A"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54" w:history="1">
            <w:r w:rsidRPr="00AE4454">
              <w:rPr>
                <w:rStyle w:val="Hyperlink"/>
                <w:b/>
                <w:bCs/>
                <w:noProof/>
              </w:rPr>
              <w:t>Terrestrial astrology: the geomancer and the celestial spheres</w:t>
            </w:r>
            <w:r>
              <w:rPr>
                <w:noProof/>
                <w:webHidden/>
              </w:rPr>
              <w:tab/>
            </w:r>
            <w:r>
              <w:rPr>
                <w:noProof/>
                <w:webHidden/>
              </w:rPr>
              <w:fldChar w:fldCharType="begin"/>
            </w:r>
            <w:r>
              <w:rPr>
                <w:noProof/>
                <w:webHidden/>
              </w:rPr>
              <w:instrText xml:space="preserve"> PAGEREF _Toc165108654 \h </w:instrText>
            </w:r>
            <w:r>
              <w:rPr>
                <w:noProof/>
                <w:webHidden/>
              </w:rPr>
            </w:r>
            <w:r>
              <w:rPr>
                <w:noProof/>
                <w:webHidden/>
              </w:rPr>
              <w:fldChar w:fldCharType="separate"/>
            </w:r>
            <w:r w:rsidR="005F3255">
              <w:rPr>
                <w:noProof/>
                <w:webHidden/>
              </w:rPr>
              <w:t>118</w:t>
            </w:r>
            <w:r>
              <w:rPr>
                <w:noProof/>
                <w:webHidden/>
              </w:rPr>
              <w:fldChar w:fldCharType="end"/>
            </w:r>
          </w:hyperlink>
        </w:p>
        <w:p w14:paraId="1F821592" w14:textId="0B66B544"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55" w:history="1">
            <w:r w:rsidRPr="00AE4454">
              <w:rPr>
                <w:rStyle w:val="Hyperlink"/>
              </w:rPr>
              <w:t>III.2 GEOMANTIC FIGURES AND CELESTIAL IMAGES</w:t>
            </w:r>
            <w:r>
              <w:rPr>
                <w:webHidden/>
              </w:rPr>
              <w:tab/>
            </w:r>
            <w:r>
              <w:rPr>
                <w:webHidden/>
              </w:rPr>
              <w:fldChar w:fldCharType="begin"/>
            </w:r>
            <w:r>
              <w:rPr>
                <w:webHidden/>
              </w:rPr>
              <w:instrText xml:space="preserve"> PAGEREF _Toc165108655 \h </w:instrText>
            </w:r>
            <w:r>
              <w:rPr>
                <w:webHidden/>
              </w:rPr>
            </w:r>
            <w:r>
              <w:rPr>
                <w:webHidden/>
              </w:rPr>
              <w:fldChar w:fldCharType="separate"/>
            </w:r>
            <w:r w:rsidR="005F3255">
              <w:rPr>
                <w:webHidden/>
              </w:rPr>
              <w:t>121</w:t>
            </w:r>
            <w:r>
              <w:rPr>
                <w:webHidden/>
              </w:rPr>
              <w:fldChar w:fldCharType="end"/>
            </w:r>
          </w:hyperlink>
        </w:p>
        <w:p w14:paraId="5C82488C" w14:textId="163902AF"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56" w:history="1">
            <w:r w:rsidRPr="00AE4454">
              <w:rPr>
                <w:rStyle w:val="Hyperlink"/>
                <w:b/>
                <w:bCs/>
                <w:noProof/>
              </w:rPr>
              <w:t>Geomantic figures and lunar asterism</w:t>
            </w:r>
            <w:r>
              <w:rPr>
                <w:noProof/>
                <w:webHidden/>
              </w:rPr>
              <w:tab/>
            </w:r>
            <w:r>
              <w:rPr>
                <w:noProof/>
                <w:webHidden/>
              </w:rPr>
              <w:fldChar w:fldCharType="begin"/>
            </w:r>
            <w:r>
              <w:rPr>
                <w:noProof/>
                <w:webHidden/>
              </w:rPr>
              <w:instrText xml:space="preserve"> PAGEREF _Toc165108656 \h </w:instrText>
            </w:r>
            <w:r>
              <w:rPr>
                <w:noProof/>
                <w:webHidden/>
              </w:rPr>
            </w:r>
            <w:r>
              <w:rPr>
                <w:noProof/>
                <w:webHidden/>
              </w:rPr>
              <w:fldChar w:fldCharType="separate"/>
            </w:r>
            <w:r w:rsidR="005F3255">
              <w:rPr>
                <w:noProof/>
                <w:webHidden/>
              </w:rPr>
              <w:t>122</w:t>
            </w:r>
            <w:r>
              <w:rPr>
                <w:noProof/>
                <w:webHidden/>
              </w:rPr>
              <w:fldChar w:fldCharType="end"/>
            </w:r>
          </w:hyperlink>
        </w:p>
        <w:p w14:paraId="0D25F9C8" w14:textId="3394287A"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57" w:history="1">
            <w:r w:rsidRPr="00AE4454">
              <w:rPr>
                <w:rStyle w:val="Hyperlink"/>
                <w:noProof/>
              </w:rPr>
              <w:t xml:space="preserve">IV. </w:t>
            </w:r>
            <w:r w:rsidRPr="00AE4454">
              <w:rPr>
                <w:rStyle w:val="Hyperlink"/>
                <w:i/>
                <w:iCs/>
                <w:noProof/>
              </w:rPr>
              <w:t>DE INTENTIONE QUAERENTIS</w:t>
            </w:r>
            <w:r w:rsidRPr="00AE4454">
              <w:rPr>
                <w:rStyle w:val="Hyperlink"/>
                <w:noProof/>
              </w:rPr>
              <w:t>: GEOMANCY AND THE INVESTIGATION OF THE HUMAN SOUL</w:t>
            </w:r>
            <w:r>
              <w:rPr>
                <w:noProof/>
                <w:webHidden/>
              </w:rPr>
              <w:tab/>
            </w:r>
            <w:r>
              <w:rPr>
                <w:noProof/>
                <w:webHidden/>
              </w:rPr>
              <w:fldChar w:fldCharType="begin"/>
            </w:r>
            <w:r>
              <w:rPr>
                <w:noProof/>
                <w:webHidden/>
              </w:rPr>
              <w:instrText xml:space="preserve"> PAGEREF _Toc165108657 \h </w:instrText>
            </w:r>
            <w:r>
              <w:rPr>
                <w:noProof/>
                <w:webHidden/>
              </w:rPr>
            </w:r>
            <w:r>
              <w:rPr>
                <w:noProof/>
                <w:webHidden/>
              </w:rPr>
              <w:fldChar w:fldCharType="separate"/>
            </w:r>
            <w:r w:rsidR="005F3255">
              <w:rPr>
                <w:noProof/>
                <w:webHidden/>
              </w:rPr>
              <w:t>133</w:t>
            </w:r>
            <w:r>
              <w:rPr>
                <w:noProof/>
                <w:webHidden/>
              </w:rPr>
              <w:fldChar w:fldCharType="end"/>
            </w:r>
          </w:hyperlink>
        </w:p>
        <w:p w14:paraId="04EC15BF" w14:textId="50D04BDB"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58" w:history="1">
            <w:r w:rsidRPr="00AE4454">
              <w:rPr>
                <w:rStyle w:val="Hyperlink"/>
                <w:shd w:val="clear" w:color="auto" w:fill="FFFFFF"/>
              </w:rPr>
              <w:t>IV.1 THE INTENTIONS OF THE QUERENT IN LATIN GEOMANTIC LITERATURE</w:t>
            </w:r>
            <w:r>
              <w:rPr>
                <w:webHidden/>
              </w:rPr>
              <w:tab/>
            </w:r>
            <w:r>
              <w:rPr>
                <w:webHidden/>
              </w:rPr>
              <w:fldChar w:fldCharType="begin"/>
            </w:r>
            <w:r>
              <w:rPr>
                <w:webHidden/>
              </w:rPr>
              <w:instrText xml:space="preserve"> PAGEREF _Toc165108658 \h </w:instrText>
            </w:r>
            <w:r>
              <w:rPr>
                <w:webHidden/>
              </w:rPr>
            </w:r>
            <w:r>
              <w:rPr>
                <w:webHidden/>
              </w:rPr>
              <w:fldChar w:fldCharType="separate"/>
            </w:r>
            <w:r w:rsidR="005F3255">
              <w:rPr>
                <w:webHidden/>
              </w:rPr>
              <w:t>134</w:t>
            </w:r>
            <w:r>
              <w:rPr>
                <w:webHidden/>
              </w:rPr>
              <w:fldChar w:fldCharType="end"/>
            </w:r>
          </w:hyperlink>
        </w:p>
        <w:p w14:paraId="700AFAAE" w14:textId="6F46A9D7"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59" w:history="1">
            <w:r w:rsidRPr="00AE4454">
              <w:rPr>
                <w:rStyle w:val="Hyperlink"/>
              </w:rPr>
              <w:t xml:space="preserve">IV.2 </w:t>
            </w:r>
            <w:r w:rsidRPr="00AE4454">
              <w:rPr>
                <w:rStyle w:val="Hyperlink"/>
                <w:i/>
                <w:iCs/>
              </w:rPr>
              <w:t>ḌAMĪR</w:t>
            </w:r>
            <w:r w:rsidRPr="00AE4454">
              <w:rPr>
                <w:rStyle w:val="Hyperlink"/>
              </w:rPr>
              <w:t>: THE OBJECT OF THE GEOMANTIC PREDICTION</w:t>
            </w:r>
            <w:r>
              <w:rPr>
                <w:webHidden/>
              </w:rPr>
              <w:tab/>
            </w:r>
            <w:r>
              <w:rPr>
                <w:webHidden/>
              </w:rPr>
              <w:fldChar w:fldCharType="begin"/>
            </w:r>
            <w:r>
              <w:rPr>
                <w:webHidden/>
              </w:rPr>
              <w:instrText xml:space="preserve"> PAGEREF _Toc165108659 \h </w:instrText>
            </w:r>
            <w:r>
              <w:rPr>
                <w:webHidden/>
              </w:rPr>
            </w:r>
            <w:r>
              <w:rPr>
                <w:webHidden/>
              </w:rPr>
              <w:fldChar w:fldCharType="separate"/>
            </w:r>
            <w:r w:rsidR="005F3255">
              <w:rPr>
                <w:webHidden/>
              </w:rPr>
              <w:t>141</w:t>
            </w:r>
            <w:r>
              <w:rPr>
                <w:webHidden/>
              </w:rPr>
              <w:fldChar w:fldCharType="end"/>
            </w:r>
          </w:hyperlink>
        </w:p>
        <w:p w14:paraId="703FCB30" w14:textId="4FCAF33E"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60" w:history="1">
            <w:r w:rsidRPr="00AE4454">
              <w:rPr>
                <w:rStyle w:val="Hyperlink"/>
              </w:rPr>
              <w:t>IV.3  THE CONCEPT OF INTENTION IN ASTROLOGICAL INTERROGATIONS</w:t>
            </w:r>
            <w:r>
              <w:rPr>
                <w:webHidden/>
              </w:rPr>
              <w:tab/>
            </w:r>
            <w:r>
              <w:rPr>
                <w:webHidden/>
              </w:rPr>
              <w:fldChar w:fldCharType="begin"/>
            </w:r>
            <w:r>
              <w:rPr>
                <w:webHidden/>
              </w:rPr>
              <w:instrText xml:space="preserve"> PAGEREF _Toc165108660 \h </w:instrText>
            </w:r>
            <w:r>
              <w:rPr>
                <w:webHidden/>
              </w:rPr>
            </w:r>
            <w:r>
              <w:rPr>
                <w:webHidden/>
              </w:rPr>
              <w:fldChar w:fldCharType="separate"/>
            </w:r>
            <w:r w:rsidR="005F3255">
              <w:rPr>
                <w:webHidden/>
              </w:rPr>
              <w:t>148</w:t>
            </w:r>
            <w:r>
              <w:rPr>
                <w:webHidden/>
              </w:rPr>
              <w:fldChar w:fldCharType="end"/>
            </w:r>
          </w:hyperlink>
        </w:p>
        <w:p w14:paraId="5A62D284" w14:textId="0AF14AF7"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61" w:history="1">
            <w:r w:rsidRPr="00AE4454">
              <w:rPr>
                <w:rStyle w:val="Hyperlink"/>
                <w:noProof/>
              </w:rPr>
              <w:t>V. GEOMANCY AND THE OCCULT SCIENCES</w:t>
            </w:r>
            <w:r>
              <w:rPr>
                <w:noProof/>
                <w:webHidden/>
              </w:rPr>
              <w:tab/>
            </w:r>
            <w:r>
              <w:rPr>
                <w:noProof/>
                <w:webHidden/>
              </w:rPr>
              <w:fldChar w:fldCharType="begin"/>
            </w:r>
            <w:r>
              <w:rPr>
                <w:noProof/>
                <w:webHidden/>
              </w:rPr>
              <w:instrText xml:space="preserve"> PAGEREF _Toc165108661 \h </w:instrText>
            </w:r>
            <w:r>
              <w:rPr>
                <w:noProof/>
                <w:webHidden/>
              </w:rPr>
            </w:r>
            <w:r>
              <w:rPr>
                <w:noProof/>
                <w:webHidden/>
              </w:rPr>
              <w:fldChar w:fldCharType="separate"/>
            </w:r>
            <w:r w:rsidR="005F3255">
              <w:rPr>
                <w:noProof/>
                <w:webHidden/>
              </w:rPr>
              <w:t>159</w:t>
            </w:r>
            <w:r>
              <w:rPr>
                <w:noProof/>
                <w:webHidden/>
              </w:rPr>
              <w:fldChar w:fldCharType="end"/>
            </w:r>
          </w:hyperlink>
        </w:p>
        <w:p w14:paraId="1C330951" w14:textId="758E68F8"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62" w:history="1">
            <w:r w:rsidRPr="00AE4454">
              <w:rPr>
                <w:rStyle w:val="Hyperlink"/>
              </w:rPr>
              <w:t>V.1 ESTIMATION AND IMAGINATION IN GEOMANCY AND ASTROLOGICAL IMAGES</w:t>
            </w:r>
            <w:r>
              <w:rPr>
                <w:webHidden/>
              </w:rPr>
              <w:tab/>
            </w:r>
            <w:r>
              <w:rPr>
                <w:webHidden/>
              </w:rPr>
              <w:fldChar w:fldCharType="begin"/>
            </w:r>
            <w:r>
              <w:rPr>
                <w:webHidden/>
              </w:rPr>
              <w:instrText xml:space="preserve"> PAGEREF _Toc165108662 \h </w:instrText>
            </w:r>
            <w:r>
              <w:rPr>
                <w:webHidden/>
              </w:rPr>
            </w:r>
            <w:r>
              <w:rPr>
                <w:webHidden/>
              </w:rPr>
              <w:fldChar w:fldCharType="separate"/>
            </w:r>
            <w:r w:rsidR="005F3255">
              <w:rPr>
                <w:webHidden/>
              </w:rPr>
              <w:t>161</w:t>
            </w:r>
            <w:r>
              <w:rPr>
                <w:webHidden/>
              </w:rPr>
              <w:fldChar w:fldCharType="end"/>
            </w:r>
          </w:hyperlink>
        </w:p>
        <w:p w14:paraId="6CF92976" w14:textId="06676EAD"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63" w:history="1">
            <w:r w:rsidRPr="00AE4454">
              <w:rPr>
                <w:rStyle w:val="Hyperlink"/>
              </w:rPr>
              <w:t>V.2</w:t>
            </w:r>
            <w:r w:rsidRPr="00AE4454">
              <w:rPr>
                <w:rStyle w:val="Hyperlink"/>
                <w:i/>
                <w:iCs/>
              </w:rPr>
              <w:t xml:space="preserve"> </w:t>
            </w:r>
            <w:r w:rsidRPr="00AE4454">
              <w:rPr>
                <w:rStyle w:val="Hyperlink"/>
              </w:rPr>
              <w:t>GEOMANCY AND ONEIROMANCY: NATURAL PERCEPTION OR DIVINE INSPIRATION?</w:t>
            </w:r>
            <w:r>
              <w:rPr>
                <w:webHidden/>
              </w:rPr>
              <w:tab/>
            </w:r>
            <w:r>
              <w:rPr>
                <w:webHidden/>
              </w:rPr>
              <w:fldChar w:fldCharType="begin"/>
            </w:r>
            <w:r>
              <w:rPr>
                <w:webHidden/>
              </w:rPr>
              <w:instrText xml:space="preserve"> PAGEREF _Toc165108663 \h </w:instrText>
            </w:r>
            <w:r>
              <w:rPr>
                <w:webHidden/>
              </w:rPr>
            </w:r>
            <w:r>
              <w:rPr>
                <w:webHidden/>
              </w:rPr>
              <w:fldChar w:fldCharType="separate"/>
            </w:r>
            <w:r w:rsidR="005F3255">
              <w:rPr>
                <w:webHidden/>
              </w:rPr>
              <w:t>168</w:t>
            </w:r>
            <w:r>
              <w:rPr>
                <w:webHidden/>
              </w:rPr>
              <w:fldChar w:fldCharType="end"/>
            </w:r>
          </w:hyperlink>
        </w:p>
        <w:p w14:paraId="2DB8872F" w14:textId="070390FF"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64" w:history="1">
            <w:r w:rsidRPr="00AE4454">
              <w:rPr>
                <w:rStyle w:val="Hyperlink"/>
                <w:noProof/>
              </w:rPr>
              <w:t>VI. THE AFTERLIFE OF MEDIEVAL GEOMANCY</w:t>
            </w:r>
            <w:r>
              <w:rPr>
                <w:noProof/>
                <w:webHidden/>
              </w:rPr>
              <w:tab/>
            </w:r>
            <w:r>
              <w:rPr>
                <w:noProof/>
                <w:webHidden/>
              </w:rPr>
              <w:fldChar w:fldCharType="begin"/>
            </w:r>
            <w:r>
              <w:rPr>
                <w:noProof/>
                <w:webHidden/>
              </w:rPr>
              <w:instrText xml:space="preserve"> PAGEREF _Toc165108664 \h </w:instrText>
            </w:r>
            <w:r>
              <w:rPr>
                <w:noProof/>
                <w:webHidden/>
              </w:rPr>
            </w:r>
            <w:r>
              <w:rPr>
                <w:noProof/>
                <w:webHidden/>
              </w:rPr>
              <w:fldChar w:fldCharType="separate"/>
            </w:r>
            <w:r w:rsidR="005F3255">
              <w:rPr>
                <w:noProof/>
                <w:webHidden/>
              </w:rPr>
              <w:t>181</w:t>
            </w:r>
            <w:r>
              <w:rPr>
                <w:noProof/>
                <w:webHidden/>
              </w:rPr>
              <w:fldChar w:fldCharType="end"/>
            </w:r>
          </w:hyperlink>
        </w:p>
        <w:p w14:paraId="1B26DE88" w14:textId="4444B10F"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65" w:history="1">
            <w:r w:rsidRPr="00AE4454">
              <w:rPr>
                <w:rStyle w:val="Hyperlink"/>
              </w:rPr>
              <w:t>VI.1 ELEMENTS OF CONTINUITY AND CHANGE: A SURVEY OF EARLY MODERN GEOMANTIC TREATISES</w:t>
            </w:r>
            <w:r>
              <w:rPr>
                <w:webHidden/>
              </w:rPr>
              <w:tab/>
            </w:r>
            <w:r>
              <w:rPr>
                <w:webHidden/>
              </w:rPr>
              <w:fldChar w:fldCharType="begin"/>
            </w:r>
            <w:r>
              <w:rPr>
                <w:webHidden/>
              </w:rPr>
              <w:instrText xml:space="preserve"> PAGEREF _Toc165108665 \h </w:instrText>
            </w:r>
            <w:r>
              <w:rPr>
                <w:webHidden/>
              </w:rPr>
            </w:r>
            <w:r>
              <w:rPr>
                <w:webHidden/>
              </w:rPr>
              <w:fldChar w:fldCharType="separate"/>
            </w:r>
            <w:r w:rsidR="005F3255">
              <w:rPr>
                <w:webHidden/>
              </w:rPr>
              <w:t>183</w:t>
            </w:r>
            <w:r>
              <w:rPr>
                <w:webHidden/>
              </w:rPr>
              <w:fldChar w:fldCharType="end"/>
            </w:r>
          </w:hyperlink>
        </w:p>
        <w:p w14:paraId="3D33D3AF" w14:textId="516547DB"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66" w:history="1">
            <w:r w:rsidRPr="00AE4454">
              <w:rPr>
                <w:rStyle w:val="Hyperlink"/>
                <w:b/>
                <w:bCs/>
                <w:noProof/>
              </w:rPr>
              <w:t>The texts</w:t>
            </w:r>
            <w:r>
              <w:rPr>
                <w:noProof/>
                <w:webHidden/>
              </w:rPr>
              <w:tab/>
            </w:r>
            <w:r>
              <w:rPr>
                <w:noProof/>
                <w:webHidden/>
              </w:rPr>
              <w:fldChar w:fldCharType="begin"/>
            </w:r>
            <w:r>
              <w:rPr>
                <w:noProof/>
                <w:webHidden/>
              </w:rPr>
              <w:instrText xml:space="preserve"> PAGEREF _Toc165108666 \h </w:instrText>
            </w:r>
            <w:r>
              <w:rPr>
                <w:noProof/>
                <w:webHidden/>
              </w:rPr>
            </w:r>
            <w:r>
              <w:rPr>
                <w:noProof/>
                <w:webHidden/>
              </w:rPr>
              <w:fldChar w:fldCharType="separate"/>
            </w:r>
            <w:r w:rsidR="005F3255">
              <w:rPr>
                <w:noProof/>
                <w:webHidden/>
              </w:rPr>
              <w:t>183</w:t>
            </w:r>
            <w:r>
              <w:rPr>
                <w:noProof/>
                <w:webHidden/>
              </w:rPr>
              <w:fldChar w:fldCharType="end"/>
            </w:r>
          </w:hyperlink>
        </w:p>
        <w:p w14:paraId="084CB6F8" w14:textId="740EAFA1"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67" w:history="1">
            <w:r w:rsidRPr="00AE4454">
              <w:rPr>
                <w:rStyle w:val="Hyperlink"/>
                <w:b/>
                <w:bCs/>
                <w:noProof/>
              </w:rPr>
              <w:t>The images</w:t>
            </w:r>
            <w:r>
              <w:rPr>
                <w:noProof/>
                <w:webHidden/>
              </w:rPr>
              <w:tab/>
            </w:r>
            <w:r>
              <w:rPr>
                <w:noProof/>
                <w:webHidden/>
              </w:rPr>
              <w:fldChar w:fldCharType="begin"/>
            </w:r>
            <w:r>
              <w:rPr>
                <w:noProof/>
                <w:webHidden/>
              </w:rPr>
              <w:instrText xml:space="preserve"> PAGEREF _Toc165108667 \h </w:instrText>
            </w:r>
            <w:r>
              <w:rPr>
                <w:noProof/>
                <w:webHidden/>
              </w:rPr>
            </w:r>
            <w:r>
              <w:rPr>
                <w:noProof/>
                <w:webHidden/>
              </w:rPr>
              <w:fldChar w:fldCharType="separate"/>
            </w:r>
            <w:r w:rsidR="005F3255">
              <w:rPr>
                <w:noProof/>
                <w:webHidden/>
              </w:rPr>
              <w:t>190</w:t>
            </w:r>
            <w:r>
              <w:rPr>
                <w:noProof/>
                <w:webHidden/>
              </w:rPr>
              <w:fldChar w:fldCharType="end"/>
            </w:r>
          </w:hyperlink>
        </w:p>
        <w:p w14:paraId="02140C22" w14:textId="58D54F8D"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68" w:history="1">
            <w:r w:rsidRPr="00AE4454">
              <w:rPr>
                <w:rStyle w:val="Hyperlink"/>
              </w:rPr>
              <w:t>VI.2 ROBERT FLUDD: GEOMANCY AS ‘THE SCIENCE OF THE INTELLECTUAL SOUL’</w:t>
            </w:r>
            <w:r>
              <w:rPr>
                <w:webHidden/>
              </w:rPr>
              <w:tab/>
            </w:r>
            <w:r>
              <w:rPr>
                <w:webHidden/>
              </w:rPr>
              <w:fldChar w:fldCharType="begin"/>
            </w:r>
            <w:r>
              <w:rPr>
                <w:webHidden/>
              </w:rPr>
              <w:instrText xml:space="preserve"> PAGEREF _Toc165108668 \h </w:instrText>
            </w:r>
            <w:r>
              <w:rPr>
                <w:webHidden/>
              </w:rPr>
            </w:r>
            <w:r>
              <w:rPr>
                <w:webHidden/>
              </w:rPr>
              <w:fldChar w:fldCharType="separate"/>
            </w:r>
            <w:r w:rsidR="005F3255">
              <w:rPr>
                <w:webHidden/>
              </w:rPr>
              <w:t>198</w:t>
            </w:r>
            <w:r>
              <w:rPr>
                <w:webHidden/>
              </w:rPr>
              <w:fldChar w:fldCharType="end"/>
            </w:r>
          </w:hyperlink>
        </w:p>
        <w:p w14:paraId="56222521" w14:textId="56BC1915"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69" w:history="1">
            <w:r w:rsidRPr="00AE4454">
              <w:rPr>
                <w:rStyle w:val="Hyperlink"/>
                <w:b/>
                <w:bCs/>
                <w:noProof/>
              </w:rPr>
              <w:t>The History of the Macrocosm</w:t>
            </w:r>
            <w:r>
              <w:rPr>
                <w:noProof/>
                <w:webHidden/>
              </w:rPr>
              <w:tab/>
            </w:r>
            <w:r>
              <w:rPr>
                <w:noProof/>
                <w:webHidden/>
              </w:rPr>
              <w:fldChar w:fldCharType="begin"/>
            </w:r>
            <w:r>
              <w:rPr>
                <w:noProof/>
                <w:webHidden/>
              </w:rPr>
              <w:instrText xml:space="preserve"> PAGEREF _Toc165108669 \h </w:instrText>
            </w:r>
            <w:r>
              <w:rPr>
                <w:noProof/>
                <w:webHidden/>
              </w:rPr>
            </w:r>
            <w:r>
              <w:rPr>
                <w:noProof/>
                <w:webHidden/>
              </w:rPr>
              <w:fldChar w:fldCharType="separate"/>
            </w:r>
            <w:r w:rsidR="005F3255">
              <w:rPr>
                <w:noProof/>
                <w:webHidden/>
              </w:rPr>
              <w:t>200</w:t>
            </w:r>
            <w:r>
              <w:rPr>
                <w:noProof/>
                <w:webHidden/>
              </w:rPr>
              <w:fldChar w:fldCharType="end"/>
            </w:r>
          </w:hyperlink>
        </w:p>
        <w:p w14:paraId="76F74658" w14:textId="62807CBA"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70" w:history="1">
            <w:r w:rsidRPr="00AE4454">
              <w:rPr>
                <w:rStyle w:val="Hyperlink"/>
                <w:b/>
                <w:bCs/>
                <w:noProof/>
              </w:rPr>
              <w:t>The History of the Microcosm</w:t>
            </w:r>
            <w:r>
              <w:rPr>
                <w:noProof/>
                <w:webHidden/>
              </w:rPr>
              <w:tab/>
            </w:r>
            <w:r>
              <w:rPr>
                <w:noProof/>
                <w:webHidden/>
              </w:rPr>
              <w:fldChar w:fldCharType="begin"/>
            </w:r>
            <w:r>
              <w:rPr>
                <w:noProof/>
                <w:webHidden/>
              </w:rPr>
              <w:instrText xml:space="preserve"> PAGEREF _Toc165108670 \h </w:instrText>
            </w:r>
            <w:r>
              <w:rPr>
                <w:noProof/>
                <w:webHidden/>
              </w:rPr>
            </w:r>
            <w:r>
              <w:rPr>
                <w:noProof/>
                <w:webHidden/>
              </w:rPr>
              <w:fldChar w:fldCharType="separate"/>
            </w:r>
            <w:r w:rsidR="005F3255">
              <w:rPr>
                <w:noProof/>
                <w:webHidden/>
              </w:rPr>
              <w:t>205</w:t>
            </w:r>
            <w:r>
              <w:rPr>
                <w:noProof/>
                <w:webHidden/>
              </w:rPr>
              <w:fldChar w:fldCharType="end"/>
            </w:r>
          </w:hyperlink>
        </w:p>
        <w:p w14:paraId="07528945" w14:textId="49B779F8"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71" w:history="1">
            <w:r w:rsidRPr="00AE4454">
              <w:rPr>
                <w:rStyle w:val="Hyperlink"/>
              </w:rPr>
              <w:t>VI.3 GEOMANCY, ALCHEMY AND ROSICRUCIANISM</w:t>
            </w:r>
            <w:r>
              <w:rPr>
                <w:webHidden/>
              </w:rPr>
              <w:tab/>
            </w:r>
            <w:r>
              <w:rPr>
                <w:webHidden/>
              </w:rPr>
              <w:fldChar w:fldCharType="begin"/>
            </w:r>
            <w:r>
              <w:rPr>
                <w:webHidden/>
              </w:rPr>
              <w:instrText xml:space="preserve"> PAGEREF _Toc165108671 \h </w:instrText>
            </w:r>
            <w:r>
              <w:rPr>
                <w:webHidden/>
              </w:rPr>
            </w:r>
            <w:r>
              <w:rPr>
                <w:webHidden/>
              </w:rPr>
              <w:fldChar w:fldCharType="separate"/>
            </w:r>
            <w:r w:rsidR="005F3255">
              <w:rPr>
                <w:webHidden/>
              </w:rPr>
              <w:t>223</w:t>
            </w:r>
            <w:r>
              <w:rPr>
                <w:webHidden/>
              </w:rPr>
              <w:fldChar w:fldCharType="end"/>
            </w:r>
          </w:hyperlink>
        </w:p>
        <w:p w14:paraId="0468D3BE" w14:textId="138D2961" w:rsidR="00A47A5B" w:rsidRDefault="00A47A5B" w:rsidP="00A47A5B">
          <w:pPr>
            <w:pStyle w:val="TOC3"/>
            <w:tabs>
              <w:tab w:val="right" w:leader="dot" w:pos="9016"/>
            </w:tabs>
            <w:ind w:left="0" w:firstLine="0"/>
            <w:rPr>
              <w:rFonts w:asciiTheme="minorHAnsi" w:eastAsiaTheme="minorEastAsia" w:hAnsiTheme="minorHAnsi" w:cstheme="minorBidi"/>
              <w:noProof/>
              <w:kern w:val="2"/>
              <w:lang w:eastAsia="en-GB"/>
            </w:rPr>
          </w:pPr>
          <w:hyperlink w:anchor="_Toc165108672" w:history="1">
            <w:r w:rsidRPr="00AE4454">
              <w:rPr>
                <w:rStyle w:val="Hyperlink"/>
                <w:b/>
                <w:bCs/>
                <w:noProof/>
              </w:rPr>
              <w:t>John Heydon</w:t>
            </w:r>
            <w:r>
              <w:rPr>
                <w:noProof/>
                <w:webHidden/>
              </w:rPr>
              <w:tab/>
            </w:r>
            <w:r>
              <w:rPr>
                <w:noProof/>
                <w:webHidden/>
              </w:rPr>
              <w:fldChar w:fldCharType="begin"/>
            </w:r>
            <w:r>
              <w:rPr>
                <w:noProof/>
                <w:webHidden/>
              </w:rPr>
              <w:instrText xml:space="preserve"> PAGEREF _Toc165108672 \h </w:instrText>
            </w:r>
            <w:r>
              <w:rPr>
                <w:noProof/>
                <w:webHidden/>
              </w:rPr>
            </w:r>
            <w:r>
              <w:rPr>
                <w:noProof/>
                <w:webHidden/>
              </w:rPr>
              <w:fldChar w:fldCharType="separate"/>
            </w:r>
            <w:r w:rsidR="005F3255">
              <w:rPr>
                <w:noProof/>
                <w:webHidden/>
              </w:rPr>
              <w:t>224</w:t>
            </w:r>
            <w:r>
              <w:rPr>
                <w:noProof/>
                <w:webHidden/>
              </w:rPr>
              <w:fldChar w:fldCharType="end"/>
            </w:r>
          </w:hyperlink>
        </w:p>
        <w:p w14:paraId="448FD1ED" w14:textId="062762A1"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73" w:history="1">
            <w:r w:rsidRPr="00AE4454">
              <w:rPr>
                <w:rStyle w:val="Hyperlink"/>
                <w:noProof/>
              </w:rPr>
              <w:t>CONCLUSIONS</w:t>
            </w:r>
            <w:r>
              <w:rPr>
                <w:noProof/>
                <w:webHidden/>
              </w:rPr>
              <w:tab/>
            </w:r>
            <w:r>
              <w:rPr>
                <w:noProof/>
                <w:webHidden/>
              </w:rPr>
              <w:fldChar w:fldCharType="begin"/>
            </w:r>
            <w:r>
              <w:rPr>
                <w:noProof/>
                <w:webHidden/>
              </w:rPr>
              <w:instrText xml:space="preserve"> PAGEREF _Toc165108673 \h </w:instrText>
            </w:r>
            <w:r>
              <w:rPr>
                <w:noProof/>
                <w:webHidden/>
              </w:rPr>
            </w:r>
            <w:r>
              <w:rPr>
                <w:noProof/>
                <w:webHidden/>
              </w:rPr>
              <w:fldChar w:fldCharType="separate"/>
            </w:r>
            <w:r w:rsidR="005F3255">
              <w:rPr>
                <w:noProof/>
                <w:webHidden/>
              </w:rPr>
              <w:t>237</w:t>
            </w:r>
            <w:r>
              <w:rPr>
                <w:noProof/>
                <w:webHidden/>
              </w:rPr>
              <w:fldChar w:fldCharType="end"/>
            </w:r>
          </w:hyperlink>
        </w:p>
        <w:p w14:paraId="5C7549E3" w14:textId="5B104E2E"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74" w:history="1">
            <w:r w:rsidRPr="00AE4454">
              <w:rPr>
                <w:rStyle w:val="Hyperlink"/>
                <w:noProof/>
              </w:rPr>
              <w:t>APPENDIX 1: A DESCRIPTION OF THE MANUSCRIPTS OF THE</w:t>
            </w:r>
            <w:r w:rsidRPr="00AE4454">
              <w:rPr>
                <w:rStyle w:val="Hyperlink"/>
                <w:i/>
                <w:iCs/>
                <w:noProof/>
              </w:rPr>
              <w:t xml:space="preserve"> LIBER ARENALIS SCIENTIAE.</w:t>
            </w:r>
            <w:r>
              <w:rPr>
                <w:noProof/>
                <w:webHidden/>
              </w:rPr>
              <w:tab/>
            </w:r>
            <w:r>
              <w:rPr>
                <w:noProof/>
                <w:webHidden/>
              </w:rPr>
              <w:fldChar w:fldCharType="begin"/>
            </w:r>
            <w:r>
              <w:rPr>
                <w:noProof/>
                <w:webHidden/>
              </w:rPr>
              <w:instrText xml:space="preserve"> PAGEREF _Toc165108674 \h </w:instrText>
            </w:r>
            <w:r>
              <w:rPr>
                <w:noProof/>
                <w:webHidden/>
              </w:rPr>
            </w:r>
            <w:r>
              <w:rPr>
                <w:noProof/>
                <w:webHidden/>
              </w:rPr>
              <w:fldChar w:fldCharType="separate"/>
            </w:r>
            <w:r w:rsidR="005F3255">
              <w:rPr>
                <w:noProof/>
                <w:webHidden/>
              </w:rPr>
              <w:t>243</w:t>
            </w:r>
            <w:r>
              <w:rPr>
                <w:noProof/>
                <w:webHidden/>
              </w:rPr>
              <w:fldChar w:fldCharType="end"/>
            </w:r>
          </w:hyperlink>
        </w:p>
        <w:p w14:paraId="1AA06CAC" w14:textId="16332932"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75" w:history="1">
            <w:r w:rsidRPr="00AE4454">
              <w:rPr>
                <w:rStyle w:val="Hyperlink"/>
              </w:rPr>
              <w:t>A DESCRIPTION OF THE MANUSCRIPT CAMBRIDGE, MAGDALENE COLLEGE, F.4.27</w:t>
            </w:r>
            <w:r>
              <w:rPr>
                <w:webHidden/>
              </w:rPr>
              <w:tab/>
            </w:r>
            <w:r>
              <w:rPr>
                <w:webHidden/>
              </w:rPr>
              <w:fldChar w:fldCharType="begin"/>
            </w:r>
            <w:r>
              <w:rPr>
                <w:webHidden/>
              </w:rPr>
              <w:instrText xml:space="preserve"> PAGEREF _Toc165108675 \h </w:instrText>
            </w:r>
            <w:r>
              <w:rPr>
                <w:webHidden/>
              </w:rPr>
            </w:r>
            <w:r>
              <w:rPr>
                <w:webHidden/>
              </w:rPr>
              <w:fldChar w:fldCharType="separate"/>
            </w:r>
            <w:r w:rsidR="005F3255">
              <w:rPr>
                <w:webHidden/>
              </w:rPr>
              <w:t>243</w:t>
            </w:r>
            <w:r>
              <w:rPr>
                <w:webHidden/>
              </w:rPr>
              <w:fldChar w:fldCharType="end"/>
            </w:r>
          </w:hyperlink>
        </w:p>
        <w:p w14:paraId="1775C8D8" w14:textId="66126935"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76" w:history="1">
            <w:r w:rsidRPr="00AE4454">
              <w:rPr>
                <w:rStyle w:val="Hyperlink"/>
              </w:rPr>
              <w:t>A DESCRIPTION OF THE MANUSCRIPT OXFORD, BODLEIAN LIBRARY, RAWLINSON D. 1227</w:t>
            </w:r>
            <w:r>
              <w:rPr>
                <w:webHidden/>
              </w:rPr>
              <w:tab/>
            </w:r>
            <w:r>
              <w:rPr>
                <w:webHidden/>
              </w:rPr>
              <w:fldChar w:fldCharType="begin"/>
            </w:r>
            <w:r>
              <w:rPr>
                <w:webHidden/>
              </w:rPr>
              <w:instrText xml:space="preserve"> PAGEREF _Toc165108676 \h </w:instrText>
            </w:r>
            <w:r>
              <w:rPr>
                <w:webHidden/>
              </w:rPr>
            </w:r>
            <w:r>
              <w:rPr>
                <w:webHidden/>
              </w:rPr>
              <w:fldChar w:fldCharType="separate"/>
            </w:r>
            <w:r w:rsidR="005F3255">
              <w:rPr>
                <w:webHidden/>
              </w:rPr>
              <w:t>246</w:t>
            </w:r>
            <w:r>
              <w:rPr>
                <w:webHidden/>
              </w:rPr>
              <w:fldChar w:fldCharType="end"/>
            </w:r>
          </w:hyperlink>
        </w:p>
        <w:p w14:paraId="1CA6CF74" w14:textId="7C1A72E3"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77" w:history="1">
            <w:r w:rsidRPr="00AE4454">
              <w:rPr>
                <w:rStyle w:val="Hyperlink"/>
              </w:rPr>
              <w:t>A DESCRIPTION OF THE MANUSCRIPT AUGSBURG, STAATS- UND STADTBIBLIOTHEK, 2° COD. 211</w:t>
            </w:r>
            <w:r>
              <w:rPr>
                <w:webHidden/>
              </w:rPr>
              <w:tab/>
            </w:r>
            <w:r>
              <w:rPr>
                <w:webHidden/>
              </w:rPr>
              <w:fldChar w:fldCharType="begin"/>
            </w:r>
            <w:r>
              <w:rPr>
                <w:webHidden/>
              </w:rPr>
              <w:instrText xml:space="preserve"> PAGEREF _Toc165108677 \h </w:instrText>
            </w:r>
            <w:r>
              <w:rPr>
                <w:webHidden/>
              </w:rPr>
            </w:r>
            <w:r>
              <w:rPr>
                <w:webHidden/>
              </w:rPr>
              <w:fldChar w:fldCharType="separate"/>
            </w:r>
            <w:r w:rsidR="005F3255">
              <w:rPr>
                <w:webHidden/>
              </w:rPr>
              <w:t>248</w:t>
            </w:r>
            <w:r>
              <w:rPr>
                <w:webHidden/>
              </w:rPr>
              <w:fldChar w:fldCharType="end"/>
            </w:r>
          </w:hyperlink>
        </w:p>
        <w:p w14:paraId="46714578" w14:textId="48C2027B"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78" w:history="1">
            <w:r w:rsidRPr="00AE4454">
              <w:rPr>
                <w:rStyle w:val="Hyperlink"/>
              </w:rPr>
              <w:t>A DESCRIPTION OF THE MANUSCRIPT LONDON, BRITISH LIBRARY, ARUNDEL MS. 66</w:t>
            </w:r>
            <w:r>
              <w:rPr>
                <w:webHidden/>
              </w:rPr>
              <w:tab/>
            </w:r>
            <w:r>
              <w:rPr>
                <w:webHidden/>
              </w:rPr>
              <w:fldChar w:fldCharType="begin"/>
            </w:r>
            <w:r>
              <w:rPr>
                <w:webHidden/>
              </w:rPr>
              <w:instrText xml:space="preserve"> PAGEREF _Toc165108678 \h </w:instrText>
            </w:r>
            <w:r>
              <w:rPr>
                <w:webHidden/>
              </w:rPr>
            </w:r>
            <w:r>
              <w:rPr>
                <w:webHidden/>
              </w:rPr>
              <w:fldChar w:fldCharType="separate"/>
            </w:r>
            <w:r w:rsidR="005F3255">
              <w:rPr>
                <w:webHidden/>
              </w:rPr>
              <w:t>251</w:t>
            </w:r>
            <w:r>
              <w:rPr>
                <w:webHidden/>
              </w:rPr>
              <w:fldChar w:fldCharType="end"/>
            </w:r>
          </w:hyperlink>
        </w:p>
        <w:p w14:paraId="0282EC82" w14:textId="0FDEDF2C"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79" w:history="1">
            <w:r w:rsidRPr="00AE4454">
              <w:rPr>
                <w:rStyle w:val="Hyperlink"/>
                <w:noProof/>
              </w:rPr>
              <w:t xml:space="preserve">APPENDIX 2: IMAGES OF INCIPIT PAGES OF THE </w:t>
            </w:r>
            <w:r w:rsidRPr="00AE4454">
              <w:rPr>
                <w:rStyle w:val="Hyperlink"/>
                <w:i/>
                <w:iCs/>
                <w:noProof/>
              </w:rPr>
              <w:t>LIBER ARENALIS SCIENTIAE</w:t>
            </w:r>
            <w:r w:rsidRPr="00AE4454">
              <w:rPr>
                <w:rStyle w:val="Hyperlink"/>
                <w:noProof/>
              </w:rPr>
              <w:t>.</w:t>
            </w:r>
            <w:r>
              <w:rPr>
                <w:noProof/>
                <w:webHidden/>
              </w:rPr>
              <w:tab/>
            </w:r>
            <w:r>
              <w:rPr>
                <w:noProof/>
                <w:webHidden/>
              </w:rPr>
              <w:fldChar w:fldCharType="begin"/>
            </w:r>
            <w:r>
              <w:rPr>
                <w:noProof/>
                <w:webHidden/>
              </w:rPr>
              <w:instrText xml:space="preserve"> PAGEREF _Toc165108679 \h </w:instrText>
            </w:r>
            <w:r>
              <w:rPr>
                <w:noProof/>
                <w:webHidden/>
              </w:rPr>
            </w:r>
            <w:r>
              <w:rPr>
                <w:noProof/>
                <w:webHidden/>
              </w:rPr>
              <w:fldChar w:fldCharType="separate"/>
            </w:r>
            <w:r w:rsidR="005F3255">
              <w:rPr>
                <w:noProof/>
                <w:webHidden/>
              </w:rPr>
              <w:t>255</w:t>
            </w:r>
            <w:r>
              <w:rPr>
                <w:noProof/>
                <w:webHidden/>
              </w:rPr>
              <w:fldChar w:fldCharType="end"/>
            </w:r>
          </w:hyperlink>
        </w:p>
        <w:p w14:paraId="73B7D785" w14:textId="0F30AA6F"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80" w:history="1">
            <w:r w:rsidRPr="00AE4454">
              <w:rPr>
                <w:rStyle w:val="Hyperlink"/>
                <w:noProof/>
              </w:rPr>
              <w:t xml:space="preserve">APPENDIX 3: AN EDITION AND TRANSLATION INTO MODERN ENGLISH OF THE </w:t>
            </w:r>
            <w:r w:rsidRPr="00AE4454">
              <w:rPr>
                <w:rStyle w:val="Hyperlink"/>
                <w:i/>
                <w:iCs/>
                <w:noProof/>
              </w:rPr>
              <w:t>LIBER ARENALIS SCIENTIAE</w:t>
            </w:r>
            <w:r w:rsidRPr="00AE4454">
              <w:rPr>
                <w:rStyle w:val="Hyperlink"/>
                <w:noProof/>
              </w:rPr>
              <w:t>.</w:t>
            </w:r>
            <w:r>
              <w:rPr>
                <w:noProof/>
                <w:webHidden/>
              </w:rPr>
              <w:tab/>
            </w:r>
            <w:r>
              <w:rPr>
                <w:noProof/>
                <w:webHidden/>
              </w:rPr>
              <w:fldChar w:fldCharType="begin"/>
            </w:r>
            <w:r>
              <w:rPr>
                <w:noProof/>
                <w:webHidden/>
              </w:rPr>
              <w:instrText xml:space="preserve"> PAGEREF _Toc165108680 \h </w:instrText>
            </w:r>
            <w:r>
              <w:rPr>
                <w:noProof/>
                <w:webHidden/>
              </w:rPr>
            </w:r>
            <w:r>
              <w:rPr>
                <w:noProof/>
                <w:webHidden/>
              </w:rPr>
              <w:fldChar w:fldCharType="separate"/>
            </w:r>
            <w:r w:rsidR="005F3255">
              <w:rPr>
                <w:noProof/>
                <w:webHidden/>
              </w:rPr>
              <w:t>259</w:t>
            </w:r>
            <w:r>
              <w:rPr>
                <w:noProof/>
                <w:webHidden/>
              </w:rPr>
              <w:fldChar w:fldCharType="end"/>
            </w:r>
          </w:hyperlink>
        </w:p>
        <w:p w14:paraId="6ED3EE2B" w14:textId="57DFDA9B"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1" w:history="1">
            <w:r w:rsidRPr="00AE4454">
              <w:rPr>
                <w:rStyle w:val="Hyperlink"/>
              </w:rPr>
              <w:t>MANUSCRIPTS</w:t>
            </w:r>
            <w:r>
              <w:rPr>
                <w:webHidden/>
              </w:rPr>
              <w:tab/>
            </w:r>
            <w:r>
              <w:rPr>
                <w:webHidden/>
              </w:rPr>
              <w:fldChar w:fldCharType="begin"/>
            </w:r>
            <w:r>
              <w:rPr>
                <w:webHidden/>
              </w:rPr>
              <w:instrText xml:space="preserve"> PAGEREF _Toc165108681 \h </w:instrText>
            </w:r>
            <w:r>
              <w:rPr>
                <w:webHidden/>
              </w:rPr>
            </w:r>
            <w:r>
              <w:rPr>
                <w:webHidden/>
              </w:rPr>
              <w:fldChar w:fldCharType="separate"/>
            </w:r>
            <w:r w:rsidR="005F3255">
              <w:rPr>
                <w:webHidden/>
              </w:rPr>
              <w:t>259</w:t>
            </w:r>
            <w:r>
              <w:rPr>
                <w:webHidden/>
              </w:rPr>
              <w:fldChar w:fldCharType="end"/>
            </w:r>
          </w:hyperlink>
        </w:p>
        <w:p w14:paraId="5364EB45" w14:textId="0C998B28"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2" w:history="1">
            <w:r w:rsidRPr="00AE4454">
              <w:rPr>
                <w:rStyle w:val="Hyperlink"/>
              </w:rPr>
              <w:t>EDITORIAL NOTES</w:t>
            </w:r>
            <w:r>
              <w:rPr>
                <w:webHidden/>
              </w:rPr>
              <w:tab/>
            </w:r>
            <w:r>
              <w:rPr>
                <w:webHidden/>
              </w:rPr>
              <w:fldChar w:fldCharType="begin"/>
            </w:r>
            <w:r>
              <w:rPr>
                <w:webHidden/>
              </w:rPr>
              <w:instrText xml:space="preserve"> PAGEREF _Toc165108682 \h </w:instrText>
            </w:r>
            <w:r>
              <w:rPr>
                <w:webHidden/>
              </w:rPr>
            </w:r>
            <w:r>
              <w:rPr>
                <w:webHidden/>
              </w:rPr>
              <w:fldChar w:fldCharType="separate"/>
            </w:r>
            <w:r w:rsidR="005F3255">
              <w:rPr>
                <w:webHidden/>
              </w:rPr>
              <w:t>259</w:t>
            </w:r>
            <w:r>
              <w:rPr>
                <w:webHidden/>
              </w:rPr>
              <w:fldChar w:fldCharType="end"/>
            </w:r>
          </w:hyperlink>
        </w:p>
        <w:p w14:paraId="61A29573" w14:textId="791A1BF4"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3" w:history="1">
            <w:r w:rsidRPr="00AE4454">
              <w:rPr>
                <w:rStyle w:val="Hyperlink"/>
                <w:lang w:val="la-Latn"/>
              </w:rPr>
              <w:t>EDITION OF THE</w:t>
            </w:r>
            <w:r w:rsidRPr="00AE4454">
              <w:rPr>
                <w:rStyle w:val="Hyperlink"/>
                <w:i/>
                <w:iCs/>
                <w:lang w:val="la-Latn"/>
              </w:rPr>
              <w:t xml:space="preserve"> LIBER ARENALIS SCIENTIAE.</w:t>
            </w:r>
            <w:r>
              <w:rPr>
                <w:webHidden/>
              </w:rPr>
              <w:tab/>
            </w:r>
            <w:r>
              <w:rPr>
                <w:webHidden/>
              </w:rPr>
              <w:fldChar w:fldCharType="begin"/>
            </w:r>
            <w:r>
              <w:rPr>
                <w:webHidden/>
              </w:rPr>
              <w:instrText xml:space="preserve"> PAGEREF _Toc165108683 \h </w:instrText>
            </w:r>
            <w:r>
              <w:rPr>
                <w:webHidden/>
              </w:rPr>
            </w:r>
            <w:r>
              <w:rPr>
                <w:webHidden/>
              </w:rPr>
              <w:fldChar w:fldCharType="separate"/>
            </w:r>
            <w:r w:rsidR="005F3255">
              <w:rPr>
                <w:webHidden/>
              </w:rPr>
              <w:t>261</w:t>
            </w:r>
            <w:r>
              <w:rPr>
                <w:webHidden/>
              </w:rPr>
              <w:fldChar w:fldCharType="end"/>
            </w:r>
          </w:hyperlink>
        </w:p>
        <w:p w14:paraId="354C3F62" w14:textId="56A97DAF"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4" w:history="1">
            <w:r w:rsidRPr="00AE4454">
              <w:rPr>
                <w:rStyle w:val="Hyperlink"/>
              </w:rPr>
              <w:t xml:space="preserve">ENGLISH TRANSLATION OF THE </w:t>
            </w:r>
            <w:r w:rsidRPr="00AE4454">
              <w:rPr>
                <w:rStyle w:val="Hyperlink"/>
                <w:i/>
                <w:iCs/>
              </w:rPr>
              <w:t>LIBER ARENALIS SCIENTIAE.</w:t>
            </w:r>
            <w:r>
              <w:rPr>
                <w:webHidden/>
              </w:rPr>
              <w:tab/>
            </w:r>
            <w:r>
              <w:rPr>
                <w:webHidden/>
              </w:rPr>
              <w:fldChar w:fldCharType="begin"/>
            </w:r>
            <w:r>
              <w:rPr>
                <w:webHidden/>
              </w:rPr>
              <w:instrText xml:space="preserve"> PAGEREF _Toc165108684 \h </w:instrText>
            </w:r>
            <w:r>
              <w:rPr>
                <w:webHidden/>
              </w:rPr>
            </w:r>
            <w:r>
              <w:rPr>
                <w:webHidden/>
              </w:rPr>
              <w:fldChar w:fldCharType="separate"/>
            </w:r>
            <w:r w:rsidR="005F3255">
              <w:rPr>
                <w:webHidden/>
              </w:rPr>
              <w:t>281</w:t>
            </w:r>
            <w:r>
              <w:rPr>
                <w:webHidden/>
              </w:rPr>
              <w:fldChar w:fldCharType="end"/>
            </w:r>
          </w:hyperlink>
        </w:p>
        <w:p w14:paraId="49286DF0" w14:textId="434CBDCD"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85" w:history="1">
            <w:r w:rsidRPr="00AE4454">
              <w:rPr>
                <w:rStyle w:val="Hyperlink"/>
                <w:noProof/>
              </w:rPr>
              <w:t>LIST OF ILLUSTRATIONS</w:t>
            </w:r>
            <w:r>
              <w:rPr>
                <w:noProof/>
                <w:webHidden/>
              </w:rPr>
              <w:tab/>
            </w:r>
            <w:r>
              <w:rPr>
                <w:noProof/>
                <w:webHidden/>
              </w:rPr>
              <w:fldChar w:fldCharType="begin"/>
            </w:r>
            <w:r>
              <w:rPr>
                <w:noProof/>
                <w:webHidden/>
              </w:rPr>
              <w:instrText xml:space="preserve"> PAGEREF _Toc165108685 \h </w:instrText>
            </w:r>
            <w:r>
              <w:rPr>
                <w:noProof/>
                <w:webHidden/>
              </w:rPr>
            </w:r>
            <w:r>
              <w:rPr>
                <w:noProof/>
                <w:webHidden/>
              </w:rPr>
              <w:fldChar w:fldCharType="separate"/>
            </w:r>
            <w:r w:rsidR="005F3255">
              <w:rPr>
                <w:noProof/>
                <w:webHidden/>
              </w:rPr>
              <w:t>300</w:t>
            </w:r>
            <w:r>
              <w:rPr>
                <w:noProof/>
                <w:webHidden/>
              </w:rPr>
              <w:fldChar w:fldCharType="end"/>
            </w:r>
          </w:hyperlink>
        </w:p>
        <w:p w14:paraId="2F0E7A23" w14:textId="4DCACE14" w:rsidR="00A47A5B" w:rsidRDefault="00A47A5B" w:rsidP="00A47A5B">
          <w:pPr>
            <w:pStyle w:val="TOC1"/>
            <w:tabs>
              <w:tab w:val="right" w:leader="dot" w:pos="9016"/>
            </w:tabs>
            <w:ind w:firstLine="0"/>
            <w:rPr>
              <w:rFonts w:asciiTheme="minorHAnsi" w:eastAsiaTheme="minorEastAsia" w:hAnsiTheme="minorHAnsi" w:cstheme="minorBidi"/>
              <w:noProof/>
              <w:kern w:val="2"/>
              <w:lang w:eastAsia="en-GB"/>
            </w:rPr>
          </w:pPr>
          <w:hyperlink w:anchor="_Toc165108686" w:history="1">
            <w:r w:rsidRPr="00AE4454">
              <w:rPr>
                <w:rStyle w:val="Hyperlink"/>
                <w:noProof/>
              </w:rPr>
              <w:t>BIBLIOGRAPHY</w:t>
            </w:r>
            <w:r>
              <w:rPr>
                <w:noProof/>
                <w:webHidden/>
              </w:rPr>
              <w:tab/>
            </w:r>
            <w:r>
              <w:rPr>
                <w:noProof/>
                <w:webHidden/>
              </w:rPr>
              <w:fldChar w:fldCharType="begin"/>
            </w:r>
            <w:r>
              <w:rPr>
                <w:noProof/>
                <w:webHidden/>
              </w:rPr>
              <w:instrText xml:space="preserve"> PAGEREF _Toc165108686 \h </w:instrText>
            </w:r>
            <w:r>
              <w:rPr>
                <w:noProof/>
                <w:webHidden/>
              </w:rPr>
            </w:r>
            <w:r>
              <w:rPr>
                <w:noProof/>
                <w:webHidden/>
              </w:rPr>
              <w:fldChar w:fldCharType="separate"/>
            </w:r>
            <w:r w:rsidR="005F3255">
              <w:rPr>
                <w:noProof/>
                <w:webHidden/>
              </w:rPr>
              <w:t>302</w:t>
            </w:r>
            <w:r>
              <w:rPr>
                <w:noProof/>
                <w:webHidden/>
              </w:rPr>
              <w:fldChar w:fldCharType="end"/>
            </w:r>
          </w:hyperlink>
        </w:p>
        <w:p w14:paraId="59706469" w14:textId="33380454"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7" w:history="1">
            <w:r w:rsidRPr="00AE4454">
              <w:rPr>
                <w:rStyle w:val="Hyperlink"/>
              </w:rPr>
              <w:t>MANUSCRIPTS</w:t>
            </w:r>
            <w:r>
              <w:rPr>
                <w:webHidden/>
              </w:rPr>
              <w:tab/>
            </w:r>
            <w:r>
              <w:rPr>
                <w:webHidden/>
              </w:rPr>
              <w:fldChar w:fldCharType="begin"/>
            </w:r>
            <w:r>
              <w:rPr>
                <w:webHidden/>
              </w:rPr>
              <w:instrText xml:space="preserve"> PAGEREF _Toc165108687 \h </w:instrText>
            </w:r>
            <w:r>
              <w:rPr>
                <w:webHidden/>
              </w:rPr>
            </w:r>
            <w:r>
              <w:rPr>
                <w:webHidden/>
              </w:rPr>
              <w:fldChar w:fldCharType="separate"/>
            </w:r>
            <w:r w:rsidR="005F3255">
              <w:rPr>
                <w:webHidden/>
              </w:rPr>
              <w:t>302</w:t>
            </w:r>
            <w:r>
              <w:rPr>
                <w:webHidden/>
              </w:rPr>
              <w:fldChar w:fldCharType="end"/>
            </w:r>
          </w:hyperlink>
        </w:p>
        <w:p w14:paraId="47C8E5DD" w14:textId="6498C94D"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8" w:history="1">
            <w:r w:rsidRPr="00AE4454">
              <w:rPr>
                <w:rStyle w:val="Hyperlink"/>
              </w:rPr>
              <w:t>PRIMARY SOURCES</w:t>
            </w:r>
            <w:r>
              <w:rPr>
                <w:webHidden/>
              </w:rPr>
              <w:tab/>
            </w:r>
            <w:r>
              <w:rPr>
                <w:webHidden/>
              </w:rPr>
              <w:fldChar w:fldCharType="begin"/>
            </w:r>
            <w:r>
              <w:rPr>
                <w:webHidden/>
              </w:rPr>
              <w:instrText xml:space="preserve"> PAGEREF _Toc165108688 \h </w:instrText>
            </w:r>
            <w:r>
              <w:rPr>
                <w:webHidden/>
              </w:rPr>
            </w:r>
            <w:r>
              <w:rPr>
                <w:webHidden/>
              </w:rPr>
              <w:fldChar w:fldCharType="separate"/>
            </w:r>
            <w:r w:rsidR="005F3255">
              <w:rPr>
                <w:webHidden/>
              </w:rPr>
              <w:t>302</w:t>
            </w:r>
            <w:r>
              <w:rPr>
                <w:webHidden/>
              </w:rPr>
              <w:fldChar w:fldCharType="end"/>
            </w:r>
          </w:hyperlink>
        </w:p>
        <w:p w14:paraId="01272156" w14:textId="63738A2B"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89" w:history="1">
            <w:r w:rsidRPr="00AE4454">
              <w:rPr>
                <w:rStyle w:val="Hyperlink"/>
              </w:rPr>
              <w:t>SECONDARY SOURCES</w:t>
            </w:r>
            <w:r>
              <w:rPr>
                <w:webHidden/>
              </w:rPr>
              <w:tab/>
            </w:r>
            <w:r>
              <w:rPr>
                <w:webHidden/>
              </w:rPr>
              <w:fldChar w:fldCharType="begin"/>
            </w:r>
            <w:r>
              <w:rPr>
                <w:webHidden/>
              </w:rPr>
              <w:instrText xml:space="preserve"> PAGEREF _Toc165108689 \h </w:instrText>
            </w:r>
            <w:r>
              <w:rPr>
                <w:webHidden/>
              </w:rPr>
            </w:r>
            <w:r>
              <w:rPr>
                <w:webHidden/>
              </w:rPr>
              <w:fldChar w:fldCharType="separate"/>
            </w:r>
            <w:r w:rsidR="005F3255">
              <w:rPr>
                <w:webHidden/>
              </w:rPr>
              <w:t>306</w:t>
            </w:r>
            <w:r>
              <w:rPr>
                <w:webHidden/>
              </w:rPr>
              <w:fldChar w:fldCharType="end"/>
            </w:r>
          </w:hyperlink>
        </w:p>
        <w:p w14:paraId="55368FBF" w14:textId="0C818540" w:rsidR="00A47A5B" w:rsidRDefault="00A47A5B" w:rsidP="00A47A5B">
          <w:pPr>
            <w:pStyle w:val="TOC2"/>
            <w:ind w:firstLine="0"/>
            <w:rPr>
              <w:rFonts w:asciiTheme="minorHAnsi" w:eastAsiaTheme="minorEastAsia" w:hAnsiTheme="minorHAnsi" w:cstheme="minorBidi"/>
              <w:kern w:val="2"/>
              <w:sz w:val="24"/>
              <w:szCs w:val="24"/>
              <w:lang w:eastAsia="en-GB"/>
            </w:rPr>
          </w:pPr>
          <w:hyperlink w:anchor="_Toc165108690" w:history="1">
            <w:r w:rsidRPr="00AE4454">
              <w:rPr>
                <w:rStyle w:val="Hyperlink"/>
              </w:rPr>
              <w:t>WEBSITES</w:t>
            </w:r>
            <w:r>
              <w:rPr>
                <w:webHidden/>
              </w:rPr>
              <w:tab/>
            </w:r>
            <w:r>
              <w:rPr>
                <w:webHidden/>
              </w:rPr>
              <w:fldChar w:fldCharType="begin"/>
            </w:r>
            <w:r>
              <w:rPr>
                <w:webHidden/>
              </w:rPr>
              <w:instrText xml:space="preserve"> PAGEREF _Toc165108690 \h </w:instrText>
            </w:r>
            <w:r>
              <w:rPr>
                <w:webHidden/>
              </w:rPr>
            </w:r>
            <w:r>
              <w:rPr>
                <w:webHidden/>
              </w:rPr>
              <w:fldChar w:fldCharType="separate"/>
            </w:r>
            <w:r w:rsidR="005F3255">
              <w:rPr>
                <w:webHidden/>
              </w:rPr>
              <w:t>320</w:t>
            </w:r>
            <w:r>
              <w:rPr>
                <w:webHidden/>
              </w:rPr>
              <w:fldChar w:fldCharType="end"/>
            </w:r>
          </w:hyperlink>
        </w:p>
        <w:p w14:paraId="16A34B7E" w14:textId="2935725F" w:rsidR="00093432" w:rsidRDefault="00093432" w:rsidP="000D2277">
          <w:pPr>
            <w:spacing w:line="240" w:lineRule="atLeast"/>
          </w:pPr>
          <w:r>
            <w:rPr>
              <w:b/>
              <w:bCs/>
              <w:noProof/>
            </w:rPr>
            <w:fldChar w:fldCharType="end"/>
          </w:r>
        </w:p>
      </w:sdtContent>
    </w:sdt>
    <w:p w14:paraId="6558FFF1" w14:textId="77777777" w:rsidR="004F5730" w:rsidRPr="004F5730" w:rsidRDefault="00093432" w:rsidP="00F66CD1">
      <w:pPr>
        <w:pStyle w:val="Heading3"/>
        <w:ind w:firstLine="0"/>
        <w:rPr>
          <w:rFonts w:asciiTheme="majorBidi" w:hAnsiTheme="majorBidi"/>
          <w:b/>
          <w:bCs/>
        </w:rPr>
      </w:pPr>
      <w:r>
        <w:br w:type="page"/>
      </w:r>
      <w:bookmarkStart w:id="2" w:name="_Toc165108621"/>
      <w:r w:rsidR="004F5730" w:rsidRPr="004F5730">
        <w:rPr>
          <w:rFonts w:asciiTheme="majorBidi" w:hAnsiTheme="majorBidi"/>
          <w:b/>
          <w:bCs/>
          <w:color w:val="auto"/>
        </w:rPr>
        <w:lastRenderedPageBreak/>
        <w:t>Acknowledgements</w:t>
      </w:r>
      <w:bookmarkEnd w:id="2"/>
    </w:p>
    <w:p w14:paraId="225FA734" w14:textId="77777777" w:rsidR="004F5730" w:rsidRDefault="004F5730" w:rsidP="004F5730">
      <w:pPr>
        <w:ind w:firstLine="0"/>
        <w:jc w:val="center"/>
        <w:rPr>
          <w:b/>
          <w:bCs/>
        </w:rPr>
      </w:pPr>
    </w:p>
    <w:p w14:paraId="4A9E49E3" w14:textId="7815B863" w:rsidR="004F5730" w:rsidRDefault="004F5730" w:rsidP="004F5730">
      <w:r>
        <w:t xml:space="preserve">This thesis is indebted to the intellectual generosity and kindness of numerous individuals whom I have had the privilege of encountering during my time researching and writing it. Special appreciation goes to Professor Charles Burnett for his exceptional generosity and understanding as my supervisor; without his guidance, patience, encouragement, and wisdom, this project would not have come to completion. I am also grateful to my second supervisor, Professor John Tresch, for his invaluable assistance and consistently thought-provoking suggestions. I extend my gratitude to Dr Hanna Vorholt, my Master’s supervisor, for her belief in my intellectual capabilities and for </w:t>
      </w:r>
      <w:r w:rsidR="00345145">
        <w:t>directing</w:t>
      </w:r>
      <w:r>
        <w:t xml:space="preserve"> me towards the doctoral program at the Warburg Institute. </w:t>
      </w:r>
    </w:p>
    <w:p w14:paraId="358554B2" w14:textId="77777777" w:rsidR="004F5730" w:rsidRDefault="004F5730" w:rsidP="004F5730">
      <w:r>
        <w:t xml:space="preserve">The realisation of my doctoral studies was made possible through a scholarship funded by the Gerda Henkel Foundation, to which I express my sincere gratitude. The Warburg Institute and Library provided a convivial and intellectually inspiring environment for my studies. I extend thanks to all the staff and students for their helpfulness and sympathy, fostering an atmosphere that facilitated my research and made my time here truly enjoyable. Special acknowledgement is owed to Dr Sara Miglietti for her constant encouragement and kindness. </w:t>
      </w:r>
    </w:p>
    <w:p w14:paraId="570EF23A" w14:textId="77777777" w:rsidR="004F5730" w:rsidRDefault="004F5730" w:rsidP="004F5730">
      <w:r>
        <w:t>Many colleagues and fellow students at the Institute have contributed significantly to my academic journey, with particular gratitude to Elisa Stafferini, Rita Yates, and Eugenia Sisto for their friendship, and to Beatrice Bottomley for many intellectually stimulating conversations and for engaging me in numerous fascinating projects.</w:t>
      </w:r>
      <w:r w:rsidRPr="00CE4E29">
        <w:t xml:space="preserve"> Additionally, I express gratitude to my lifelong friends Valentina Cassiani, Giorgia Brugnara, and Anna Chiara Visintainer for their consistent encouragement and </w:t>
      </w:r>
      <w:r>
        <w:t>support</w:t>
      </w:r>
      <w:r w:rsidRPr="00CE4E29">
        <w:t>.</w:t>
      </w:r>
    </w:p>
    <w:p w14:paraId="736F726F" w14:textId="4A97E80F" w:rsidR="004F5730" w:rsidRPr="00044487" w:rsidRDefault="004F5730" w:rsidP="004F5730">
      <w:r>
        <w:lastRenderedPageBreak/>
        <w:t xml:space="preserve">My deepest gratitude is reserved for Daniel Samuel, whose love and support, genuine interest in my research, and continual assistance in its improvement have been indispensable throughout these years. Much credit is owed to his brilliant mind and intellectual curiosity in shaping my project. Finally, heartfelt thanks to my parents and siblings for their unwavering support and belief in me. I dedicate this thesis to the memory of my grandmother, Bianca Maria de Cola, whose encouragement of my academic pursuits and initiation </w:t>
      </w:r>
      <w:r w:rsidR="00FD586B">
        <w:t>into</w:t>
      </w:r>
      <w:r>
        <w:t xml:space="preserve"> reading the stars have left an enduring impact on my life.</w:t>
      </w:r>
    </w:p>
    <w:p w14:paraId="6CA089AD" w14:textId="65CEA34A" w:rsidR="00FF1FDD" w:rsidRDefault="004F5730" w:rsidP="004F5730">
      <w:r>
        <w:br w:type="page"/>
      </w:r>
    </w:p>
    <w:p w14:paraId="743D1664" w14:textId="51424D22" w:rsidR="00030B74" w:rsidRPr="00093432" w:rsidRDefault="00030B74" w:rsidP="00093432">
      <w:pPr>
        <w:pStyle w:val="Heading1"/>
        <w:ind w:firstLine="0"/>
        <w:rPr>
          <w:rFonts w:asciiTheme="majorBidi" w:hAnsiTheme="majorBidi"/>
          <w:color w:val="auto"/>
          <w:sz w:val="24"/>
          <w:szCs w:val="24"/>
        </w:rPr>
      </w:pPr>
      <w:bookmarkStart w:id="3" w:name="_Toc165108622"/>
      <w:r w:rsidRPr="00093432">
        <w:rPr>
          <w:rFonts w:asciiTheme="majorBidi" w:hAnsiTheme="majorBidi"/>
          <w:color w:val="auto"/>
          <w:sz w:val="24"/>
          <w:szCs w:val="24"/>
        </w:rPr>
        <w:lastRenderedPageBreak/>
        <w:t>INTRODUCTION</w:t>
      </w:r>
      <w:bookmarkEnd w:id="3"/>
    </w:p>
    <w:p w14:paraId="6690F402" w14:textId="77777777" w:rsidR="00030B74" w:rsidRDefault="00030B74" w:rsidP="00030B74">
      <w:pPr>
        <w:ind w:firstLine="0"/>
      </w:pPr>
    </w:p>
    <w:p w14:paraId="61EDF054" w14:textId="0620D3C1" w:rsidR="00030B74" w:rsidRDefault="00030B74" w:rsidP="00030B74">
      <w:r>
        <w:t xml:space="preserve">This thesis seeks to explore the ongoing discourse concerning the epistemological status of geomancy during the late medieval era in Europe. The main case study and starting point of my research is the geomantic text entitled </w:t>
      </w:r>
      <w:r w:rsidRPr="00F87298">
        <w:rPr>
          <w:i/>
          <w:iCs/>
        </w:rPr>
        <w:t>Liber arenalis scientiae</w:t>
      </w:r>
      <w:r w:rsidR="00ED45CD">
        <w:rPr>
          <w:i/>
          <w:iCs/>
        </w:rPr>
        <w:t xml:space="preserve"> </w:t>
      </w:r>
      <w:r w:rsidR="00ED45CD">
        <w:t>(</w:t>
      </w:r>
      <w:r w:rsidR="006E490E">
        <w:t>T</w:t>
      </w:r>
      <w:r w:rsidR="00ED45CD">
        <w:t>he Book of the Science of the Sand)</w:t>
      </w:r>
      <w:r>
        <w:t>, whose translation from Arabic into Latin, completed in the first half of the twelfth century, is attributed to Plato of Tivoli.</w:t>
      </w:r>
      <w:r w:rsidRPr="007432B2">
        <w:t xml:space="preserve"> This particular text has provided an invaluable opportunity to conduct an in-depth analysis of a specific facet of geomantic</w:t>
      </w:r>
      <w:r w:rsidR="004F0F38">
        <w:t xml:space="preserve"> </w:t>
      </w:r>
      <w:r w:rsidRPr="007432B2">
        <w:t>methodology, specifically the geomancer</w:t>
      </w:r>
      <w:r>
        <w:t>’</w:t>
      </w:r>
      <w:r w:rsidRPr="007432B2">
        <w:t>s capacity to unveil the concealed thoughts and desires of their clients, which constitutes the principal thematic emphasis of Plato</w:t>
      </w:r>
      <w:r>
        <w:t>’</w:t>
      </w:r>
      <w:r w:rsidRPr="007432B2">
        <w:t>s work.</w:t>
      </w:r>
      <w:r>
        <w:t xml:space="preserve"> </w:t>
      </w:r>
      <w:r w:rsidRPr="007432B2">
        <w:t xml:space="preserve">Through a comprehensive analysis of </w:t>
      </w:r>
      <w:r>
        <w:t xml:space="preserve">the </w:t>
      </w:r>
      <w:r w:rsidRPr="00EA4770">
        <w:rPr>
          <w:i/>
          <w:iCs/>
        </w:rPr>
        <w:t>Liber arenalis scientiae</w:t>
      </w:r>
      <w:r w:rsidRPr="007432B2">
        <w:t xml:space="preserve"> within the broader landscape of geomantic literature in </w:t>
      </w:r>
      <w:r w:rsidR="00ED45CD">
        <w:t xml:space="preserve">late medieval </w:t>
      </w:r>
      <w:r w:rsidRPr="007432B2">
        <w:t xml:space="preserve">Europe, this thesis seeks to underscore the pivotal role played by the </w:t>
      </w:r>
      <w:r>
        <w:t xml:space="preserve">investigation of </w:t>
      </w:r>
      <w:r w:rsidR="0006688A" w:rsidRPr="00546FB0">
        <w:t>human thoughts</w:t>
      </w:r>
      <w:r w:rsidR="00546FB0">
        <w:t xml:space="preserve"> (</w:t>
      </w:r>
      <w:r w:rsidR="00546FB0" w:rsidRPr="00546FB0">
        <w:rPr>
          <w:i/>
          <w:iCs/>
        </w:rPr>
        <w:t>cogitationes</w:t>
      </w:r>
      <w:r w:rsidR="00546FB0">
        <w:t>)</w:t>
      </w:r>
      <w:r w:rsidRPr="0006688A">
        <w:rPr>
          <w:color w:val="70AD47" w:themeColor="accent6"/>
        </w:rPr>
        <w:t xml:space="preserve"> </w:t>
      </w:r>
      <w:r w:rsidRPr="007432B2">
        <w:t>within the practice of geomancy</w:t>
      </w:r>
      <w:r>
        <w:t xml:space="preserve">. </w:t>
      </w:r>
      <w:r w:rsidRPr="0053137A">
        <w:t xml:space="preserve">Furthermore, this study posits that this </w:t>
      </w:r>
      <w:r w:rsidR="00546FB0" w:rsidRPr="0053137A">
        <w:t>investigation into the human soul (</w:t>
      </w:r>
      <w:r w:rsidR="00546FB0" w:rsidRPr="0053137A">
        <w:rPr>
          <w:i/>
          <w:iCs/>
        </w:rPr>
        <w:t>anima</w:t>
      </w:r>
      <w:r w:rsidR="00546FB0" w:rsidRPr="0053137A">
        <w:t>) or mind (</w:t>
      </w:r>
      <w:r w:rsidR="00546FB0" w:rsidRPr="0053137A">
        <w:rPr>
          <w:i/>
          <w:iCs/>
        </w:rPr>
        <w:t>mens</w:t>
      </w:r>
      <w:r w:rsidR="00546FB0" w:rsidRPr="0053137A">
        <w:t>)</w:t>
      </w:r>
      <w:r w:rsidRPr="0053137A">
        <w:rPr>
          <w:color w:val="FF0000"/>
        </w:rPr>
        <w:t xml:space="preserve"> </w:t>
      </w:r>
      <w:r w:rsidRPr="0053137A">
        <w:t xml:space="preserve">played a foundational role in rendering geomancy a contentious subject, particularly in the eyes of the intellectual and ecclesiastical elites of the time. It is within this context that the </w:t>
      </w:r>
      <w:r w:rsidR="0053137A" w:rsidRPr="0053137A">
        <w:t xml:space="preserve">probing </w:t>
      </w:r>
      <w:r w:rsidRPr="0053137A">
        <w:t xml:space="preserve">of the </w:t>
      </w:r>
      <w:r w:rsidR="0053137A" w:rsidRPr="0053137A">
        <w:t>human soul</w:t>
      </w:r>
      <w:r w:rsidRPr="0053137A">
        <w:t xml:space="preserve"> wields considerable influence over the discourse pertaining to the epistemological significance of geomancy, as a discipline at the crossroads of natural and supernatural knowledge.</w:t>
      </w:r>
      <w:r>
        <w:t xml:space="preserve"> </w:t>
      </w:r>
    </w:p>
    <w:p w14:paraId="0029AD2C" w14:textId="77777777" w:rsidR="00030B74" w:rsidRDefault="00030B74" w:rsidP="00030B74">
      <w:pPr>
        <w:ind w:firstLine="0"/>
      </w:pPr>
    </w:p>
    <w:p w14:paraId="59E51E9D" w14:textId="77777777" w:rsidR="00030B74" w:rsidRPr="00093432" w:rsidRDefault="00030B74" w:rsidP="00093432">
      <w:pPr>
        <w:pStyle w:val="Heading3"/>
        <w:ind w:firstLine="0"/>
        <w:rPr>
          <w:rFonts w:asciiTheme="majorBidi" w:hAnsiTheme="majorBidi"/>
          <w:b/>
          <w:bCs/>
        </w:rPr>
      </w:pPr>
      <w:bookmarkStart w:id="4" w:name="_Toc165108623"/>
      <w:r w:rsidRPr="00093432">
        <w:rPr>
          <w:rFonts w:asciiTheme="majorBidi" w:hAnsiTheme="majorBidi"/>
          <w:b/>
          <w:bCs/>
          <w:color w:val="auto"/>
        </w:rPr>
        <w:t>Historiographical context</w:t>
      </w:r>
      <w:bookmarkEnd w:id="4"/>
    </w:p>
    <w:p w14:paraId="45D45EA1" w14:textId="77777777" w:rsidR="00030B74" w:rsidRPr="003C4282" w:rsidRDefault="00030B74" w:rsidP="00030B74">
      <w:pPr>
        <w:ind w:firstLine="0"/>
        <w:rPr>
          <w:b/>
          <w:bCs/>
        </w:rPr>
      </w:pPr>
    </w:p>
    <w:p w14:paraId="7F3F166F" w14:textId="4A24AD78" w:rsidR="00030B74" w:rsidRDefault="00030B74" w:rsidP="00030B74">
      <w:pPr>
        <w:ind w:firstLine="0"/>
      </w:pPr>
      <w:r>
        <w:tab/>
        <w:t xml:space="preserve">My examination of Plato of Tivoli’s geomantic tract is both inspired by and positioned in the context of recent endeavours aimed at rendering Latin geomantic texts more accessible to </w:t>
      </w:r>
      <w:r w:rsidR="00930A01">
        <w:t xml:space="preserve">both </w:t>
      </w:r>
      <w:r>
        <w:t xml:space="preserve">a scholarly and </w:t>
      </w:r>
      <w:r w:rsidR="00930A01">
        <w:t xml:space="preserve">a </w:t>
      </w:r>
      <w:r>
        <w:t xml:space="preserve">broader audience. It also seeks to illuminate the intricate </w:t>
      </w:r>
      <w:r>
        <w:lastRenderedPageBreak/>
        <w:t>manuscript transmission of these texts within the European milieu. Notably, these initiatives have been championed by scholars such as Thérèse Charmasson,</w:t>
      </w:r>
      <w:r>
        <w:rPr>
          <w:rStyle w:val="FootnoteReference"/>
        </w:rPr>
        <w:footnoteReference w:id="2"/>
      </w:r>
      <w:r>
        <w:t xml:space="preserve"> and more recently in the context of the project ‘Foreseeing events and dominating natures: models of operative rationality and the circulation of knowledge in the Arab, Hebrew, and Latin Middle Ages’ (2013-2015)</w:t>
      </w:r>
      <w:r w:rsidR="00F8694A">
        <w:t xml:space="preserve">, based </w:t>
      </w:r>
      <w:r w:rsidR="00DF2E92">
        <w:t>at</w:t>
      </w:r>
      <w:r w:rsidR="00F8694A">
        <w:t xml:space="preserve"> the University of Trento, the University of Lecce and the University of Bari Aldo Moro</w:t>
      </w:r>
      <w:r>
        <w:t>. The primary objective of th</w:t>
      </w:r>
      <w:r w:rsidR="008B2C2B">
        <w:t xml:space="preserve">is </w:t>
      </w:r>
      <w:r>
        <w:t>project was to launch critical edition</w:t>
      </w:r>
      <w:r w:rsidR="003343CC">
        <w:t>s</w:t>
      </w:r>
      <w:r>
        <w:t xml:space="preserve"> of three of the most significant Latin geomantic texts that circulated throughout medieval Europe. These texts include the anonymous </w:t>
      </w:r>
      <w:r w:rsidRPr="004B479A">
        <w:rPr>
          <w:i/>
          <w:iCs/>
        </w:rPr>
        <w:t>Estimaverunt Indi</w:t>
      </w:r>
      <w:r>
        <w:t>, which is currently the focus of scholarship by Alessandro Palazzo and Irene Zavattero;</w:t>
      </w:r>
      <w:r>
        <w:rPr>
          <w:rStyle w:val="FootnoteReference"/>
        </w:rPr>
        <w:footnoteReference w:id="3"/>
      </w:r>
      <w:r>
        <w:t xml:space="preserve"> the </w:t>
      </w:r>
      <w:r w:rsidRPr="004B479A">
        <w:rPr>
          <w:i/>
          <w:iCs/>
        </w:rPr>
        <w:t>Geomantia</w:t>
      </w:r>
      <w:r>
        <w:t xml:space="preserve"> of William of Moerbeke, </w:t>
      </w:r>
      <w:r w:rsidR="00EC7B6C">
        <w:t>whose edition has been completed</w:t>
      </w:r>
      <w:r>
        <w:t xml:space="preserve"> </w:t>
      </w:r>
      <w:r w:rsidR="002C7FE9">
        <w:t>by Elisa Rubino</w:t>
      </w:r>
      <w:r>
        <w:t>;</w:t>
      </w:r>
      <w:r w:rsidRPr="00E533B7">
        <w:rPr>
          <w:rStyle w:val="FootnoteReference"/>
        </w:rPr>
        <w:footnoteReference w:id="4"/>
      </w:r>
      <w:r w:rsidRPr="00E533B7">
        <w:t xml:space="preserve"> </w:t>
      </w:r>
      <w:r>
        <w:t xml:space="preserve">and the </w:t>
      </w:r>
      <w:r w:rsidRPr="004B479A">
        <w:rPr>
          <w:i/>
          <w:iCs/>
        </w:rPr>
        <w:t>Ars geomantiae</w:t>
      </w:r>
      <w:r>
        <w:t xml:space="preserve"> of </w:t>
      </w:r>
      <w:r>
        <w:lastRenderedPageBreak/>
        <w:t>Hugo Sanctelliensis, on which Pasquale Arf</w:t>
      </w:r>
      <w:r w:rsidR="00E56A01">
        <w:t>é</w:t>
      </w:r>
      <w:r>
        <w:t xml:space="preserve"> has </w:t>
      </w:r>
      <w:r w:rsidR="008B2C2B">
        <w:t>published several contributions</w:t>
      </w:r>
      <w:r>
        <w:t>.</w:t>
      </w:r>
      <w:r>
        <w:rPr>
          <w:rStyle w:val="FootnoteReference"/>
        </w:rPr>
        <w:footnoteReference w:id="5"/>
      </w:r>
      <w:r>
        <w:t xml:space="preserve"> While the project centred on these specific Latin geomantic works, it also encompassed broader scholarship, culminating in the publication of the comprehensive volume </w:t>
      </w:r>
      <w:r w:rsidR="003343CC">
        <w:t>en</w:t>
      </w:r>
      <w:r>
        <w:t>titled ‘Geomancy and Other Forms of Divination.’</w:t>
      </w:r>
      <w:r>
        <w:rPr>
          <w:rStyle w:val="FootnoteReference"/>
        </w:rPr>
        <w:footnoteReference w:id="6"/>
      </w:r>
      <w:r>
        <w:t xml:space="preserve"> This </w:t>
      </w:r>
      <w:r w:rsidR="003C2E56">
        <w:t>collective</w:t>
      </w:r>
      <w:r>
        <w:t xml:space="preserve"> volume brings together studies on geomantic texts from Islamic, Jewish, and Christian traditions, thereby enriching and contributing to the foundational study originally published by Charmasson in 1980. Among the contributions, those by Charles Burnett,</w:t>
      </w:r>
      <w:r>
        <w:rPr>
          <w:rStyle w:val="FootnoteReference"/>
        </w:rPr>
        <w:footnoteReference w:id="7"/>
      </w:r>
      <w:r>
        <w:t xml:space="preserve"> Blanca Villuendas Sabatè,</w:t>
      </w:r>
      <w:r>
        <w:rPr>
          <w:rStyle w:val="FootnoteReference"/>
        </w:rPr>
        <w:footnoteReference w:id="8"/>
      </w:r>
      <w:r>
        <w:t xml:space="preserve"> Pasquale Porro</w:t>
      </w:r>
      <w:r>
        <w:rPr>
          <w:rStyle w:val="FootnoteReference"/>
        </w:rPr>
        <w:footnoteReference w:id="9"/>
      </w:r>
      <w:r>
        <w:t xml:space="preserve"> and by the aforementioned scholars contributing to the ‘Foreseeing events’ project have been important points of reference in my study. Charmasson’s work continues to serve as a cornerstone for those engaging in the study of the Latin geomantic tradition.</w:t>
      </w:r>
    </w:p>
    <w:p w14:paraId="3496955A" w14:textId="3C71AFEB" w:rsidR="003210D4" w:rsidRDefault="00030B74" w:rsidP="00881F80">
      <w:pPr>
        <w:ind w:firstLine="0"/>
      </w:pPr>
      <w:r>
        <w:tab/>
        <w:t xml:space="preserve">While my thesis involves the edition and translation of the </w:t>
      </w:r>
      <w:r w:rsidRPr="00DE4904">
        <w:rPr>
          <w:i/>
          <w:iCs/>
        </w:rPr>
        <w:t>Liber arenalis scientiae</w:t>
      </w:r>
      <w:r>
        <w:t xml:space="preserve"> into </w:t>
      </w:r>
      <w:r w:rsidR="003C2E56">
        <w:t>m</w:t>
      </w:r>
      <w:r>
        <w:t xml:space="preserve">odern English, with the primary goal of rendering accessible a previously overlooked geomantic text, it also addresses a significant gap in the existing body of research. This gap pertains to the comprehensive exploration of the </w:t>
      </w:r>
      <w:r w:rsidR="00D833D5">
        <w:t>role played by</w:t>
      </w:r>
      <w:r w:rsidR="00EA7F9D" w:rsidRPr="00EA7F9D">
        <w:t xml:space="preserve"> the human soul</w:t>
      </w:r>
      <w:r w:rsidRPr="0006688A">
        <w:rPr>
          <w:color w:val="FF0000"/>
        </w:rPr>
        <w:t xml:space="preserve"> </w:t>
      </w:r>
      <w:r>
        <w:t xml:space="preserve">in the practice of geomancy. </w:t>
      </w:r>
      <w:r w:rsidR="006F6E65" w:rsidRPr="006F6E65">
        <w:t xml:space="preserve">In his work </w:t>
      </w:r>
      <w:r w:rsidR="006F6E65" w:rsidRPr="006F6E65">
        <w:rPr>
          <w:i/>
          <w:iCs/>
        </w:rPr>
        <w:t>Lo zodiaco della vita</w:t>
      </w:r>
      <w:r w:rsidR="006F6E65" w:rsidRPr="006F6E65">
        <w:t xml:space="preserve"> (1976), Eugenio Garin underscored the interrelation between two forms of divination popular in the late medieval period: geomancy </w:t>
      </w:r>
      <w:r w:rsidR="006F6E65" w:rsidRPr="006F6E65">
        <w:lastRenderedPageBreak/>
        <w:t xml:space="preserve">and astrological interrogations. These were two techniques </w:t>
      </w:r>
      <w:r w:rsidR="006F6E65">
        <w:t>that originated in the Islamicate world and were</w:t>
      </w:r>
      <w:r w:rsidR="006F6E65" w:rsidRPr="006F6E65">
        <w:t xml:space="preserve"> made available in Latin translation from the twelfth century. Moreover, Garin pointed out that geomancy intricately intertwines the movements of the h</w:t>
      </w:r>
      <w:r w:rsidR="001910BC">
        <w:t>e</w:t>
      </w:r>
      <w:r w:rsidR="006F6E65" w:rsidRPr="006F6E65">
        <w:t>avens with the motions of the human soul, surpassing the scope of traditional astrological inquiries. According to Garin, through the geomantic technique, the signs of the heavens can be read, rather than through astronomical observation and calculations, in the reflections that celestial influences determine within the human soul. These influences, inscribing themselves deeply within an individual, and shaping him, are accessible to the skilled geomancer, who knows how to decipher what stirs beyond the threshold of the conscious will.</w:t>
      </w:r>
      <w:r w:rsidR="006F6E65">
        <w:rPr>
          <w:rStyle w:val="FootnoteReference"/>
        </w:rPr>
        <w:footnoteReference w:id="10"/>
      </w:r>
      <w:r w:rsidR="00F5599D" w:rsidRPr="00F5599D">
        <w:t xml:space="preserve"> In Garin’s seminal work two essential features of geomancy emerge: its relationship with astrology, and its focus on probing the depth of the human soul as part of the prediction. The first of these research trajectories has since been explored </w:t>
      </w:r>
      <w:r w:rsidR="00F570F0">
        <w:t xml:space="preserve">by numerous scholars, resulting in a number of publication </w:t>
      </w:r>
      <w:r w:rsidR="00B2160D">
        <w:t>investigating</w:t>
      </w:r>
      <w:r w:rsidR="00F570F0">
        <w:t xml:space="preserve"> the relationship between geomancy and astrology</w:t>
      </w:r>
      <w:r w:rsidR="00F5599D" w:rsidRPr="00F5599D">
        <w:t>.</w:t>
      </w:r>
      <w:r w:rsidR="00F5599D">
        <w:rPr>
          <w:rStyle w:val="FootnoteReference"/>
        </w:rPr>
        <w:footnoteReference w:id="11"/>
      </w:r>
      <w:r w:rsidR="00932F46" w:rsidRPr="00932F46">
        <w:t xml:space="preserve"> In contrast, the </w:t>
      </w:r>
      <w:r w:rsidR="00932F46" w:rsidRPr="00932F46">
        <w:lastRenderedPageBreak/>
        <w:t>second facet highlighted by Garin</w:t>
      </w:r>
      <w:r w:rsidR="00F47279">
        <w:t xml:space="preserve"> –</w:t>
      </w:r>
      <w:r w:rsidR="00932F46" w:rsidRPr="00932F46">
        <w:t xml:space="preserve"> the </w:t>
      </w:r>
      <w:r w:rsidR="00F47279">
        <w:t>purported ability of geomancers to probe</w:t>
      </w:r>
      <w:r w:rsidR="00932F46" w:rsidRPr="00932F46">
        <w:t xml:space="preserve"> the human soul</w:t>
      </w:r>
      <w:r w:rsidR="00F47279">
        <w:t xml:space="preserve"> –</w:t>
      </w:r>
      <w:r w:rsidR="00932F46" w:rsidRPr="00932F46">
        <w:t xml:space="preserve"> has remained mostly overlooked</w:t>
      </w:r>
      <w:r w:rsidR="00721D38">
        <w:t xml:space="preserve">, with the exception of a recent article by Palazzo that draws </w:t>
      </w:r>
      <w:r>
        <w:t xml:space="preserve">attention to the </w:t>
      </w:r>
      <w:r w:rsidR="00F47279">
        <w:t>concept</w:t>
      </w:r>
      <w:r>
        <w:t xml:space="preserve"> of human ‘intentions’ (</w:t>
      </w:r>
      <w:r w:rsidRPr="00DE4904">
        <w:rPr>
          <w:i/>
          <w:iCs/>
        </w:rPr>
        <w:t>intentiones</w:t>
      </w:r>
      <w:r>
        <w:t>)</w:t>
      </w:r>
      <w:r w:rsidR="00D7181D">
        <w:t>, but is</w:t>
      </w:r>
      <w:r>
        <w:t xml:space="preserve"> </w:t>
      </w:r>
      <w:r w:rsidR="00F47279">
        <w:t xml:space="preserve">limited to its use in the geomantic treatise </w:t>
      </w:r>
      <w:r w:rsidR="00F47279" w:rsidRPr="006E138C">
        <w:rPr>
          <w:i/>
          <w:iCs/>
        </w:rPr>
        <w:t>Estimaverunt Indi</w:t>
      </w:r>
      <w:r w:rsidR="00B03BBC">
        <w:t>.</w:t>
      </w:r>
      <w:r w:rsidR="00F47279">
        <w:t>’</w:t>
      </w:r>
      <w:r>
        <w:rPr>
          <w:rStyle w:val="FootnoteReference"/>
        </w:rPr>
        <w:footnoteReference w:id="12"/>
      </w:r>
      <w:r>
        <w:t xml:space="preserve"> </w:t>
      </w:r>
      <w:r w:rsidR="006E138C">
        <w:t>Apart from this contribution</w:t>
      </w:r>
      <w:r>
        <w:t xml:space="preserve">, no prior study has ventured into the precise cosmological and </w:t>
      </w:r>
      <w:r w:rsidR="00F0795E" w:rsidRPr="00F0795E">
        <w:t>epistemological</w:t>
      </w:r>
      <w:r>
        <w:t xml:space="preserve"> mechanics underlining the exploration of the human soul, its significance in geomantic predictions, and the terminological nuances that define the concepts underpinning this process within medieval sources. </w:t>
      </w:r>
    </w:p>
    <w:p w14:paraId="50188902" w14:textId="2BDE8E4D" w:rsidR="00012862" w:rsidRDefault="00881F80" w:rsidP="00012862">
      <w:pPr>
        <w:ind w:firstLine="708"/>
      </w:pPr>
      <w:r>
        <w:t xml:space="preserve">The apparent lack of scholarly interest in this facet of geomancy is in contrast with the high number of medieval geomantic sources </w:t>
      </w:r>
      <w:r w:rsidR="003F21AA">
        <w:t>discussing</w:t>
      </w:r>
      <w:r>
        <w:t xml:space="preserve"> the ability of the geomancer to </w:t>
      </w:r>
      <w:r w:rsidR="005F0CE3">
        <w:t>uncover</w:t>
      </w:r>
      <w:r>
        <w:t xml:space="preserve"> the question that has prompted their client to seek their advice, without the latter having to formulate it out loud. </w:t>
      </w:r>
      <w:r w:rsidR="001B4AA1">
        <w:t>Beyond the confines of</w:t>
      </w:r>
      <w:r w:rsidR="00D7181D">
        <w:t xml:space="preserve"> the</w:t>
      </w:r>
      <w:r w:rsidR="001B4AA1">
        <w:t xml:space="preserve"> </w:t>
      </w:r>
      <w:r w:rsidR="005A2574">
        <w:t>medieval practice of geomancy, the same interest in probing the human soul has emerged as essential in contemporary geomantic practice in Senegal and Gambia, thanks to the scholarly efforts of Knut Graw</w:t>
      </w:r>
      <w:r w:rsidR="005A2574" w:rsidRPr="00012862">
        <w:t>.</w:t>
      </w:r>
      <w:r w:rsidR="0085776D" w:rsidRPr="00012862">
        <w:t xml:space="preserve"> His work has unveiled a potential continuity between how geomancy was practiced in the medieval era and its current application in North-West Africa.</w:t>
      </w:r>
      <w:r w:rsidR="0085776D" w:rsidRPr="00012862">
        <w:rPr>
          <w:rStyle w:val="FootnoteReference"/>
        </w:rPr>
        <w:footnoteReference w:id="13"/>
      </w:r>
      <w:r w:rsidR="0085776D" w:rsidRPr="00012862">
        <w:t xml:space="preserve"> Notably, one enduring aspect of contemporary geomancy appears to be the geomancer’s role in uncovering </w:t>
      </w:r>
      <w:r w:rsidR="004863E7">
        <w:t>his</w:t>
      </w:r>
      <w:r w:rsidR="0085776D" w:rsidRPr="00012862">
        <w:t xml:space="preserve"> client’s query without the client verbally articulating it. According to Graw, in Senegal and Gambia, divinatory consultations are primarily driven by the client’s intentions, desires, and longings.</w:t>
      </w:r>
      <w:r w:rsidR="0085776D" w:rsidRPr="00012862">
        <w:rPr>
          <w:rStyle w:val="FootnoteReference"/>
        </w:rPr>
        <w:footnoteReference w:id="14"/>
      </w:r>
      <w:r w:rsidR="0085776D" w:rsidRPr="00012862">
        <w:t xml:space="preserve"> The ability of the diviner depends on their proficiency in discerning the client’s </w:t>
      </w:r>
      <w:r w:rsidR="0085776D" w:rsidRPr="00012862">
        <w:lastRenderedPageBreak/>
        <w:t xml:space="preserve">intentions. In the geomantic practice known as </w:t>
      </w:r>
      <w:r w:rsidR="0085776D" w:rsidRPr="00012862">
        <w:rPr>
          <w:i/>
          <w:iCs/>
        </w:rPr>
        <w:t>ramalu</w:t>
      </w:r>
      <w:r w:rsidR="0085776D" w:rsidRPr="00012862">
        <w:t xml:space="preserve"> in Mandinka – preserving the Arabic root for geomancy, </w:t>
      </w:r>
      <w:r w:rsidR="0085776D" w:rsidRPr="00012862">
        <w:rPr>
          <w:i/>
          <w:iCs/>
        </w:rPr>
        <w:t>ʿilm al-raml</w:t>
      </w:r>
      <w:r w:rsidR="0085776D" w:rsidRPr="00012862">
        <w:t xml:space="preserve"> – the consultation begins with the client silently directing their </w:t>
      </w:r>
      <w:r w:rsidR="0085776D" w:rsidRPr="00012862">
        <w:rPr>
          <w:i/>
          <w:iCs/>
        </w:rPr>
        <w:t>nganiyo</w:t>
      </w:r>
      <w:r w:rsidR="0085776D" w:rsidRPr="00012862">
        <w:t xml:space="preserve"> (intention or desire, derived from the Arabic term </w:t>
      </w:r>
      <w:r w:rsidR="0085776D" w:rsidRPr="00012862">
        <w:rPr>
          <w:i/>
          <w:iCs/>
        </w:rPr>
        <w:t>niyya</w:t>
      </w:r>
      <w:r w:rsidR="0085776D" w:rsidRPr="00012862">
        <w:t>) onto the object that will be employed to create the geomantic chart, such as a pen or a stick.</w:t>
      </w:r>
      <w:r w:rsidR="0085776D" w:rsidRPr="00012862">
        <w:rPr>
          <w:rStyle w:val="FootnoteReference"/>
        </w:rPr>
        <w:footnoteReference w:id="15"/>
      </w:r>
      <w:r w:rsidR="0085776D" w:rsidRPr="00012862">
        <w:t xml:space="preserve"> It is then that the practitioner has the responsibility to accurately decipher the underlying issue of their client’s concern. The successful identification of the </w:t>
      </w:r>
      <w:r w:rsidR="0085776D" w:rsidRPr="00012862">
        <w:rPr>
          <w:i/>
          <w:iCs/>
        </w:rPr>
        <w:t>nganiyo</w:t>
      </w:r>
      <w:r w:rsidR="0085776D" w:rsidRPr="00012862">
        <w:t xml:space="preserve"> serves as the primary criterion for gauging the prediction’s success, with the interpretation drawing not only from geomantic signs but also from the diviner’s deep understanding of their client’s life, engaging their inspiration and intuition in the process.</w:t>
      </w:r>
      <w:r w:rsidR="0085776D" w:rsidRPr="00012862">
        <w:rPr>
          <w:rStyle w:val="FootnoteReference"/>
        </w:rPr>
        <w:footnoteReference w:id="16"/>
      </w:r>
      <w:r w:rsidR="0085776D" w:rsidRPr="00012862">
        <w:t xml:space="preserve"> </w:t>
      </w:r>
      <w:r w:rsidR="00012862">
        <w:t xml:space="preserve">The object of geomantic predictions is thus identified with human’s most hidden desires. This is exemplified by the fact that the first geomantic house in Mandinka predictions is called ‘the door of the heart’, with heart representing </w:t>
      </w:r>
      <w:r w:rsidR="00012862" w:rsidRPr="00012862">
        <w:t>the centre of emotions, volition, and desire</w:t>
      </w:r>
      <w:r w:rsidR="00012862">
        <w:t>, representing</w:t>
      </w:r>
      <w:r w:rsidR="00012862" w:rsidRPr="00012862">
        <w:t xml:space="preserve"> a person</w:t>
      </w:r>
      <w:r w:rsidR="00012862">
        <w:t>’</w:t>
      </w:r>
      <w:r w:rsidR="00012862" w:rsidRPr="00012862">
        <w:t>s essence</w:t>
      </w:r>
      <w:r w:rsidR="001C3CC4">
        <w:t xml:space="preserve">. In contrast with the thoughts of the mind, that can be shared verbally, Graw explains that </w:t>
      </w:r>
      <w:r w:rsidR="001C3CC4" w:rsidRPr="001C3CC4">
        <w:t>what resides in the heart is too profound to be communicated outwardly. Therefore, the geomancer’s role is not that of a ‘mind reader;’ rather, they bring to the surface their clients</w:t>
      </w:r>
      <w:r w:rsidR="002065B5">
        <w:t>’</w:t>
      </w:r>
      <w:r w:rsidR="001C3CC4" w:rsidRPr="001C3CC4">
        <w:t xml:space="preserve"> deepest desires and intentions, which would otherwise remain concealed and unaddressed.</w:t>
      </w:r>
      <w:r w:rsidR="001C3CC4">
        <w:t xml:space="preserve"> Furthermore, his explanation of Mandinka geomancy </w:t>
      </w:r>
      <w:r w:rsidR="001C3CC4" w:rsidRPr="001C3CC4">
        <w:t>suggests that while the mind is confined by the body, the heart can delve into contemplation, even towards God, indicating geomantic knowledge as supernatural rather than ordinary perception.</w:t>
      </w:r>
      <w:r w:rsidR="001C3CC4">
        <w:rPr>
          <w:rStyle w:val="FootnoteReference"/>
        </w:rPr>
        <w:footnoteReference w:id="17"/>
      </w:r>
    </w:p>
    <w:p w14:paraId="0592E239" w14:textId="1ED481CA" w:rsidR="00030B74" w:rsidRDefault="00321357" w:rsidP="003500C8">
      <w:r>
        <w:t xml:space="preserve">My thesis, building upon Garin’s initial observation regarding the significance of </w:t>
      </w:r>
      <w:r w:rsidR="00E6172B">
        <w:t xml:space="preserve">unveiling human desires within </w:t>
      </w:r>
      <w:r>
        <w:t xml:space="preserve">medieval geomancy, seeks to provide a comprehensive understanding of this subject. This research not only aims to clarify the relationship between </w:t>
      </w:r>
      <w:r>
        <w:lastRenderedPageBreak/>
        <w:t>geomancy and astrology from a fresh perspective but also delves into the intricate debates that emerged in the late medieval era concerning the epistemological standing of geomancy. While scholars have previously touched upon the controversial nature of geomantic practices, as evidenced by condemnations and anti-divinatory literature spanning from the thirteenth to the seventeenth centuries, previous analyses have largely overlooked the significance of geomancy’s purported ability to unveil human thoughts and desires</w:t>
      </w:r>
      <w:r w:rsidR="00F2400C">
        <w:t>.</w:t>
      </w:r>
      <w:r w:rsidR="00EE539F">
        <w:rPr>
          <w:rStyle w:val="FootnoteReference"/>
        </w:rPr>
        <w:footnoteReference w:id="18"/>
      </w:r>
      <w:r w:rsidR="00C541A8">
        <w:t xml:space="preserve"> </w:t>
      </w:r>
      <w:r w:rsidR="00D40D33">
        <w:t>In contrast to prior studies on the Latin geomantic tradition, this thesis argues, through the examination of various geomantic texts spanning from the late medieval period to the early modern era, that the alleged capacity of geomancers to discern their clients’ intentions and thoughts is a crucial aspect in understanding the reception of Islamic geomancy in Europe.  By focusing on the notion of ‘intentions’ within geomancy, this work provides a more comprehensive understanding of how geomancy was perceived in Europe and</w:t>
      </w:r>
      <w:r w:rsidR="00BD6084">
        <w:t xml:space="preserve"> of</w:t>
      </w:r>
      <w:r w:rsidR="00D40D33">
        <w:t xml:space="preserve"> the reasons behind it. This research aims to elucidate the tension apparent in both anti-divinatory literature and geomantic treatises regarding the nature of the knowledge geomancers were believed to possess, ultimately shedding light on the reception and spread of geomancy in Europe and its position among the various forms of foreknowledge available during that period. </w:t>
      </w:r>
      <w:r w:rsidR="00030B74">
        <w:t>The emphasis placed</w:t>
      </w:r>
      <w:r w:rsidR="00F0795E">
        <w:t xml:space="preserve"> within this thesis </w:t>
      </w:r>
      <w:r w:rsidR="00030B74">
        <w:t xml:space="preserve">on the </w:t>
      </w:r>
      <w:r w:rsidR="00F0795E" w:rsidRPr="00F0795E">
        <w:t>investigation of the human soul</w:t>
      </w:r>
      <w:r w:rsidR="00030B74" w:rsidRPr="0006688A">
        <w:rPr>
          <w:color w:val="FF0000"/>
        </w:rPr>
        <w:t xml:space="preserve"> </w:t>
      </w:r>
      <w:r w:rsidR="00F0795E">
        <w:t>in the practice of geomancy</w:t>
      </w:r>
      <w:r w:rsidR="00030B74">
        <w:t xml:space="preserve"> is well justified, </w:t>
      </w:r>
      <w:r w:rsidR="00D40D33">
        <w:t xml:space="preserve">as </w:t>
      </w:r>
      <w:r w:rsidR="00030B74">
        <w:t xml:space="preserve">it is the focal point of discussion in Plato’s </w:t>
      </w:r>
      <w:r w:rsidR="00030B74" w:rsidRPr="00C34E70">
        <w:rPr>
          <w:i/>
          <w:iCs/>
        </w:rPr>
        <w:t>Liber arenalis scientiae</w:t>
      </w:r>
      <w:r w:rsidR="00030B74">
        <w:t xml:space="preserve">, </w:t>
      </w:r>
      <w:r w:rsidR="003500C8">
        <w:t>the sole known geomantic compendium entirely devoted to elucidating diverse methods for acquiring such knowledge. By leveraging Plato’s text as a foundation for my investigation, I draw upon a diverse array of texts to illustrate how this aspect was prominently featured in European geomancy.</w:t>
      </w:r>
    </w:p>
    <w:p w14:paraId="20E09B25" w14:textId="77777777" w:rsidR="00D40D33" w:rsidRPr="00B54D44" w:rsidRDefault="00D40D33" w:rsidP="00D40D33"/>
    <w:p w14:paraId="6EFD4659" w14:textId="77777777" w:rsidR="00030B74" w:rsidRPr="00093432" w:rsidRDefault="00030B74" w:rsidP="00093432">
      <w:pPr>
        <w:pStyle w:val="Heading3"/>
        <w:ind w:firstLine="0"/>
        <w:rPr>
          <w:rFonts w:asciiTheme="majorBidi" w:hAnsiTheme="majorBidi"/>
          <w:b/>
          <w:bCs/>
          <w:color w:val="auto"/>
        </w:rPr>
      </w:pPr>
      <w:bookmarkStart w:id="7" w:name="_Toc165108624"/>
      <w:r w:rsidRPr="00093432">
        <w:rPr>
          <w:rFonts w:asciiTheme="majorBidi" w:hAnsiTheme="majorBidi"/>
          <w:b/>
          <w:bCs/>
          <w:color w:val="auto"/>
        </w:rPr>
        <w:lastRenderedPageBreak/>
        <w:t>Methodology</w:t>
      </w:r>
      <w:bookmarkEnd w:id="7"/>
    </w:p>
    <w:p w14:paraId="0580B388" w14:textId="77777777" w:rsidR="00030B74" w:rsidRDefault="00030B74" w:rsidP="00030B74">
      <w:pPr>
        <w:ind w:firstLine="0"/>
        <w:rPr>
          <w:b/>
          <w:bCs/>
        </w:rPr>
      </w:pPr>
    </w:p>
    <w:p w14:paraId="1B5CCDA0" w14:textId="77777777" w:rsidR="00F46D0F" w:rsidRDefault="00030B74" w:rsidP="00F46D0F">
      <w:pPr>
        <w:ind w:firstLine="708"/>
      </w:pPr>
      <w:r>
        <w:rPr>
          <w:b/>
          <w:bCs/>
        </w:rPr>
        <w:tab/>
      </w:r>
      <w:r w:rsidRPr="005A0590">
        <w:t xml:space="preserve">The methodology employed in this </w:t>
      </w:r>
      <w:r>
        <w:t>thesis</w:t>
      </w:r>
      <w:r w:rsidRPr="005A0590">
        <w:t xml:space="preserve"> comprises three overarching approaches. Firstly, a</w:t>
      </w:r>
      <w:r>
        <w:t xml:space="preserve">n </w:t>
      </w:r>
      <w:r w:rsidRPr="005A0590">
        <w:t xml:space="preserve">examination of the terminology employed in the </w:t>
      </w:r>
      <w:r w:rsidRPr="005A0590">
        <w:rPr>
          <w:i/>
          <w:iCs/>
        </w:rPr>
        <w:t>Liber arenalis scientiae</w:t>
      </w:r>
      <w:r w:rsidRPr="005A0590">
        <w:t xml:space="preserve"> and other contemporaneous geomantic treatises has been conducted, with a specific focus on the discourse surrounding the </w:t>
      </w:r>
      <w:r w:rsidR="000D1C5B" w:rsidRPr="000D1C5B">
        <w:t>investigation of human thoughts</w:t>
      </w:r>
      <w:r w:rsidRPr="005A0590">
        <w:t xml:space="preserve"> inherent in geomantic </w:t>
      </w:r>
      <w:r>
        <w:t>predictions</w:t>
      </w:r>
      <w:r w:rsidRPr="005A0590">
        <w:t>. This aspect concerns the geomancer</w:t>
      </w:r>
      <w:r>
        <w:t>’</w:t>
      </w:r>
      <w:r w:rsidRPr="005A0590">
        <w:t xml:space="preserve">s capacity to unveil the latent thoughts of the querent by interpreting the geomantic chart. As the majority of these geomantic texts </w:t>
      </w:r>
      <w:r>
        <w:t>are</w:t>
      </w:r>
      <w:r w:rsidRPr="005A0590">
        <w:t xml:space="preserve"> Latin translations of lost Arabic works, this approach endeavours to reconstruct the terminology utili</w:t>
      </w:r>
      <w:r>
        <w:t>s</w:t>
      </w:r>
      <w:r w:rsidRPr="005A0590">
        <w:t>ed in the original Arabic sources to elucidate this facet of geomancy. The goal is to clarify which dimension of the human soul is engaged in this practice and can be disclosed through this form of prediction.</w:t>
      </w:r>
    </w:p>
    <w:p w14:paraId="3FCF1C43" w14:textId="4EBBF2C2" w:rsidR="00030B74" w:rsidRPr="005A0590" w:rsidRDefault="00030B74" w:rsidP="00F46D0F">
      <w:pPr>
        <w:ind w:firstLine="708"/>
      </w:pPr>
      <w:r w:rsidRPr="005A0590">
        <w:t xml:space="preserve">The second approach seeks to </w:t>
      </w:r>
      <w:r w:rsidR="00F622DC" w:rsidRPr="005A0590">
        <w:t>explain</w:t>
      </w:r>
      <w:r w:rsidRPr="005A0590">
        <w:t xml:space="preserve"> the positioning of geomancy within the broader framework of medieval sciences, thus delving into its epistemological significance. This </w:t>
      </w:r>
      <w:r w:rsidR="006326D8" w:rsidRPr="005A0590">
        <w:t>line</w:t>
      </w:r>
      <w:r w:rsidR="006326D8">
        <w:t xml:space="preserve"> of research</w:t>
      </w:r>
      <w:r w:rsidRPr="005A0590">
        <w:t xml:space="preserve"> involves an exploration of the inherent ambiguity within geomancy, manifest in the presence of elements associated with natural prognostication as well as those reminiscent of the occult arts within geomantic literature. In particular, this methodology scrutini</w:t>
      </w:r>
      <w:r>
        <w:t>s</w:t>
      </w:r>
      <w:r w:rsidRPr="005A0590">
        <w:t>es the relationship between geomancy and other forms of divination. While the parallels between geomancy and astrology have received scholarly attention, as evidenced in studies by Charmasson,</w:t>
      </w:r>
      <w:r>
        <w:rPr>
          <w:rStyle w:val="FootnoteReference"/>
        </w:rPr>
        <w:footnoteReference w:id="19"/>
      </w:r>
      <w:r w:rsidRPr="005A0590">
        <w:t xml:space="preserve"> </w:t>
      </w:r>
      <w:bookmarkStart w:id="8" w:name="_Hlk149402437"/>
      <w:r>
        <w:t>W</w:t>
      </w:r>
      <w:r w:rsidRPr="005A0590">
        <w:t>im van Bi</w:t>
      </w:r>
      <w:r>
        <w:t>n</w:t>
      </w:r>
      <w:r w:rsidRPr="005A0590">
        <w:t>sbergen</w:t>
      </w:r>
      <w:bookmarkEnd w:id="8"/>
      <w:r w:rsidRPr="005A0590">
        <w:t>,</w:t>
      </w:r>
      <w:r>
        <w:rPr>
          <w:rStyle w:val="FootnoteReference"/>
        </w:rPr>
        <w:footnoteReference w:id="20"/>
      </w:r>
      <w:r w:rsidRPr="005A0590">
        <w:t xml:space="preserve"> Emilie Savage-Smith and Marion Smith,</w:t>
      </w:r>
      <w:r>
        <w:rPr>
          <w:rStyle w:val="FootnoteReference"/>
        </w:rPr>
        <w:footnoteReference w:id="21"/>
      </w:r>
      <w:r w:rsidRPr="005A0590">
        <w:t xml:space="preserve"> </w:t>
      </w:r>
      <w:r>
        <w:t>this</w:t>
      </w:r>
      <w:r w:rsidRPr="005A0590">
        <w:t xml:space="preserve"> research also </w:t>
      </w:r>
      <w:r>
        <w:t>investigates</w:t>
      </w:r>
      <w:r w:rsidRPr="005A0590">
        <w:t xml:space="preserve"> the less-explored yet equally intriguing similarities between </w:t>
      </w:r>
      <w:r w:rsidRPr="005A0590">
        <w:lastRenderedPageBreak/>
        <w:t>geomancy and the craft of talisman-making and oneiromancy. This analysis is informed by the work of Michael Noble</w:t>
      </w:r>
      <w:r>
        <w:rPr>
          <w:rStyle w:val="FootnoteReference"/>
        </w:rPr>
        <w:footnoteReference w:id="22"/>
      </w:r>
      <w:r w:rsidRPr="005A0590">
        <w:t xml:space="preserve"> and Valerio Cap</w:t>
      </w:r>
      <w:r w:rsidR="00A46BCC">
        <w:t>p</w:t>
      </w:r>
      <w:r w:rsidRPr="005A0590">
        <w:t>ozzo.</w:t>
      </w:r>
      <w:r>
        <w:rPr>
          <w:rStyle w:val="FootnoteReference"/>
        </w:rPr>
        <w:footnoteReference w:id="23"/>
      </w:r>
    </w:p>
    <w:p w14:paraId="077BFC40" w14:textId="73F54F23" w:rsidR="00030B74" w:rsidRDefault="00030B74" w:rsidP="00030B74">
      <w:r w:rsidRPr="005A0590">
        <w:t xml:space="preserve">The third aspect of the methodology </w:t>
      </w:r>
      <w:r w:rsidR="00835825">
        <w:t xml:space="preserve">employed in this thesis </w:t>
      </w:r>
      <w:r w:rsidRPr="005A0590">
        <w:t xml:space="preserve">entails an examination of a substantial corpus of texts from both </w:t>
      </w:r>
      <w:r>
        <w:t xml:space="preserve">the </w:t>
      </w:r>
      <w:r w:rsidRPr="005A0590">
        <w:t xml:space="preserve">manuscript and printed traditions of geomantic literature produced in </w:t>
      </w:r>
      <w:r w:rsidR="001A08FD">
        <w:t>Europe</w:t>
      </w:r>
      <w:r w:rsidRPr="005A0590">
        <w:t xml:space="preserve"> from the twelfth to the seventeenth century. This investigation aims to underscore the elements of continuity and change within geomancy over the centuries, particularly with regard to its relationship with astrology and the occult arts, as well as the significance attributed to the human soul in geomantic practice.</w:t>
      </w:r>
    </w:p>
    <w:p w14:paraId="3A88E8C9" w14:textId="77777777" w:rsidR="00030B74" w:rsidRPr="001E3E5B" w:rsidRDefault="00030B74" w:rsidP="00030B74"/>
    <w:p w14:paraId="31573013" w14:textId="3D1BAE1E" w:rsidR="00030B74" w:rsidRPr="00093432" w:rsidRDefault="00030B74" w:rsidP="00093432">
      <w:pPr>
        <w:pStyle w:val="Heading3"/>
        <w:ind w:firstLine="0"/>
        <w:rPr>
          <w:rFonts w:asciiTheme="majorBidi" w:hAnsiTheme="majorBidi"/>
          <w:b/>
          <w:bCs/>
          <w:color w:val="auto"/>
        </w:rPr>
      </w:pPr>
      <w:bookmarkStart w:id="9" w:name="_Toc165108625"/>
      <w:r w:rsidRPr="00093432">
        <w:rPr>
          <w:rFonts w:asciiTheme="majorBidi" w:hAnsiTheme="majorBidi"/>
          <w:b/>
          <w:bCs/>
          <w:color w:val="auto"/>
        </w:rPr>
        <w:t>Organisation of the thesis</w:t>
      </w:r>
      <w:bookmarkEnd w:id="9"/>
    </w:p>
    <w:p w14:paraId="78DC268F" w14:textId="77777777" w:rsidR="00030B74" w:rsidRPr="003C4282" w:rsidRDefault="00030B74" w:rsidP="00030B74">
      <w:pPr>
        <w:ind w:firstLine="0"/>
        <w:rPr>
          <w:b/>
          <w:bCs/>
        </w:rPr>
      </w:pPr>
    </w:p>
    <w:p w14:paraId="30C03E1A" w14:textId="064E055E" w:rsidR="00030B74" w:rsidRDefault="00030B74" w:rsidP="00030B74">
      <w:pPr>
        <w:ind w:firstLine="0"/>
      </w:pPr>
      <w:r>
        <w:tab/>
        <w:t xml:space="preserve">The first chapter of this thesis serves as an introduction to the </w:t>
      </w:r>
      <w:r w:rsidR="00890245">
        <w:t>Latin</w:t>
      </w:r>
      <w:r>
        <w:t xml:space="preserve"> geomantic tradition, delineating it in four main domains. The first segment offers a comprehensive elucidation of the foundational principles underpinning the geomantic technique, expounding upon the essential elements that constitute this practice. Subsequently, the second section delves into the historical context of geomancy’s emergence in </w:t>
      </w:r>
      <w:r w:rsidR="00890245">
        <w:t>European culture</w:t>
      </w:r>
      <w:r>
        <w:t xml:space="preserve">, positioning it within the broader cultural renaissance that ensued following the translation of Arabic and Greek works into Latin during the twelfth century. The third section supplies a panoramic overview of the diffusion of geomancy throughout Europe subsequent to its inaugural appearance in the twelfth century. This encompasses an exploration of Latin authors and practitioners of geomancy, the intellectual discourse surrounding geomancy within the elite circles of the era, and the references to geomancy within literary works, all of which </w:t>
      </w:r>
      <w:r>
        <w:lastRenderedPageBreak/>
        <w:t>collectively attest the widespread presence of this form of divination within medieval culture. Lastly, the concluding section of this chapter scrutinises the significant condemnations and opposition faced by geomancy from ecclesiastical authorities.</w:t>
      </w:r>
    </w:p>
    <w:p w14:paraId="5A1B328D" w14:textId="1A624D73" w:rsidR="00030B74" w:rsidRDefault="00030B74" w:rsidP="00030B74">
      <w:pPr>
        <w:ind w:firstLine="0"/>
      </w:pPr>
      <w:r>
        <w:tab/>
        <w:t xml:space="preserve">As previously indicated, the central focus of this thesis revolves around a specific text known as </w:t>
      </w:r>
      <w:r w:rsidRPr="0060786F">
        <w:rPr>
          <w:i/>
          <w:iCs/>
        </w:rPr>
        <w:t>Liber arenalis scientiae</w:t>
      </w:r>
      <w:r>
        <w:t xml:space="preserve">, attributed to the Italian translator Plato of Tivoli. The edition and translation into </w:t>
      </w:r>
      <w:r w:rsidR="00796575">
        <w:t>m</w:t>
      </w:r>
      <w:r>
        <w:t xml:space="preserve">odern English of this previously unexplored text are presented in Appendix 3. The second chapter of this thesis embarks on a comprehensive examination of this text, encompassing a detailed exploration of its manuscript tradition, content, and significance. Supporting this analysis, Appendices 1 and 2 are also dedicated to the </w:t>
      </w:r>
      <w:r w:rsidRPr="0060786F">
        <w:rPr>
          <w:i/>
          <w:iCs/>
        </w:rPr>
        <w:t>Liber arenalis scientiae.</w:t>
      </w:r>
      <w:r>
        <w:t xml:space="preserve"> Appendix 1 provides a description of the four manuscripts in which a geomantic text bearing the same title is preserved. In parallel, Appendix 2 contains images of the title pages from each of these manuscripts.</w:t>
      </w:r>
    </w:p>
    <w:p w14:paraId="606F3385" w14:textId="77777777" w:rsidR="00030B74" w:rsidRDefault="00030B74" w:rsidP="00030B74">
      <w:pPr>
        <w:ind w:firstLine="0"/>
      </w:pPr>
      <w:r>
        <w:tab/>
        <w:t>The third chapter initiates the exploration into the epistemological status of geomancy during the Middle Ages, with a particular focus on its intricate interplay with astrology. This analysis delves into the multifaceted scholarly discourse surrounding the intersection of these two disciplines, analysing these correspondences from both textual and visual perspectives, shedding light on the intricate web of relationships between ‘the science of the sand’ and ‘the science of the stars.’</w:t>
      </w:r>
    </w:p>
    <w:p w14:paraId="25186F87" w14:textId="290E1E1F" w:rsidR="00030B74" w:rsidRDefault="00030B74" w:rsidP="00030B74">
      <w:pPr>
        <w:ind w:firstLine="0"/>
      </w:pPr>
      <w:r>
        <w:tab/>
        <w:t xml:space="preserve">The fourth chapter serves as the nodal point of this thesis, and is dedicated to unravelling the profound significance </w:t>
      </w:r>
      <w:r w:rsidRPr="000D1C5B">
        <w:t xml:space="preserve">of </w:t>
      </w:r>
      <w:r w:rsidR="000D1C5B" w:rsidRPr="000D1C5B">
        <w:t>unveiling human thoughts</w:t>
      </w:r>
      <w:r w:rsidRPr="00004DD5">
        <w:rPr>
          <w:color w:val="FF0000"/>
        </w:rPr>
        <w:t xml:space="preserve"> </w:t>
      </w:r>
      <w:r>
        <w:t xml:space="preserve">within the geomantic practice. The first section of the chapter assembles material from various twelfth-century geomantic texts that, akin to the </w:t>
      </w:r>
      <w:r w:rsidRPr="00050B62">
        <w:rPr>
          <w:i/>
          <w:iCs/>
        </w:rPr>
        <w:t>Liber arenalis scientiae</w:t>
      </w:r>
      <w:r>
        <w:t xml:space="preserve">, delve into the examination of human intentions. The purpose behind this compilation is to study how these treatises articulate the concept of ‘intentions’ and the specific linguistic nuances employed to engage with this intricate subject. The second segment embarks on a theoretical exploration, positing </w:t>
      </w:r>
      <w:r>
        <w:lastRenderedPageBreak/>
        <w:t xml:space="preserve">that the Arabic term </w:t>
      </w:r>
      <w:r w:rsidRPr="00050B62">
        <w:rPr>
          <w:i/>
          <w:iCs/>
        </w:rPr>
        <w:t>ḍamīr</w:t>
      </w:r>
      <w:r>
        <w:t xml:space="preserve"> should be identified as the original term employed within geomantic literature, subsequently translated into Latin as </w:t>
      </w:r>
      <w:r w:rsidRPr="00050B62">
        <w:rPr>
          <w:i/>
          <w:iCs/>
        </w:rPr>
        <w:t>intentio</w:t>
      </w:r>
      <w:r>
        <w:t xml:space="preserve">. This section undertakes a nuanced analysis of the multifaceted dimensions encapsulated within this Arabic term. Finally, drawing from the insightful analysis of the correspondences between geomancy and astrology expounded upon in the preceding chapter, </w:t>
      </w:r>
      <w:r w:rsidR="003F1E78">
        <w:t>the final section of chapter four</w:t>
      </w:r>
      <w:r>
        <w:t xml:space="preserve"> offer</w:t>
      </w:r>
      <w:r w:rsidR="003F1E78">
        <w:t>s</w:t>
      </w:r>
      <w:r>
        <w:t xml:space="preserve"> a concise summary of sources on astrological interrogations, all of which converge on the theme of probing the human soul.</w:t>
      </w:r>
    </w:p>
    <w:p w14:paraId="357B4B56" w14:textId="32FD3D84" w:rsidR="00030B74" w:rsidRDefault="00030B74" w:rsidP="00030B74">
      <w:pPr>
        <w:ind w:firstLine="0"/>
      </w:pPr>
      <w:r>
        <w:tab/>
        <w:t xml:space="preserve">Having explored the intricate interplay between geomancy and astrology in the preceding chapters, the fifth chapter shifts its focus toward an examination of the dynamic between geomancy and the occult sciences. This exploration unfolds in two distinct sections, the initial section delves into the relationship that exists between geomancy and talisman-making, grounded in their mutual engagement with purification rituals. It also highlights their shared emphasis on the practitioner’s mental state, as well as the concept of </w:t>
      </w:r>
      <w:r w:rsidR="00004DD5">
        <w:t>‘</w:t>
      </w:r>
      <w:r>
        <w:t>self-talismanisation</w:t>
      </w:r>
      <w:r w:rsidR="00004DD5">
        <w:t>’</w:t>
      </w:r>
      <w:r>
        <w:t xml:space="preserve">, wherein the practitioner serves as a conduit for astral influences. The subsequent section offers an analysis of the various instances where geomancy and oneiromancy (dream interpretation) converge in both literary and philosophical works. This convergence is justified by the shared </w:t>
      </w:r>
      <w:r w:rsidR="004353DB">
        <w:t>interest</w:t>
      </w:r>
      <w:r>
        <w:t xml:space="preserve"> these two disciplines </w:t>
      </w:r>
      <w:r w:rsidR="003568BA">
        <w:t>have</w:t>
      </w:r>
      <w:r>
        <w:t xml:space="preserve"> for deciphering latent thoughts residing within the depths of the human soul’s unconscious dimension.</w:t>
      </w:r>
    </w:p>
    <w:p w14:paraId="13AC412F" w14:textId="1502282D" w:rsidR="00030B74" w:rsidRDefault="00030B74" w:rsidP="00030B74">
      <w:pPr>
        <w:ind w:firstLine="0"/>
      </w:pPr>
      <w:r>
        <w:tab/>
        <w:t xml:space="preserve"> The concluding chapter delves into the legacy of medieval geomancy, unveiling its impact in subsequent periods. The initial section casts a wide net, encompassing a diverse array of early modern geomantic texts, both in Latin and vernacular, to scrutinise the interplay of elements that have persisted from the medieval tradition, as well as the alterations that have occurred. Subsequent to this analysis, the chapter focusses on two emblematic case studies that exemplify divergent trajectories in the evolution of geomancy during the sixteenth and seventeenth centuries. These case studies centre on the contributions </w:t>
      </w:r>
      <w:r>
        <w:lastRenderedPageBreak/>
        <w:t>of the physician and philosopher Robert Fludd, and the occultist John Heydon. The examination of Robert Fludd’s work reveals intriguing correspondences with the medieval geomantic tradition, particularly in terms of the central role attributed to the human soul within the geomantic technique. In stark contrast, the works of John Heydon mark a notable departure from preceding traditions, serving as a catalyst for the subsequent resurgence of geomancy within twentieth-century occultist circles.</w:t>
      </w:r>
    </w:p>
    <w:p w14:paraId="4671D4D4" w14:textId="2B3A16E1" w:rsidR="00030B74" w:rsidRDefault="00030B74" w:rsidP="00030B74">
      <w:r>
        <w:br w:type="page"/>
      </w:r>
    </w:p>
    <w:p w14:paraId="0BC4A347" w14:textId="6B15CF2F" w:rsidR="008B64A3" w:rsidRPr="00B44593" w:rsidRDefault="000D354E" w:rsidP="000D354E">
      <w:pPr>
        <w:ind w:left="360" w:firstLine="0"/>
        <w:outlineLvl w:val="0"/>
      </w:pPr>
      <w:bookmarkStart w:id="10" w:name="_Toc165108626"/>
      <w:r>
        <w:lastRenderedPageBreak/>
        <w:t xml:space="preserve">I. </w:t>
      </w:r>
      <w:r w:rsidR="008B64A3">
        <w:t>GEOMANCY IN THE WEST</w:t>
      </w:r>
      <w:r w:rsidR="00F71940">
        <w:rPr>
          <w:rStyle w:val="FootnoteReference"/>
        </w:rPr>
        <w:footnoteReference w:id="24"/>
      </w:r>
      <w:bookmarkEnd w:id="10"/>
    </w:p>
    <w:p w14:paraId="11B8A247" w14:textId="77777777" w:rsidR="008B64A3" w:rsidRDefault="008B64A3" w:rsidP="008B64A3"/>
    <w:p w14:paraId="73363C35" w14:textId="1BA50E31" w:rsidR="008B64A3" w:rsidRPr="00184011" w:rsidRDefault="008B64A3" w:rsidP="008B64A3">
      <w:r w:rsidRPr="00184011">
        <w:t xml:space="preserve">The Latin term </w:t>
      </w:r>
      <w:r w:rsidRPr="00184011">
        <w:rPr>
          <w:i/>
          <w:iCs/>
        </w:rPr>
        <w:t>geomantia</w:t>
      </w:r>
      <w:r w:rsidRPr="00184011">
        <w:t xml:space="preserve"> (in English ‘geomancy’) is a name of Greek origin, used in the Latin world since antiquity, to designate one of the divinatory practices based on the four natural elements, in this case, the earth, meaning </w:t>
      </w:r>
      <w:r w:rsidRPr="00184011">
        <w:rPr>
          <w:i/>
          <w:iCs/>
        </w:rPr>
        <w:t>geo-mantia</w:t>
      </w:r>
      <w:r w:rsidRPr="00184011">
        <w:t xml:space="preserve"> ‘earth divination</w:t>
      </w:r>
      <w:r w:rsidR="00B15EDE">
        <w:t>.</w:t>
      </w:r>
      <w:r w:rsidRPr="00184011">
        <w:t xml:space="preserve">’ In this sense, geomancy </w:t>
      </w:r>
      <w:r w:rsidR="00D920C0">
        <w:t>was</w:t>
      </w:r>
      <w:r w:rsidRPr="00184011">
        <w:t xml:space="preserve"> the observation of phenomena such as earthquakes and volcanic eruptions as signs enabling one to read the future. This form of divination is described in a fragment by Varro, reported by Isidore of Seville: “Varro says there are four genres of divination, of earth, water, air and fire: hence geomancy, hydromancy, aeromancy, pyromancy</w:t>
      </w:r>
      <w:r w:rsidR="00B15EDE">
        <w:t>.</w:t>
      </w:r>
      <w:r w:rsidRPr="00184011">
        <w:t>”</w:t>
      </w:r>
      <w:r w:rsidRPr="00184011">
        <w:rPr>
          <w:rStyle w:val="FootnoteReference"/>
        </w:rPr>
        <w:footnoteReference w:id="25"/>
      </w:r>
      <w:r w:rsidRPr="00184011">
        <w:t xml:space="preserve"> </w:t>
      </w:r>
      <w:r>
        <w:t>From</w:t>
      </w:r>
      <w:r w:rsidRPr="00184011">
        <w:t xml:space="preserve"> the twelfth century, the same term </w:t>
      </w:r>
      <w:r>
        <w:t>was</w:t>
      </w:r>
      <w:r w:rsidRPr="00184011">
        <w:t xml:space="preserve"> used – for the first time by Hugo Sanctelliensis – with a different meaning.</w:t>
      </w:r>
      <w:r w:rsidRPr="00184011">
        <w:rPr>
          <w:rStyle w:val="FootnoteReference"/>
        </w:rPr>
        <w:footnoteReference w:id="26"/>
      </w:r>
      <w:r w:rsidRPr="00184011">
        <w:t xml:space="preserve"> It became the </w:t>
      </w:r>
      <w:r w:rsidR="0001613C">
        <w:t xml:space="preserve">standard </w:t>
      </w:r>
      <w:r w:rsidRPr="00184011">
        <w:t>Latin translation of the Arabic term ʿ</w:t>
      </w:r>
      <w:r w:rsidRPr="00184011">
        <w:rPr>
          <w:i/>
          <w:iCs/>
        </w:rPr>
        <w:t>ilm al-raml</w:t>
      </w:r>
      <w:r w:rsidRPr="00184011">
        <w:t xml:space="preserve"> (the science of the sand) which indicate</w:t>
      </w:r>
      <w:r>
        <w:t>d</w:t>
      </w:r>
      <w:r w:rsidRPr="00184011">
        <w:t xml:space="preserve"> a form of divination that </w:t>
      </w:r>
      <w:r w:rsidR="00493EB4">
        <w:t>Europe</w:t>
      </w:r>
      <w:r w:rsidRPr="00184011">
        <w:t xml:space="preserve"> had not known before. This method of prediction, also known by the Arabs as </w:t>
      </w:r>
      <w:r w:rsidRPr="00184011">
        <w:rPr>
          <w:i/>
          <w:iCs/>
        </w:rPr>
        <w:t>kha</w:t>
      </w:r>
      <w:r>
        <w:rPr>
          <w:i/>
          <w:iCs/>
        </w:rPr>
        <w:t>ṭṭ</w:t>
      </w:r>
      <w:r w:rsidRPr="00184011">
        <w:rPr>
          <w:i/>
          <w:iCs/>
        </w:rPr>
        <w:t xml:space="preserve"> al-raml</w:t>
      </w:r>
      <w:r w:rsidRPr="00184011">
        <w:t xml:space="preserve"> (the lining of sand)</w:t>
      </w:r>
      <w:r w:rsidRPr="00184011">
        <w:rPr>
          <w:rStyle w:val="FootnoteReference"/>
        </w:rPr>
        <w:footnoteReference w:id="27"/>
      </w:r>
      <w:r w:rsidRPr="00184011">
        <w:t xml:space="preserve"> and </w:t>
      </w:r>
      <w:r w:rsidRPr="00184011">
        <w:rPr>
          <w:i/>
          <w:iCs/>
        </w:rPr>
        <w:t xml:space="preserve">ḍarb al-raml </w:t>
      </w:r>
      <w:r w:rsidRPr="00184011">
        <w:t xml:space="preserve">(the marking of sand), </w:t>
      </w:r>
      <w:r>
        <w:t>entered</w:t>
      </w:r>
      <w:r w:rsidRPr="00184011">
        <w:t xml:space="preserve"> </w:t>
      </w:r>
      <w:r>
        <w:t>Europe</w:t>
      </w:r>
      <w:r w:rsidRPr="00184011">
        <w:t xml:space="preserve"> </w:t>
      </w:r>
      <w:r>
        <w:t>as part of</w:t>
      </w:r>
      <w:r w:rsidRPr="00184011">
        <w:t xml:space="preserve"> the translation movement of the twelfth century.</w:t>
      </w:r>
      <w:r>
        <w:rPr>
          <w:rStyle w:val="FootnoteReference"/>
        </w:rPr>
        <w:footnoteReference w:id="28"/>
      </w:r>
      <w:r w:rsidRPr="00184011">
        <w:t xml:space="preserve"> While </w:t>
      </w:r>
      <w:r>
        <w:t xml:space="preserve">the Latin translator </w:t>
      </w:r>
      <w:r w:rsidRPr="00184011">
        <w:t xml:space="preserve">Hugo </w:t>
      </w:r>
      <w:r>
        <w:t xml:space="preserve">Sanctelliensis </w:t>
      </w:r>
      <w:r w:rsidRPr="00184011">
        <w:t>d</w:t>
      </w:r>
      <w:r>
        <w:t>ecided on using</w:t>
      </w:r>
      <w:r w:rsidRPr="00184011">
        <w:t xml:space="preserve"> the known term </w:t>
      </w:r>
      <w:r w:rsidR="00B367AE">
        <w:t>‘</w:t>
      </w:r>
      <w:r w:rsidRPr="00B367AE">
        <w:t>geomantia</w:t>
      </w:r>
      <w:r w:rsidR="00B367AE">
        <w:t>’</w:t>
      </w:r>
      <w:r w:rsidRPr="00184011">
        <w:t xml:space="preserve"> to </w:t>
      </w:r>
      <w:r>
        <w:t xml:space="preserve">translate </w:t>
      </w:r>
      <w:r w:rsidRPr="00184011">
        <w:t>ʿ</w:t>
      </w:r>
      <w:r w:rsidRPr="00184011">
        <w:rPr>
          <w:i/>
          <w:iCs/>
        </w:rPr>
        <w:t>ilm al-raml</w:t>
      </w:r>
      <w:r w:rsidRPr="00184011">
        <w:t>, other authors translate</w:t>
      </w:r>
      <w:r>
        <w:t>d</w:t>
      </w:r>
      <w:r w:rsidRPr="00184011">
        <w:t xml:space="preserve"> it as </w:t>
      </w:r>
      <w:r w:rsidRPr="00184011">
        <w:rPr>
          <w:i/>
          <w:iCs/>
        </w:rPr>
        <w:t>scientia line</w:t>
      </w:r>
      <w:r>
        <w:rPr>
          <w:i/>
          <w:iCs/>
        </w:rPr>
        <w:t>e</w:t>
      </w:r>
      <w:r w:rsidRPr="00184011">
        <w:rPr>
          <w:i/>
          <w:iCs/>
        </w:rPr>
        <w:t xml:space="preserve">/scientia linearum </w:t>
      </w:r>
      <w:r w:rsidRPr="00184011">
        <w:t xml:space="preserve">(the science of lines), </w:t>
      </w:r>
      <w:r w:rsidRPr="00184011">
        <w:rPr>
          <w:i/>
          <w:iCs/>
        </w:rPr>
        <w:t>scientia arenalis</w:t>
      </w:r>
      <w:r w:rsidRPr="00184011">
        <w:t xml:space="preserve"> (the</w:t>
      </w:r>
      <w:r w:rsidR="00B367AE">
        <w:t xml:space="preserve"> sandy</w:t>
      </w:r>
      <w:r w:rsidRPr="00184011">
        <w:t xml:space="preserve"> science) </w:t>
      </w:r>
      <w:r w:rsidRPr="00184011">
        <w:lastRenderedPageBreak/>
        <w:t xml:space="preserve">and </w:t>
      </w:r>
      <w:r w:rsidRPr="00184011">
        <w:rPr>
          <w:i/>
          <w:iCs/>
        </w:rPr>
        <w:t>ars punctorum</w:t>
      </w:r>
      <w:r w:rsidRPr="00184011">
        <w:t xml:space="preserve"> (the art of </w:t>
      </w:r>
      <w:r w:rsidR="002F2BE4">
        <w:t>points</w:t>
      </w:r>
      <w:r w:rsidRPr="00184011">
        <w:t xml:space="preserve">), which are more accurate translations of the Arabic terms. In fact, the </w:t>
      </w:r>
      <w:r>
        <w:t>expression</w:t>
      </w:r>
      <w:r w:rsidRPr="00184011">
        <w:t xml:space="preserve"> </w:t>
      </w:r>
      <w:r>
        <w:rPr>
          <w:i/>
          <w:iCs/>
        </w:rPr>
        <w:t>‘i</w:t>
      </w:r>
      <w:r w:rsidRPr="00184011">
        <w:rPr>
          <w:i/>
          <w:iCs/>
        </w:rPr>
        <w:t>lm a</w:t>
      </w:r>
      <w:r>
        <w:rPr>
          <w:i/>
          <w:iCs/>
        </w:rPr>
        <w:t>l</w:t>
      </w:r>
      <w:r w:rsidRPr="00184011">
        <w:rPr>
          <w:i/>
          <w:iCs/>
        </w:rPr>
        <w:t>-raml</w:t>
      </w:r>
      <w:r w:rsidRPr="00184011">
        <w:t xml:space="preserve"> contains the word </w:t>
      </w:r>
      <w:r>
        <w:rPr>
          <w:i/>
          <w:iCs/>
        </w:rPr>
        <w:t>‘i</w:t>
      </w:r>
      <w:r w:rsidRPr="00184011">
        <w:rPr>
          <w:i/>
          <w:iCs/>
        </w:rPr>
        <w:t>lm</w:t>
      </w:r>
      <w:r w:rsidRPr="00184011">
        <w:t>, which is usually translated as ‘science</w:t>
      </w:r>
      <w:r w:rsidR="00702EB2">
        <w:t>,</w:t>
      </w:r>
      <w:r w:rsidRPr="00184011">
        <w:t>’</w:t>
      </w:r>
      <w:r w:rsidR="00702EB2">
        <w:t xml:space="preserve"> ‘theory’</w:t>
      </w:r>
      <w:r w:rsidR="0072771C">
        <w:t xml:space="preserve"> or ‘knowledge’</w:t>
      </w:r>
      <w:r w:rsidRPr="00184011">
        <w:t xml:space="preserve"> and not </w:t>
      </w:r>
      <w:r>
        <w:t>as</w:t>
      </w:r>
      <w:r w:rsidRPr="00184011">
        <w:t xml:space="preserve"> ‘divinatio</w:t>
      </w:r>
      <w:r>
        <w:t>n</w:t>
      </w:r>
      <w:r w:rsidRPr="00184011">
        <w:t>’</w:t>
      </w:r>
      <w:r>
        <w:t xml:space="preserve"> (in</w:t>
      </w:r>
      <w:r w:rsidRPr="00184011">
        <w:t xml:space="preserve"> Greek ‘mantikē</w:t>
      </w:r>
      <w:r>
        <w:t>), and is also used for the Arabic term to indicate astrology (</w:t>
      </w:r>
      <w:r w:rsidRPr="003905A2">
        <w:rPr>
          <w:i/>
          <w:iCs/>
        </w:rPr>
        <w:t>‘ilm al-nuj</w:t>
      </w:r>
      <w:r w:rsidR="00B367AE">
        <w:rPr>
          <w:i/>
          <w:iCs/>
        </w:rPr>
        <w:t>ū</w:t>
      </w:r>
      <w:r w:rsidRPr="003905A2">
        <w:rPr>
          <w:i/>
          <w:iCs/>
        </w:rPr>
        <w:t>m</w:t>
      </w:r>
      <w:r>
        <w:t xml:space="preserve">, </w:t>
      </w:r>
      <w:r w:rsidR="007B0B4E">
        <w:t>‘</w:t>
      </w:r>
      <w:r>
        <w:t>the science of the stars</w:t>
      </w:r>
      <w:r w:rsidR="007B0B4E">
        <w:t>’</w:t>
      </w:r>
      <w:r>
        <w:t>).</w:t>
      </w:r>
      <w:r w:rsidR="00702EB2">
        <w:rPr>
          <w:rStyle w:val="FootnoteReference"/>
        </w:rPr>
        <w:footnoteReference w:id="29"/>
      </w:r>
      <w:r>
        <w:t xml:space="preserve"> Furthermore,</w:t>
      </w:r>
      <w:r w:rsidRPr="00184011">
        <w:t xml:space="preserve"> the mention of ‘sand’ (</w:t>
      </w:r>
      <w:r w:rsidRPr="00184011">
        <w:rPr>
          <w:i/>
          <w:iCs/>
        </w:rPr>
        <w:t>raml</w:t>
      </w:r>
      <w:r w:rsidRPr="00184011">
        <w:t xml:space="preserve">) which appears in all three Arabic variations </w:t>
      </w:r>
      <w:r>
        <w:t>mentioned above</w:t>
      </w:r>
      <w:r w:rsidR="007B0B4E">
        <w:t>,</w:t>
      </w:r>
      <w:r w:rsidRPr="00184011">
        <w:t xml:space="preserve"> is much more specific than ‘geo’ (earth), </w:t>
      </w:r>
      <w:r>
        <w:t xml:space="preserve">and indicates the geographical context in which </w:t>
      </w:r>
      <w:r w:rsidR="007F6B09">
        <w:t>this form of prediction</w:t>
      </w:r>
      <w:r>
        <w:t xml:space="preserve"> originated</w:t>
      </w:r>
      <w:r w:rsidRPr="00184011">
        <w:t xml:space="preserve">. Nevertheless, ‘geomancy’ is the term with which this </w:t>
      </w:r>
      <w:r w:rsidR="00E93225">
        <w:t>technique</w:t>
      </w:r>
      <w:r w:rsidRPr="00184011">
        <w:t xml:space="preserve"> came to be known in Europe in the Middle Ages and </w:t>
      </w:r>
      <w:r w:rsidR="00314D52">
        <w:t xml:space="preserve">in </w:t>
      </w:r>
      <w:r w:rsidRPr="00184011">
        <w:t>the following centuries.</w:t>
      </w:r>
      <w:r w:rsidRPr="00095168">
        <w:t xml:space="preserve"> </w:t>
      </w:r>
      <w:r>
        <w:t xml:space="preserve">It is to the study of this new form of prediction called geomancy that </w:t>
      </w:r>
      <w:r w:rsidR="00E14294">
        <w:t>this</w:t>
      </w:r>
      <w:r>
        <w:t xml:space="preserve"> thesis is dedicated. </w:t>
      </w:r>
    </w:p>
    <w:p w14:paraId="02B0A2DC" w14:textId="6D600D41" w:rsidR="008B64A3" w:rsidRDefault="008B64A3" w:rsidP="008B64A3">
      <w:r w:rsidRPr="00184011">
        <w:t>The exact date and place of origin of ‘the science of the sand’ remain unknown, but the practice of drawing on dust or sand for divinatory purposes in the Islamic domains is documented from the ninth century</w:t>
      </w:r>
      <w:r w:rsidR="0076102D">
        <w:t>. Moreover, a</w:t>
      </w:r>
      <w:r w:rsidR="0076102D" w:rsidRPr="0076102D">
        <w:t xml:space="preserve"> ‘sand-board’ was the regular writing instrument for children in the Arabic world, equivalent to the wax tablet in cooler Europe</w:t>
      </w:r>
      <w:r w:rsidRPr="00184011">
        <w:t>.</w:t>
      </w:r>
      <w:r w:rsidRPr="00184011">
        <w:rPr>
          <w:rStyle w:val="FootnoteReference"/>
        </w:rPr>
        <w:footnoteReference w:id="30"/>
      </w:r>
      <w:r>
        <w:t xml:space="preserve"> In his work </w:t>
      </w:r>
      <w:r w:rsidRPr="00F9703D">
        <w:rPr>
          <w:i/>
          <w:iCs/>
        </w:rPr>
        <w:t xml:space="preserve">La </w:t>
      </w:r>
      <w:r>
        <w:rPr>
          <w:i/>
          <w:iCs/>
        </w:rPr>
        <w:t>d</w:t>
      </w:r>
      <w:r w:rsidRPr="00F9703D">
        <w:rPr>
          <w:i/>
          <w:iCs/>
        </w:rPr>
        <w:t>ivination Arabe</w:t>
      </w:r>
      <w:r>
        <w:rPr>
          <w:i/>
          <w:iCs/>
        </w:rPr>
        <w:t xml:space="preserve">, </w:t>
      </w:r>
      <w:r>
        <w:t>Toufic Fahd suggested that the diffusion of geomancy in the Arabic world could be explained by a passage of the Qur</w:t>
      </w:r>
      <w:r w:rsidR="0076102D">
        <w:t>’</w:t>
      </w:r>
      <w:r>
        <w:t>an, which seems to authorise this divinatory technique by approving the use of drawing lines.</w:t>
      </w:r>
      <w:r>
        <w:rPr>
          <w:rStyle w:val="FootnoteReference"/>
        </w:rPr>
        <w:footnoteReference w:id="31"/>
      </w:r>
      <w:r>
        <w:t xml:space="preserve"> Arabic geomantic texts often attributed a divine origin to the science of the sand. According to these sources, this technique was transmitted by the angel Gabriel to Idris (often identified with the Biblical Enoch</w:t>
      </w:r>
      <w:r w:rsidR="0076102D">
        <w:t xml:space="preserve"> and the Greek Hermes</w:t>
      </w:r>
      <w:r>
        <w:t>).</w:t>
      </w:r>
      <w:r w:rsidR="00F86CDC">
        <w:rPr>
          <w:rStyle w:val="FootnoteReference"/>
        </w:rPr>
        <w:footnoteReference w:id="32"/>
      </w:r>
      <w:r>
        <w:t xml:space="preserve"> After having mastered the geomantic technique, Idris is said </w:t>
      </w:r>
      <w:r>
        <w:lastRenderedPageBreak/>
        <w:t>to have travelled to India to teach the art to Ṭumṭum al-</w:t>
      </w:r>
      <w:r w:rsidRPr="001F41D9">
        <w:t xml:space="preserve">Hindī </w:t>
      </w:r>
      <w:r>
        <w:t>(</w:t>
      </w:r>
      <w:r w:rsidR="00052005">
        <w:t>‘</w:t>
      </w:r>
      <w:r>
        <w:t>Ṭumṭum the Indian</w:t>
      </w:r>
      <w:r w:rsidR="00052005">
        <w:t>’</w:t>
      </w:r>
      <w:r>
        <w:t>). The next person in this legendary chain of transmission was Khalāf al-Barbarī (</w:t>
      </w:r>
      <w:r w:rsidR="00052005">
        <w:t>‘</w:t>
      </w:r>
      <w:r>
        <w:t>Khalāf the Berber</w:t>
      </w:r>
      <w:r w:rsidR="00052005">
        <w:t>’</w:t>
      </w:r>
      <w:r>
        <w:t>), who travelled to India to learn geomancy from Ṭumṭum and then returned to Africa where he taught this art</w:t>
      </w:r>
      <w:r w:rsidR="00052005">
        <w:t xml:space="preserve"> to</w:t>
      </w:r>
      <w:r w:rsidRPr="001F41D9">
        <w:t xml:space="preserve"> Abū</w:t>
      </w:r>
      <w:r>
        <w:t xml:space="preserve"> </w:t>
      </w:r>
      <w:r w:rsidR="00D9162D">
        <w:t>‘</w:t>
      </w:r>
      <w:r w:rsidRPr="001F41D9">
        <w:t>Abd Allāh Muḥammad ibn ʿUthmān al-Zanātī</w:t>
      </w:r>
      <w:r>
        <w:t>, who lived before 1230 AD (629 AH).</w:t>
      </w:r>
      <w:r>
        <w:rPr>
          <w:rStyle w:val="FootnoteReference"/>
        </w:rPr>
        <w:footnoteReference w:id="33"/>
      </w:r>
      <w:r>
        <w:t xml:space="preserve"> Other figures sometimes identified as the inventors of geomancy are the prophet Daniel</w:t>
      </w:r>
      <w:r w:rsidR="00895D4F">
        <w:t xml:space="preserve"> </w:t>
      </w:r>
      <w:r>
        <w:t>and Ptolemy.</w:t>
      </w:r>
      <w:r>
        <w:rPr>
          <w:rStyle w:val="FootnoteReference"/>
        </w:rPr>
        <w:footnoteReference w:id="34"/>
      </w:r>
    </w:p>
    <w:p w14:paraId="4D649116" w14:textId="4BFC360D" w:rsidR="008B64A3" w:rsidRDefault="008B64A3" w:rsidP="008B64A3">
      <w:r>
        <w:t xml:space="preserve">The present study </w:t>
      </w:r>
      <w:r w:rsidR="00520CC2">
        <w:t>restricts</w:t>
      </w:r>
      <w:r>
        <w:t xml:space="preserve"> its scope to shed light on the integration and dissemination of Islamic geomantic practices within Christian Europe, rather than delving into the origins of this discipline. While my research primarily concentrates on Latin and vernacular sources, it is my hope that, indirectly, it may elucidate certain aspects of the original </w:t>
      </w:r>
      <w:r w:rsidR="00520CC2">
        <w:t>way</w:t>
      </w:r>
      <w:r>
        <w:t xml:space="preserve"> in which geomancy was practiced. Notably, the earliest extant Arabic geomantic treatises often postdate the initial Latin translations, thus rendering the Latin geomantic tradition potentially valuable in illuminating elements of early geomantic practices that may have not endured in later Arabic texts. This introductory chapter aims to provide the reader with a comprehensive understanding of the following key aspects: (1) the </w:t>
      </w:r>
      <w:r w:rsidR="00297E5C">
        <w:t>technical aspect</w:t>
      </w:r>
      <w:r>
        <w:t xml:space="preserve"> of geomancy and its medieval practice, (2) the process by which it entered Europe during the twelfth century as an integral part of the broader phenomenon of translations and intellectual revival referred to as the twelfth-century </w:t>
      </w:r>
      <w:r w:rsidR="00763E8B">
        <w:t>r</w:t>
      </w:r>
      <w:r>
        <w:t>enaissance, (3) the extent of its diffusion and actuali</w:t>
      </w:r>
      <w:r w:rsidR="004207F2">
        <w:t>s</w:t>
      </w:r>
      <w:r>
        <w:t xml:space="preserve">ation within late medieval society, and (4) the subsequent reactions and opposition it encountered following its </w:t>
      </w:r>
      <w:r>
        <w:lastRenderedPageBreak/>
        <w:t xml:space="preserve">rapid diffusion in </w:t>
      </w:r>
      <w:r w:rsidR="00493EB4">
        <w:t>the European</w:t>
      </w:r>
      <w:r>
        <w:t xml:space="preserve"> cultural contexts. The chapter</w:t>
      </w:r>
      <w:r w:rsidR="003E2403">
        <w:t>’</w:t>
      </w:r>
      <w:r>
        <w:t xml:space="preserve">s structure corresponds to these four main focal points, sequentially presenting: (a) an exposition of the principles and methodologies underlying geomancy during the medieval period, (b) an examination of the entrance of geomancy into the </w:t>
      </w:r>
      <w:r w:rsidR="00493EB4">
        <w:t>European</w:t>
      </w:r>
      <w:r>
        <w:t xml:space="preserve"> milieu, contextualised within the overarching framework of the twelfth-century Renaissance, (c) an exploration of the significant role geomancy occupied in late medieval culture, tracing its wide dissemination through its incorporation into the works of prominent scholastic thinkers (e.g. Albert the Great, Thomas Aquinas) and its integration within the literary compositions of renowned writers (e.g. Dante Alighieri and Geoffrey Chaucer), and (d) an investigation into the ecclesiastical condemnations and anti-divinatory literature that addressed the presence of geomancy. By adhering to this framework, the chapter aims to provide readers with a comprehensive foundation and a coherent pathway for understanding the intricate dynamics and multifaceted implications surrounding the integration and diffusion of geomantic practices within medieval </w:t>
      </w:r>
      <w:r w:rsidR="00EA388A">
        <w:t>Europea</w:t>
      </w:r>
      <w:r>
        <w:t>n culture.</w:t>
      </w:r>
    </w:p>
    <w:p w14:paraId="261ED78E" w14:textId="77777777" w:rsidR="008B64A3" w:rsidRDefault="008B64A3" w:rsidP="008B64A3"/>
    <w:p w14:paraId="084035E9" w14:textId="03B76B0C" w:rsidR="008B64A3" w:rsidRPr="006E07BF" w:rsidRDefault="008B64A3" w:rsidP="006E07BF">
      <w:pPr>
        <w:pStyle w:val="Heading2"/>
        <w:ind w:firstLine="0"/>
        <w:rPr>
          <w:rFonts w:asciiTheme="majorBidi" w:hAnsiTheme="majorBidi"/>
          <w:color w:val="auto"/>
          <w:sz w:val="20"/>
          <w:szCs w:val="20"/>
        </w:rPr>
      </w:pPr>
      <w:bookmarkStart w:id="11" w:name="_Toc165108627"/>
      <w:r w:rsidRPr="006E07BF">
        <w:rPr>
          <w:rFonts w:asciiTheme="majorBidi" w:hAnsiTheme="majorBidi"/>
          <w:color w:val="auto"/>
          <w:sz w:val="20"/>
          <w:szCs w:val="20"/>
        </w:rPr>
        <w:t>I.</w:t>
      </w:r>
      <w:r w:rsidR="00C10DC8">
        <w:rPr>
          <w:rFonts w:asciiTheme="majorBidi" w:hAnsiTheme="majorBidi"/>
          <w:color w:val="auto"/>
          <w:sz w:val="20"/>
          <w:szCs w:val="20"/>
        </w:rPr>
        <w:t>1</w:t>
      </w:r>
      <w:r w:rsidRPr="006E07BF">
        <w:rPr>
          <w:rFonts w:asciiTheme="majorBidi" w:hAnsiTheme="majorBidi"/>
          <w:color w:val="auto"/>
          <w:sz w:val="20"/>
          <w:szCs w:val="20"/>
        </w:rPr>
        <w:t xml:space="preserve"> THE GEOMANTIC TECHNIQUE</w:t>
      </w:r>
      <w:bookmarkEnd w:id="11"/>
    </w:p>
    <w:p w14:paraId="2260DE86" w14:textId="77777777" w:rsidR="008B64A3" w:rsidRDefault="008B64A3" w:rsidP="008B64A3">
      <w:pPr>
        <w:rPr>
          <w:sz w:val="20"/>
          <w:szCs w:val="20"/>
        </w:rPr>
      </w:pPr>
    </w:p>
    <w:p w14:paraId="79457AF7" w14:textId="5B7B40FB" w:rsidR="008B64A3" w:rsidRPr="006E07BF" w:rsidRDefault="008B64A3" w:rsidP="006E07BF">
      <w:pPr>
        <w:pStyle w:val="Heading3"/>
        <w:ind w:firstLine="0"/>
        <w:rPr>
          <w:rFonts w:asciiTheme="majorBidi" w:hAnsiTheme="majorBidi"/>
          <w:b/>
          <w:bCs/>
          <w:color w:val="auto"/>
        </w:rPr>
      </w:pPr>
      <w:bookmarkStart w:id="12" w:name="_Toc165108628"/>
      <w:r w:rsidRPr="006E07BF">
        <w:rPr>
          <w:rFonts w:asciiTheme="majorBidi" w:hAnsiTheme="majorBidi"/>
          <w:b/>
          <w:bCs/>
          <w:color w:val="auto"/>
        </w:rPr>
        <w:t>The making of the geomantic chart</w:t>
      </w:r>
      <w:bookmarkEnd w:id="12"/>
    </w:p>
    <w:p w14:paraId="798B5016" w14:textId="77777777" w:rsidR="008B64A3" w:rsidRPr="00A777B9" w:rsidRDefault="008B64A3" w:rsidP="008B64A3">
      <w:pPr>
        <w:ind w:firstLine="0"/>
        <w:rPr>
          <w:b/>
          <w:bCs/>
        </w:rPr>
      </w:pPr>
    </w:p>
    <w:p w14:paraId="708C4DA8" w14:textId="63AC31BB" w:rsidR="008B64A3" w:rsidRDefault="008B64A3" w:rsidP="008B64A3">
      <w:r w:rsidRPr="00DC465F">
        <w:t>Geomancy is an image-based form of divination</w:t>
      </w:r>
      <w:r>
        <w:t xml:space="preserve">, and </w:t>
      </w:r>
      <w:r w:rsidRPr="00DC465F">
        <w:t>prediction</w:t>
      </w:r>
      <w:r>
        <w:t>s are constructed</w:t>
      </w:r>
      <w:r w:rsidRPr="00DC465F">
        <w:t xml:space="preserve"> </w:t>
      </w:r>
      <w:r>
        <w:t xml:space="preserve">on the </w:t>
      </w:r>
      <w:r w:rsidRPr="00DC465F">
        <w:t xml:space="preserve">interpretation of a set of sixteen figures, which </w:t>
      </w:r>
      <w:r>
        <w:t>are formed by the practitioner at the moment of the consultation</w:t>
      </w:r>
      <w:r w:rsidRPr="00DC465F">
        <w:t>. In the first stage of the practice, the client (</w:t>
      </w:r>
      <w:r w:rsidRPr="00DC465F">
        <w:rPr>
          <w:i/>
          <w:iCs/>
        </w:rPr>
        <w:t>quaerens</w:t>
      </w:r>
      <w:r w:rsidRPr="00DC465F">
        <w:t xml:space="preserve">) asks the geomancer a specific question that concerns himself or someone else. The geomancer then draws sixteen lines of </w:t>
      </w:r>
      <w:r w:rsidR="002F2BE4">
        <w:t>points</w:t>
      </w:r>
      <w:r w:rsidRPr="00DC465F">
        <w:t xml:space="preserve"> on the sand, or draws them on parchment, depending on the material support </w:t>
      </w:r>
      <w:r>
        <w:t>available</w:t>
      </w:r>
      <w:r w:rsidRPr="00DC465F">
        <w:t xml:space="preserve">. </w:t>
      </w:r>
      <w:r>
        <w:t>The practitioner must</w:t>
      </w:r>
      <w:r w:rsidRPr="00DC465F">
        <w:t xml:space="preserve"> not count the </w:t>
      </w:r>
      <w:r w:rsidR="002F2BE4">
        <w:t>points</w:t>
      </w:r>
      <w:r w:rsidRPr="00DC465F">
        <w:t xml:space="preserve"> </w:t>
      </w:r>
      <w:r>
        <w:t xml:space="preserve">that </w:t>
      </w:r>
      <w:r w:rsidRPr="00DC465F">
        <w:t xml:space="preserve">he is casting while </w:t>
      </w:r>
      <w:r w:rsidRPr="00DC465F">
        <w:lastRenderedPageBreak/>
        <w:t>drawing them</w:t>
      </w:r>
      <w:r>
        <w:t>, and the movement of his hand must be arbitrary</w:t>
      </w:r>
      <w:r w:rsidRPr="00DC465F">
        <w:t xml:space="preserve">. The </w:t>
      </w:r>
      <w:r w:rsidR="002F2BE4">
        <w:t>points</w:t>
      </w:r>
      <w:r w:rsidRPr="00DC465F">
        <w:t xml:space="preserve"> are drawn from the right to the left, following the Arabic direction of writing</w:t>
      </w:r>
      <w:r>
        <w:t xml:space="preserve"> </w:t>
      </w:r>
      <w:r w:rsidR="00234E6D">
        <w:t>and retained</w:t>
      </w:r>
      <w:r w:rsidRPr="00DC465F">
        <w:t xml:space="preserve"> in the Latin tradition. These sixteen rows are then grouped into four. The geomancer now eliminates the </w:t>
      </w:r>
      <w:r w:rsidR="002F2BE4">
        <w:t>points</w:t>
      </w:r>
      <w:r w:rsidRPr="00DC465F">
        <w:t xml:space="preserve"> of each line two by two, observing whether one </w:t>
      </w:r>
      <w:r w:rsidR="00F622DC">
        <w:t>point</w:t>
      </w:r>
      <w:r w:rsidRPr="00DC465F">
        <w:t xml:space="preserve"> or two remain at the end</w:t>
      </w:r>
      <w:r w:rsidR="00790BEB">
        <w:t xml:space="preserve"> (Figure 1)</w:t>
      </w:r>
      <w:r w:rsidRPr="00DC465F">
        <w:t xml:space="preserve">. From the remaining </w:t>
      </w:r>
      <w:r w:rsidR="002F2BE4">
        <w:t>points</w:t>
      </w:r>
      <w:r w:rsidRPr="00DC465F">
        <w:t xml:space="preserve"> of the four groups of four rows, the geomancer obtains the first four geomantic figures, called the </w:t>
      </w:r>
      <w:r w:rsidRPr="00DC465F">
        <w:rPr>
          <w:i/>
          <w:iCs/>
        </w:rPr>
        <w:t>matres</w:t>
      </w:r>
      <w:r w:rsidRPr="00DC465F">
        <w:t xml:space="preserve"> (mothers</w:t>
      </w:r>
      <w:r>
        <w:t xml:space="preserve">; Arabic: </w:t>
      </w:r>
      <w:r w:rsidRPr="00DC465F">
        <w:rPr>
          <w:i/>
          <w:iCs/>
        </w:rPr>
        <w:t>ummahāt</w:t>
      </w:r>
      <w:r w:rsidRPr="00DC465F">
        <w:t xml:space="preserve">). These figures appear as small configurations of </w:t>
      </w:r>
      <w:r w:rsidR="002F2BE4">
        <w:t>points</w:t>
      </w:r>
      <w:r w:rsidRPr="00DC465F">
        <w:t xml:space="preserve">, resembling the figures used in the game of Dominos </w:t>
      </w:r>
      <w:r w:rsidR="00FB000A">
        <w:t>–</w:t>
      </w:r>
      <w:r>
        <w:t xml:space="preserve"> </w:t>
      </w:r>
      <w:r w:rsidRPr="00DC465F">
        <w:t xml:space="preserve">but they can also be represented as patterns of small circles </w:t>
      </w:r>
      <w:r w:rsidR="0037147D">
        <w:t>or</w:t>
      </w:r>
      <w:r w:rsidRPr="00DC465F">
        <w:t xml:space="preserve"> small stars</w:t>
      </w:r>
      <w:r>
        <w:t xml:space="preserve"> (</w:t>
      </w:r>
      <w:r w:rsidR="00234E6D">
        <w:t>See Figure 6 and 7</w:t>
      </w:r>
      <w:r>
        <w:t>)</w:t>
      </w:r>
      <w:r w:rsidRPr="00DC465F">
        <w:t>.</w:t>
      </w:r>
    </w:p>
    <w:p w14:paraId="518C1500" w14:textId="77777777" w:rsidR="008B64A3" w:rsidRPr="00DC465F" w:rsidRDefault="008B64A3" w:rsidP="008B64A3"/>
    <w:p w14:paraId="060E7B4B" w14:textId="77777777" w:rsidR="008B64A3" w:rsidRPr="00DE32DC" w:rsidRDefault="008B64A3" w:rsidP="008B64A3">
      <w:pPr>
        <w:jc w:val="center"/>
        <w:rPr>
          <w:noProof/>
        </w:rPr>
      </w:pPr>
      <w:r>
        <w:rPr>
          <w:noProof/>
        </w:rPr>
        <w:drawing>
          <wp:inline distT="0" distB="0" distL="0" distR="0" wp14:anchorId="4D2166F0" wp14:editId="175F24AE">
            <wp:extent cx="3411137" cy="2639483"/>
            <wp:effectExtent l="0" t="0" r="0" b="8890"/>
            <wp:docPr id="1" name="Picture 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lendar&#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467896" cy="2683402"/>
                    </a:xfrm>
                    <a:prstGeom prst="rect">
                      <a:avLst/>
                    </a:prstGeom>
                    <a:ln>
                      <a:noFill/>
                    </a:ln>
                  </pic:spPr>
                </pic:pic>
              </a:graphicData>
            </a:graphic>
          </wp:inline>
        </w:drawing>
      </w:r>
    </w:p>
    <w:p w14:paraId="36F33607" w14:textId="05697696" w:rsidR="008B64A3" w:rsidRPr="002D1E3A" w:rsidRDefault="008B64A3" w:rsidP="002D1E3A">
      <w:pPr>
        <w:spacing w:line="240" w:lineRule="auto"/>
        <w:jc w:val="center"/>
        <w:rPr>
          <w:b/>
          <w:bCs/>
          <w:sz w:val="20"/>
          <w:szCs w:val="20"/>
        </w:rPr>
      </w:pPr>
      <w:bookmarkStart w:id="13" w:name="_Hlk150943048"/>
      <w:r w:rsidRPr="00DE32DC">
        <w:rPr>
          <w:b/>
          <w:bCs/>
          <w:sz w:val="20"/>
          <w:szCs w:val="20"/>
        </w:rPr>
        <w:t>Figure 1</w:t>
      </w:r>
      <w:r w:rsidR="002D1E3A">
        <w:rPr>
          <w:b/>
          <w:bCs/>
          <w:sz w:val="20"/>
          <w:szCs w:val="20"/>
        </w:rPr>
        <w:t xml:space="preserve">. </w:t>
      </w:r>
      <w:r w:rsidRPr="00DE32DC">
        <w:rPr>
          <w:sz w:val="20"/>
          <w:szCs w:val="20"/>
        </w:rPr>
        <w:t xml:space="preserve">The casting of the </w:t>
      </w:r>
      <w:r w:rsidR="002F2BE4">
        <w:rPr>
          <w:sz w:val="20"/>
          <w:szCs w:val="20"/>
        </w:rPr>
        <w:t>points</w:t>
      </w:r>
      <w:r w:rsidRPr="00DE32DC">
        <w:rPr>
          <w:sz w:val="20"/>
          <w:szCs w:val="20"/>
        </w:rPr>
        <w:t xml:space="preserve"> and </w:t>
      </w:r>
      <w:r>
        <w:rPr>
          <w:sz w:val="20"/>
          <w:szCs w:val="20"/>
        </w:rPr>
        <w:t>the formation of the ‘mothers’.</w:t>
      </w:r>
    </w:p>
    <w:bookmarkEnd w:id="13"/>
    <w:p w14:paraId="2B6C7B18" w14:textId="77777777" w:rsidR="008B64A3" w:rsidRDefault="008B64A3" w:rsidP="008B64A3"/>
    <w:p w14:paraId="7BBB054E" w14:textId="2A1B9236" w:rsidR="008B64A3" w:rsidRDefault="008B64A3" w:rsidP="008B64A3">
      <w:r w:rsidRPr="00DE32DC">
        <w:t xml:space="preserve">From these first four figures descend </w:t>
      </w:r>
      <w:r>
        <w:t>an</w:t>
      </w:r>
      <w:r w:rsidRPr="00DE32DC">
        <w:t xml:space="preserve">other four, the </w:t>
      </w:r>
      <w:r w:rsidRPr="00DE32DC">
        <w:rPr>
          <w:i/>
          <w:iCs/>
        </w:rPr>
        <w:t>filiae</w:t>
      </w:r>
      <w:r w:rsidRPr="00DE32DC">
        <w:t xml:space="preserve"> (daughters</w:t>
      </w:r>
      <w:r>
        <w:t xml:space="preserve">; Arabic: </w:t>
      </w:r>
      <w:r w:rsidRPr="006E4FED">
        <w:rPr>
          <w:i/>
          <w:iCs/>
        </w:rPr>
        <w:t>banāt</w:t>
      </w:r>
      <w:r w:rsidRPr="00DE32DC">
        <w:t xml:space="preserve">). They are formed by a process of transposition: the first daughter is formed by the </w:t>
      </w:r>
      <w:r w:rsidR="002F2BE4">
        <w:t>points</w:t>
      </w:r>
      <w:r w:rsidRPr="00DE32DC">
        <w:t xml:space="preserve"> of the first row of the four mothers, the second daughter from the second row, and so on</w:t>
      </w:r>
      <w:r>
        <w:t xml:space="preserve"> (Figure 2). </w:t>
      </w:r>
      <w:r w:rsidRPr="00DE32DC">
        <w:t xml:space="preserve">Through a different process are then formed the </w:t>
      </w:r>
      <w:r w:rsidRPr="00DE32DC">
        <w:rPr>
          <w:i/>
          <w:iCs/>
        </w:rPr>
        <w:t>neptes</w:t>
      </w:r>
      <w:r w:rsidRPr="00DE32DC">
        <w:t xml:space="preserve"> (granddaughters). Two of these are formed by taking the mothers, considering them in pairs, and summing up the number of </w:t>
      </w:r>
      <w:r w:rsidR="002F2BE4">
        <w:t>points</w:t>
      </w:r>
      <w:r w:rsidRPr="00DE32DC">
        <w:t xml:space="preserve"> they have in each row; the other two are formed by the same procedure but </w:t>
      </w:r>
      <w:r>
        <w:t>from</w:t>
      </w:r>
      <w:r w:rsidRPr="00DE32DC">
        <w:t xml:space="preserve"> the </w:t>
      </w:r>
      <w:r w:rsidRPr="00DE32DC">
        <w:rPr>
          <w:i/>
          <w:iCs/>
        </w:rPr>
        <w:t>filiae</w:t>
      </w:r>
      <w:r>
        <w:t xml:space="preserve"> (Figure 3)</w:t>
      </w:r>
      <w:r w:rsidRPr="00DE32DC">
        <w:t xml:space="preserve">. The last three figures that the geomancer forms are no longer </w:t>
      </w:r>
      <w:r w:rsidRPr="00DE32DC">
        <w:lastRenderedPageBreak/>
        <w:t>named following this matriarchal scheme, but rather introduc</w:t>
      </w:r>
      <w:r>
        <w:t>e</w:t>
      </w:r>
      <w:r w:rsidRPr="00DE32DC">
        <w:t xml:space="preserve"> a juridical </w:t>
      </w:r>
      <w:r>
        <w:t>register</w:t>
      </w:r>
      <w:r w:rsidRPr="00DE32DC">
        <w:t xml:space="preserve">. From the four </w:t>
      </w:r>
      <w:r w:rsidRPr="00DE32DC">
        <w:rPr>
          <w:i/>
          <w:iCs/>
        </w:rPr>
        <w:t>neptes</w:t>
      </w:r>
      <w:r w:rsidRPr="00DE32DC">
        <w:t xml:space="preserve">, </w:t>
      </w:r>
      <w:r>
        <w:t>following</w:t>
      </w:r>
      <w:r w:rsidRPr="00DE32DC">
        <w:t xml:space="preserve"> the same procedure observed for their formation, </w:t>
      </w:r>
      <w:r>
        <w:t>two more figures are made</w:t>
      </w:r>
      <w:r w:rsidRPr="00DE32DC">
        <w:t xml:space="preserve">, known as </w:t>
      </w:r>
      <w:r w:rsidRPr="00DE32DC">
        <w:rPr>
          <w:i/>
          <w:iCs/>
        </w:rPr>
        <w:t>testes</w:t>
      </w:r>
      <w:r w:rsidRPr="00DE32DC">
        <w:t xml:space="preserve"> (witnesses). The sum of these two produces the </w:t>
      </w:r>
      <w:r>
        <w:t>final</w:t>
      </w:r>
      <w:r w:rsidRPr="00DE32DC">
        <w:t xml:space="preserve"> figure, the </w:t>
      </w:r>
      <w:r w:rsidRPr="00DE32DC">
        <w:rPr>
          <w:i/>
          <w:iCs/>
        </w:rPr>
        <w:t>iudex</w:t>
      </w:r>
      <w:r w:rsidRPr="00DE32DC">
        <w:t xml:space="preserve"> (judge). An additional figure is sometimes </w:t>
      </w:r>
      <w:r>
        <w:t>constructed</w:t>
      </w:r>
      <w:r w:rsidRPr="00DE32DC">
        <w:t xml:space="preserve">, in cases in which the first fifteen figures do not form a chart clear enough to form a prediction. This additional figure, called </w:t>
      </w:r>
      <w:r w:rsidRPr="00DE32DC">
        <w:rPr>
          <w:i/>
          <w:iCs/>
        </w:rPr>
        <w:t>superiudex</w:t>
      </w:r>
      <w:r w:rsidRPr="00DE32DC">
        <w:t>, (superjudge</w:t>
      </w:r>
      <w:r w:rsidR="001A0AD1">
        <w:t>; sometimes also called ‘second judge’ or ‘reconciler’</w:t>
      </w:r>
      <w:r w:rsidRPr="00DE32DC">
        <w:t xml:space="preserve">), is formed by the addition of the first and fifteenth figure, i.e. the first of the mothers and the judge. </w:t>
      </w:r>
    </w:p>
    <w:p w14:paraId="583A2548" w14:textId="77777777" w:rsidR="00195C95" w:rsidRDefault="00195C95" w:rsidP="008B64A3"/>
    <w:p w14:paraId="50C78D60" w14:textId="77777777" w:rsidR="008B64A3" w:rsidRDefault="008B64A3" w:rsidP="00815A93">
      <w:pPr>
        <w:ind w:firstLine="0"/>
        <w:jc w:val="center"/>
      </w:pPr>
      <w:r>
        <w:rPr>
          <w:noProof/>
        </w:rPr>
        <w:drawing>
          <wp:inline distT="0" distB="0" distL="0" distR="0" wp14:anchorId="0CC13C6F" wp14:editId="3E5AF931">
            <wp:extent cx="4071952" cy="2548466"/>
            <wp:effectExtent l="0" t="0" r="5080" b="4445"/>
            <wp:docPr id="2" name="Picture 2"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rectang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109051" cy="2571685"/>
                    </a:xfrm>
                    <a:prstGeom prst="rect">
                      <a:avLst/>
                    </a:prstGeom>
                    <a:ln>
                      <a:noFill/>
                    </a:ln>
                  </pic:spPr>
                </pic:pic>
              </a:graphicData>
            </a:graphic>
          </wp:inline>
        </w:drawing>
      </w:r>
    </w:p>
    <w:p w14:paraId="748A5ED1" w14:textId="75B41BC2" w:rsidR="008B64A3" w:rsidRPr="008C36DE" w:rsidRDefault="008B64A3" w:rsidP="008C36DE">
      <w:pPr>
        <w:spacing w:line="240" w:lineRule="auto"/>
        <w:jc w:val="center"/>
        <w:rPr>
          <w:b/>
          <w:bCs/>
          <w:sz w:val="20"/>
          <w:szCs w:val="20"/>
        </w:rPr>
      </w:pPr>
      <w:bookmarkStart w:id="14" w:name="_Hlk150943035"/>
      <w:r w:rsidRPr="00C86AAA">
        <w:rPr>
          <w:b/>
          <w:bCs/>
          <w:sz w:val="20"/>
          <w:szCs w:val="20"/>
        </w:rPr>
        <w:t>Figure 2</w:t>
      </w:r>
      <w:r w:rsidR="008C36DE">
        <w:rPr>
          <w:b/>
          <w:bCs/>
          <w:sz w:val="20"/>
          <w:szCs w:val="20"/>
        </w:rPr>
        <w:t xml:space="preserve">. </w:t>
      </w:r>
      <w:r w:rsidRPr="00C86AAA">
        <w:rPr>
          <w:sz w:val="20"/>
          <w:szCs w:val="20"/>
        </w:rPr>
        <w:t xml:space="preserve">Formation of the ‘daughters’ </w:t>
      </w:r>
      <w:r>
        <w:rPr>
          <w:sz w:val="20"/>
          <w:szCs w:val="20"/>
        </w:rPr>
        <w:t xml:space="preserve">from the ‘mothers’ </w:t>
      </w:r>
      <w:r w:rsidRPr="00C86AAA">
        <w:rPr>
          <w:sz w:val="20"/>
          <w:szCs w:val="20"/>
        </w:rPr>
        <w:t>by transposition.</w:t>
      </w:r>
      <w:r w:rsidR="001D14B6">
        <w:rPr>
          <w:sz w:val="20"/>
          <w:szCs w:val="20"/>
        </w:rPr>
        <w:t xml:space="preserve"> Source: </w:t>
      </w:r>
      <w:r w:rsidR="0018597E">
        <w:rPr>
          <w:sz w:val="20"/>
          <w:szCs w:val="20"/>
        </w:rPr>
        <w:t xml:space="preserve">T. </w:t>
      </w:r>
      <w:r w:rsidR="003F2211" w:rsidRPr="003F2211">
        <w:rPr>
          <w:sz w:val="20"/>
          <w:szCs w:val="20"/>
        </w:rPr>
        <w:t xml:space="preserve">Charmasson, </w:t>
      </w:r>
      <w:r w:rsidR="003F2211" w:rsidRPr="0018597E">
        <w:rPr>
          <w:i/>
          <w:iCs/>
          <w:sz w:val="20"/>
          <w:szCs w:val="20"/>
        </w:rPr>
        <w:t>Recherches sur une technique divinatoire</w:t>
      </w:r>
      <w:r w:rsidR="003F2211" w:rsidRPr="003F2211">
        <w:rPr>
          <w:sz w:val="20"/>
          <w:szCs w:val="20"/>
        </w:rPr>
        <w:t xml:space="preserve"> (1980), p. 24</w:t>
      </w:r>
      <w:r w:rsidR="003F2211">
        <w:rPr>
          <w:sz w:val="20"/>
          <w:szCs w:val="20"/>
        </w:rPr>
        <w:t>.</w:t>
      </w:r>
    </w:p>
    <w:bookmarkEnd w:id="14"/>
    <w:p w14:paraId="7B647D38" w14:textId="77777777" w:rsidR="008B64A3" w:rsidRDefault="008B64A3" w:rsidP="008B64A3">
      <w:pPr>
        <w:spacing w:line="240" w:lineRule="auto"/>
        <w:jc w:val="center"/>
        <w:rPr>
          <w:sz w:val="20"/>
          <w:szCs w:val="20"/>
        </w:rPr>
      </w:pPr>
    </w:p>
    <w:p w14:paraId="5924D2F1" w14:textId="77777777" w:rsidR="008B64A3" w:rsidRPr="00C86AAA" w:rsidRDefault="008B64A3" w:rsidP="008B64A3">
      <w:pPr>
        <w:spacing w:line="240" w:lineRule="auto"/>
        <w:jc w:val="center"/>
        <w:rPr>
          <w:sz w:val="20"/>
          <w:szCs w:val="20"/>
        </w:rPr>
      </w:pPr>
    </w:p>
    <w:p w14:paraId="74BD3C4B" w14:textId="77777777" w:rsidR="008B64A3" w:rsidRDefault="008B64A3" w:rsidP="00815A93">
      <w:pPr>
        <w:ind w:firstLine="0"/>
        <w:jc w:val="center"/>
      </w:pPr>
      <w:r>
        <w:rPr>
          <w:noProof/>
        </w:rPr>
        <w:lastRenderedPageBreak/>
        <w:drawing>
          <wp:inline distT="0" distB="0" distL="0" distR="0" wp14:anchorId="4089A63D" wp14:editId="5E4D23C3">
            <wp:extent cx="3463674" cy="3073400"/>
            <wp:effectExtent l="0" t="0" r="3810" b="0"/>
            <wp:docPr id="3" name="Picture 3" descr="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Rectangl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89787" cy="3096571"/>
                    </a:xfrm>
                    <a:prstGeom prst="rect">
                      <a:avLst/>
                    </a:prstGeom>
                    <a:ln>
                      <a:noFill/>
                    </a:ln>
                  </pic:spPr>
                </pic:pic>
              </a:graphicData>
            </a:graphic>
          </wp:inline>
        </w:drawing>
      </w:r>
    </w:p>
    <w:p w14:paraId="2A9B97FA" w14:textId="351542FA" w:rsidR="008B64A3" w:rsidRPr="008C36DE" w:rsidRDefault="008B64A3" w:rsidP="008C36DE">
      <w:pPr>
        <w:spacing w:line="240" w:lineRule="auto"/>
        <w:jc w:val="center"/>
        <w:rPr>
          <w:b/>
          <w:bCs/>
          <w:sz w:val="20"/>
          <w:szCs w:val="20"/>
        </w:rPr>
      </w:pPr>
      <w:bookmarkStart w:id="15" w:name="_Hlk150943016"/>
      <w:r w:rsidRPr="00C86AAA">
        <w:rPr>
          <w:b/>
          <w:bCs/>
          <w:sz w:val="20"/>
          <w:szCs w:val="20"/>
        </w:rPr>
        <w:t>Figure 3</w:t>
      </w:r>
      <w:r w:rsidR="008C36DE">
        <w:rPr>
          <w:b/>
          <w:bCs/>
          <w:sz w:val="20"/>
          <w:szCs w:val="20"/>
        </w:rPr>
        <w:t xml:space="preserve">. </w:t>
      </w:r>
      <w:r w:rsidRPr="00C86AAA">
        <w:rPr>
          <w:sz w:val="20"/>
          <w:szCs w:val="20"/>
        </w:rPr>
        <w:t>Formation of the ‘granddaughters’.</w:t>
      </w:r>
      <w:r w:rsidR="003F2211">
        <w:rPr>
          <w:sz w:val="20"/>
          <w:szCs w:val="20"/>
        </w:rPr>
        <w:t xml:space="preserve"> Source: </w:t>
      </w:r>
      <w:r w:rsidR="0018597E">
        <w:rPr>
          <w:sz w:val="20"/>
          <w:szCs w:val="20"/>
        </w:rPr>
        <w:t xml:space="preserve">T. </w:t>
      </w:r>
      <w:r w:rsidR="0018597E" w:rsidRPr="0018597E">
        <w:rPr>
          <w:sz w:val="20"/>
          <w:szCs w:val="20"/>
        </w:rPr>
        <w:t xml:space="preserve">Charmasson, </w:t>
      </w:r>
      <w:r w:rsidR="0018597E" w:rsidRPr="0018597E">
        <w:rPr>
          <w:i/>
          <w:iCs/>
          <w:sz w:val="20"/>
          <w:szCs w:val="20"/>
        </w:rPr>
        <w:t>Recherches sur une technique divinatoire</w:t>
      </w:r>
      <w:r w:rsidR="0018597E" w:rsidRPr="0018597E">
        <w:rPr>
          <w:sz w:val="20"/>
          <w:szCs w:val="20"/>
        </w:rPr>
        <w:t xml:space="preserve"> (1980), p. 26</w:t>
      </w:r>
    </w:p>
    <w:bookmarkEnd w:id="15"/>
    <w:p w14:paraId="6C798C07" w14:textId="77777777" w:rsidR="008B64A3" w:rsidRDefault="008B64A3" w:rsidP="0024393C">
      <w:pPr>
        <w:ind w:firstLine="0"/>
      </w:pPr>
    </w:p>
    <w:p w14:paraId="0DFDC95B" w14:textId="6C89F651" w:rsidR="008B64A3" w:rsidRPr="006E07BF" w:rsidRDefault="008B64A3" w:rsidP="006E07BF">
      <w:pPr>
        <w:pStyle w:val="Heading3"/>
        <w:ind w:firstLine="0"/>
        <w:rPr>
          <w:rFonts w:asciiTheme="majorBidi" w:hAnsiTheme="majorBidi"/>
          <w:b/>
          <w:bCs/>
          <w:color w:val="auto"/>
        </w:rPr>
      </w:pPr>
      <w:bookmarkStart w:id="16" w:name="_Toc165108629"/>
      <w:r w:rsidRPr="006E07BF">
        <w:rPr>
          <w:rFonts w:asciiTheme="majorBidi" w:hAnsiTheme="majorBidi"/>
          <w:b/>
          <w:bCs/>
          <w:color w:val="auto"/>
        </w:rPr>
        <w:t>The houses</w:t>
      </w:r>
      <w:bookmarkEnd w:id="16"/>
    </w:p>
    <w:p w14:paraId="47A2FAB0" w14:textId="77777777" w:rsidR="0024393C" w:rsidRDefault="0024393C" w:rsidP="0024393C">
      <w:pPr>
        <w:ind w:firstLine="708"/>
        <w:rPr>
          <w:b/>
          <w:bCs/>
        </w:rPr>
      </w:pPr>
    </w:p>
    <w:p w14:paraId="2B46FDA7" w14:textId="08874214" w:rsidR="008B64A3" w:rsidRDefault="008B64A3" w:rsidP="0024393C">
      <w:pPr>
        <w:ind w:firstLine="708"/>
      </w:pPr>
      <w:r w:rsidRPr="00DE32DC">
        <w:t xml:space="preserve">The procedure of formation of these figures is </w:t>
      </w:r>
      <w:r>
        <w:t>carried out</w:t>
      </w:r>
      <w:r w:rsidRPr="00DE32DC">
        <w:t xml:space="preserve"> by placing them in a shield chart (</w:t>
      </w:r>
      <w:r w:rsidRPr="00DE32DC">
        <w:rPr>
          <w:i/>
          <w:iCs/>
        </w:rPr>
        <w:t>scutum geomanticum</w:t>
      </w:r>
      <w:r w:rsidRPr="00DE32DC">
        <w:t>), divided into fifteen sections, starting with the top right corner, where the first of the mother</w:t>
      </w:r>
      <w:r>
        <w:t>s</w:t>
      </w:r>
      <w:r w:rsidRPr="00DE32DC">
        <w:t xml:space="preserve"> is placed, and ending with the judge in the </w:t>
      </w:r>
      <w:r>
        <w:t xml:space="preserve">lower </w:t>
      </w:r>
      <w:r w:rsidRPr="00DE32DC">
        <w:t xml:space="preserve">point of the </w:t>
      </w:r>
      <w:r>
        <w:t>chart</w:t>
      </w:r>
      <w:r w:rsidRPr="00DE32DC">
        <w:t xml:space="preserve"> (Figure </w:t>
      </w:r>
      <w:r>
        <w:t>4</w:t>
      </w:r>
      <w:r w:rsidRPr="00DE32DC">
        <w:t>).</w:t>
      </w:r>
      <w:r w:rsidRPr="00DE32DC">
        <w:rPr>
          <w:rStyle w:val="FootnoteReference"/>
        </w:rPr>
        <w:footnoteReference w:id="35"/>
      </w:r>
      <w:r>
        <w:t xml:space="preserve"> These fifteen sections are called houses (Latin: </w:t>
      </w:r>
      <w:r w:rsidRPr="00BF31E3">
        <w:rPr>
          <w:i/>
          <w:iCs/>
        </w:rPr>
        <w:t>domus/ mansion</w:t>
      </w:r>
      <w:r>
        <w:rPr>
          <w:i/>
          <w:iCs/>
        </w:rPr>
        <w:t>e</w:t>
      </w:r>
      <w:r w:rsidRPr="00BF31E3">
        <w:rPr>
          <w:i/>
          <w:iCs/>
        </w:rPr>
        <w:t>s</w:t>
      </w:r>
      <w:r>
        <w:t xml:space="preserve">; Arabic: </w:t>
      </w:r>
      <w:r w:rsidRPr="00BF31E3">
        <w:rPr>
          <w:i/>
          <w:iCs/>
        </w:rPr>
        <w:t>buyūt</w:t>
      </w:r>
      <w:r>
        <w:t>) and act in the same ways as the twelve houses used in astrological predictions</w:t>
      </w:r>
      <w:r w:rsidR="00E722E5">
        <w:t>.</w:t>
      </w:r>
      <w:r>
        <w:t xml:space="preserve"> In other words, each house corresponds to a precise topic, covering a different aspect of human life.</w:t>
      </w:r>
      <w:r>
        <w:rPr>
          <w:rStyle w:val="cf01"/>
        </w:rPr>
        <w:t xml:space="preserve"> </w:t>
      </w:r>
      <w:r>
        <w:t>The geomantic houses share more or less precisely with astrology the domains o</w:t>
      </w:r>
      <w:r w:rsidR="00E722E5">
        <w:t>f</w:t>
      </w:r>
      <w:r>
        <w:t xml:space="preserve"> human life that are assigned to each of them:</w:t>
      </w:r>
    </w:p>
    <w:p w14:paraId="63ECB181" w14:textId="77777777" w:rsidR="0024393C" w:rsidRPr="00A8376E" w:rsidRDefault="0024393C" w:rsidP="0024393C">
      <w:pPr>
        <w:ind w:firstLine="708"/>
        <w:rPr>
          <w:rFonts w:ascii="Segoe UI" w:hAnsi="Segoe UI" w:cs="Segoe UI"/>
          <w:sz w:val="18"/>
          <w:szCs w:val="18"/>
        </w:rPr>
      </w:pPr>
    </w:p>
    <w:p w14:paraId="5D7DBA5F" w14:textId="77777777" w:rsidR="008B64A3" w:rsidRPr="00DE32DC" w:rsidRDefault="008B64A3" w:rsidP="008B64A3">
      <w:pPr>
        <w:ind w:firstLine="708"/>
        <w:jc w:val="left"/>
      </w:pPr>
      <w:r w:rsidRPr="00DE32DC">
        <w:rPr>
          <w:b/>
          <w:bCs/>
        </w:rPr>
        <w:t>I</w:t>
      </w:r>
      <w:r w:rsidRPr="00DE32DC">
        <w:t xml:space="preserve"> The house of the inquirer and of life.</w:t>
      </w:r>
    </w:p>
    <w:p w14:paraId="3B63AC06" w14:textId="77777777" w:rsidR="008B64A3" w:rsidRPr="00DE32DC" w:rsidRDefault="008B64A3" w:rsidP="008B64A3">
      <w:pPr>
        <w:ind w:firstLine="708"/>
        <w:jc w:val="left"/>
      </w:pPr>
      <w:r w:rsidRPr="00DE32DC">
        <w:rPr>
          <w:b/>
          <w:bCs/>
        </w:rPr>
        <w:lastRenderedPageBreak/>
        <w:t>II</w:t>
      </w:r>
      <w:r w:rsidRPr="00DE32DC">
        <w:t xml:space="preserve"> The house of wealth and profit.</w:t>
      </w:r>
    </w:p>
    <w:p w14:paraId="79CB3007" w14:textId="77777777" w:rsidR="008B64A3" w:rsidRPr="00DE32DC" w:rsidRDefault="008B64A3" w:rsidP="008B64A3">
      <w:pPr>
        <w:ind w:firstLine="708"/>
        <w:jc w:val="left"/>
      </w:pPr>
      <w:r w:rsidRPr="00DE32DC">
        <w:rPr>
          <w:b/>
          <w:bCs/>
        </w:rPr>
        <w:t>III</w:t>
      </w:r>
      <w:r w:rsidRPr="00DE32DC">
        <w:t xml:space="preserve"> The house of short journeys.</w:t>
      </w:r>
    </w:p>
    <w:p w14:paraId="02FE722F" w14:textId="77777777" w:rsidR="008B64A3" w:rsidRPr="00DE32DC" w:rsidRDefault="008B64A3" w:rsidP="008B64A3">
      <w:pPr>
        <w:ind w:firstLine="708"/>
        <w:jc w:val="left"/>
      </w:pPr>
      <w:r w:rsidRPr="00DE32DC">
        <w:rPr>
          <w:b/>
          <w:bCs/>
        </w:rPr>
        <w:t>IV</w:t>
      </w:r>
      <w:r w:rsidRPr="00DE32DC">
        <w:t xml:space="preserve"> The house of parents and of inheritance.</w:t>
      </w:r>
    </w:p>
    <w:p w14:paraId="766F2F71" w14:textId="77777777" w:rsidR="008B64A3" w:rsidRPr="00DE32DC" w:rsidRDefault="008B64A3" w:rsidP="008B64A3">
      <w:pPr>
        <w:ind w:firstLine="708"/>
        <w:jc w:val="left"/>
      </w:pPr>
      <w:r w:rsidRPr="00DE32DC">
        <w:rPr>
          <w:b/>
          <w:bCs/>
        </w:rPr>
        <w:t>V</w:t>
      </w:r>
      <w:r w:rsidRPr="00DE32DC">
        <w:t xml:space="preserve"> The house of offspring.</w:t>
      </w:r>
    </w:p>
    <w:p w14:paraId="227BEF00" w14:textId="77777777" w:rsidR="008B64A3" w:rsidRPr="00DE32DC" w:rsidRDefault="008B64A3" w:rsidP="008B64A3">
      <w:pPr>
        <w:ind w:firstLine="708"/>
        <w:jc w:val="left"/>
      </w:pPr>
      <w:r w:rsidRPr="00DE32DC">
        <w:rPr>
          <w:b/>
          <w:bCs/>
        </w:rPr>
        <w:t>VI</w:t>
      </w:r>
      <w:r w:rsidRPr="00DE32DC">
        <w:t xml:space="preserve"> The house of servants</w:t>
      </w:r>
      <w:r>
        <w:t xml:space="preserve">, </w:t>
      </w:r>
      <w:r w:rsidRPr="00DE32DC">
        <w:t>animals and illnesses.</w:t>
      </w:r>
    </w:p>
    <w:p w14:paraId="078CA19B" w14:textId="77777777" w:rsidR="008B64A3" w:rsidRPr="00DE32DC" w:rsidRDefault="008B64A3" w:rsidP="008B64A3">
      <w:pPr>
        <w:ind w:firstLine="708"/>
        <w:jc w:val="left"/>
      </w:pPr>
      <w:r w:rsidRPr="00DE32DC">
        <w:rPr>
          <w:b/>
          <w:bCs/>
        </w:rPr>
        <w:t>VII</w:t>
      </w:r>
      <w:r w:rsidRPr="00DE32DC">
        <w:t xml:space="preserve"> The house of women and marriage.</w:t>
      </w:r>
    </w:p>
    <w:p w14:paraId="3920592D" w14:textId="77777777" w:rsidR="008B64A3" w:rsidRPr="00DE32DC" w:rsidRDefault="008B64A3" w:rsidP="008B64A3">
      <w:pPr>
        <w:ind w:firstLine="708"/>
        <w:jc w:val="left"/>
      </w:pPr>
      <w:r w:rsidRPr="00DE32DC">
        <w:rPr>
          <w:b/>
          <w:bCs/>
        </w:rPr>
        <w:t>VIII</w:t>
      </w:r>
      <w:r w:rsidRPr="00DE32DC">
        <w:t xml:space="preserve"> The house of death and inheritance.</w:t>
      </w:r>
    </w:p>
    <w:p w14:paraId="2909F116" w14:textId="77777777" w:rsidR="008B64A3" w:rsidRPr="00DE32DC" w:rsidRDefault="008B64A3" w:rsidP="008B64A3">
      <w:pPr>
        <w:ind w:firstLine="708"/>
        <w:jc w:val="left"/>
      </w:pPr>
      <w:r w:rsidRPr="00DE32DC">
        <w:rPr>
          <w:b/>
          <w:bCs/>
        </w:rPr>
        <w:t>IX</w:t>
      </w:r>
      <w:r w:rsidRPr="00DE32DC">
        <w:t xml:space="preserve"> The house of faith, religion and wisdom.</w:t>
      </w:r>
    </w:p>
    <w:p w14:paraId="7D729562" w14:textId="77777777" w:rsidR="008B64A3" w:rsidRPr="00DE32DC" w:rsidRDefault="008B64A3" w:rsidP="008B64A3">
      <w:pPr>
        <w:ind w:firstLine="708"/>
        <w:jc w:val="left"/>
      </w:pPr>
      <w:r w:rsidRPr="00DE32DC">
        <w:rPr>
          <w:b/>
          <w:bCs/>
        </w:rPr>
        <w:t>X</w:t>
      </w:r>
      <w:r w:rsidRPr="00DE32DC">
        <w:t xml:space="preserve"> The house of honours.</w:t>
      </w:r>
    </w:p>
    <w:p w14:paraId="2FD9B9E1" w14:textId="77777777" w:rsidR="008B64A3" w:rsidRPr="00DE32DC" w:rsidRDefault="008B64A3" w:rsidP="008B64A3">
      <w:pPr>
        <w:ind w:firstLine="708"/>
        <w:jc w:val="left"/>
      </w:pPr>
      <w:r w:rsidRPr="00DE32DC">
        <w:rPr>
          <w:b/>
          <w:bCs/>
        </w:rPr>
        <w:t>XI</w:t>
      </w:r>
      <w:r w:rsidRPr="00DE32DC">
        <w:t xml:space="preserve"> The house of friends.</w:t>
      </w:r>
    </w:p>
    <w:p w14:paraId="4EBCA828" w14:textId="77777777" w:rsidR="008B64A3" w:rsidRDefault="008B64A3" w:rsidP="008B64A3">
      <w:pPr>
        <w:ind w:firstLine="708"/>
        <w:jc w:val="left"/>
      </w:pPr>
      <w:r w:rsidRPr="00DE32DC">
        <w:rPr>
          <w:b/>
          <w:bCs/>
        </w:rPr>
        <w:t xml:space="preserve">XII </w:t>
      </w:r>
      <w:r w:rsidRPr="00DE32DC">
        <w:t>The house of enemies and afflictions.</w:t>
      </w:r>
    </w:p>
    <w:p w14:paraId="368BE1F2" w14:textId="77777777" w:rsidR="008B64A3" w:rsidRDefault="008B64A3" w:rsidP="001E54AB">
      <w:pPr>
        <w:ind w:firstLine="0"/>
        <w:jc w:val="center"/>
      </w:pPr>
      <w:r>
        <w:rPr>
          <w:noProof/>
        </w:rPr>
        <w:drawing>
          <wp:inline distT="0" distB="0" distL="0" distR="0" wp14:anchorId="5CBE1DE5" wp14:editId="27F48820">
            <wp:extent cx="3663269" cy="3115733"/>
            <wp:effectExtent l="0" t="0" r="0" b="8890"/>
            <wp:docPr id="4" name="Picture 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712330" cy="3157461"/>
                    </a:xfrm>
                    <a:prstGeom prst="rect">
                      <a:avLst/>
                    </a:prstGeom>
                    <a:ln>
                      <a:noFill/>
                    </a:ln>
                  </pic:spPr>
                </pic:pic>
              </a:graphicData>
            </a:graphic>
          </wp:inline>
        </w:drawing>
      </w:r>
    </w:p>
    <w:p w14:paraId="3BF58A2B" w14:textId="4D46FA2F" w:rsidR="008B64A3" w:rsidRPr="0024393C" w:rsidRDefault="008B64A3" w:rsidP="0024393C">
      <w:pPr>
        <w:spacing w:line="240" w:lineRule="auto"/>
        <w:jc w:val="center"/>
        <w:rPr>
          <w:b/>
          <w:bCs/>
          <w:sz w:val="20"/>
          <w:szCs w:val="20"/>
        </w:rPr>
      </w:pPr>
      <w:bookmarkStart w:id="17" w:name="_Hlk150942998"/>
      <w:r w:rsidRPr="002B5BAA">
        <w:rPr>
          <w:b/>
          <w:bCs/>
          <w:sz w:val="20"/>
          <w:szCs w:val="20"/>
        </w:rPr>
        <w:t>Figure 4</w:t>
      </w:r>
      <w:r w:rsidR="0024393C">
        <w:rPr>
          <w:b/>
          <w:bCs/>
          <w:sz w:val="20"/>
          <w:szCs w:val="20"/>
        </w:rPr>
        <w:t xml:space="preserve">. </w:t>
      </w:r>
      <w:r w:rsidRPr="002B5BAA">
        <w:rPr>
          <w:sz w:val="20"/>
          <w:szCs w:val="20"/>
        </w:rPr>
        <w:t>The geomantic shield chart divided into fifteen houses</w:t>
      </w:r>
      <w:r w:rsidR="00185774">
        <w:rPr>
          <w:sz w:val="20"/>
          <w:szCs w:val="20"/>
        </w:rPr>
        <w:t xml:space="preserve">. Source: T. </w:t>
      </w:r>
      <w:r w:rsidR="00185774" w:rsidRPr="00185774">
        <w:rPr>
          <w:sz w:val="20"/>
          <w:szCs w:val="20"/>
        </w:rPr>
        <w:t xml:space="preserve">Charmasson, </w:t>
      </w:r>
      <w:r w:rsidR="00185774" w:rsidRPr="00185774">
        <w:rPr>
          <w:i/>
          <w:iCs/>
          <w:sz w:val="20"/>
          <w:szCs w:val="20"/>
        </w:rPr>
        <w:t>Recherches sur une technique divinatoire</w:t>
      </w:r>
      <w:r w:rsidR="00185774" w:rsidRPr="00185774">
        <w:rPr>
          <w:sz w:val="20"/>
          <w:szCs w:val="20"/>
        </w:rPr>
        <w:t xml:space="preserve"> (1980), p. 26</w:t>
      </w:r>
      <w:r w:rsidR="00185774">
        <w:rPr>
          <w:sz w:val="20"/>
          <w:szCs w:val="20"/>
        </w:rPr>
        <w:t>.</w:t>
      </w:r>
    </w:p>
    <w:bookmarkEnd w:id="17"/>
    <w:p w14:paraId="55C269B6" w14:textId="77777777" w:rsidR="008B64A3" w:rsidRDefault="008B64A3" w:rsidP="008B64A3">
      <w:pPr>
        <w:ind w:firstLine="708"/>
        <w:jc w:val="left"/>
      </w:pPr>
    </w:p>
    <w:p w14:paraId="1E5E6002" w14:textId="49D9D204" w:rsidR="008B64A3" w:rsidRPr="00151D2C" w:rsidRDefault="008B64A3" w:rsidP="008B64A3">
      <w:pPr>
        <w:ind w:firstLine="708"/>
        <w:rPr>
          <w:rFonts w:ascii="Segoe UI" w:hAnsi="Segoe UI" w:cs="Segoe UI"/>
          <w:sz w:val="18"/>
          <w:szCs w:val="18"/>
        </w:rPr>
      </w:pPr>
      <w:r w:rsidRPr="00DE32DC">
        <w:t xml:space="preserve">The </w:t>
      </w:r>
      <w:r>
        <w:t>geomantic chart</w:t>
      </w:r>
      <w:r w:rsidRPr="00DE32DC">
        <w:t xml:space="preserve"> is interpreted by considering </w:t>
      </w:r>
      <w:r>
        <w:t xml:space="preserve">how the figures fall </w:t>
      </w:r>
      <w:r w:rsidRPr="00DE32DC">
        <w:t xml:space="preserve">into each </w:t>
      </w:r>
      <w:r>
        <w:t xml:space="preserve">house </w:t>
      </w:r>
      <w:r w:rsidRPr="00DE32DC">
        <w:t xml:space="preserve">and how </w:t>
      </w:r>
      <w:r>
        <w:t>they relate and</w:t>
      </w:r>
      <w:r w:rsidRPr="00DE32DC">
        <w:t xml:space="preserve"> interact with the </w:t>
      </w:r>
      <w:r>
        <w:t xml:space="preserve">specific </w:t>
      </w:r>
      <w:r w:rsidRPr="00DE32DC">
        <w:t xml:space="preserve">matter of </w:t>
      </w:r>
      <w:r>
        <w:t>that</w:t>
      </w:r>
      <w:r w:rsidRPr="00DE32DC">
        <w:t xml:space="preserve"> house.</w:t>
      </w:r>
      <w:r>
        <w:t xml:space="preserve"> In the geomantic chart, the twelve houses are occupied by the mothers (I-IV), the daughters (V-VIII), and the </w:t>
      </w:r>
      <w:r>
        <w:lastRenderedPageBreak/>
        <w:t xml:space="preserve">granddaughters (IX-XII), while the final three houses (XIII, XIV, XV), which are occupied by the two witnesses and the judge, do not correspond to any of the twelve astrological houses. </w:t>
      </w:r>
      <w:r w:rsidRPr="00DE32DC">
        <w:t xml:space="preserve">The first witness, which is the thirteenth figure of the </w:t>
      </w:r>
      <w:r>
        <w:t>chart,</w:t>
      </w:r>
      <w:r w:rsidRPr="00DE32DC">
        <w:t xml:space="preserve"> and is formed from the two granddaughters that descend from the mothers, is said to indicate the joy or the sadness of past things. The second witness, which is the fourteenth figure of the chart and is formed from the two granddaughters that descend from the daughters, is said to indicate the success or failure of future things. Finally, the judge, which occupies the fifteenth sector of the geomantic </w:t>
      </w:r>
      <w:r>
        <w:t>horoscope</w:t>
      </w:r>
      <w:r w:rsidRPr="00DE32DC">
        <w:t xml:space="preserve">, is sometimes called the ‘root of the whole </w:t>
      </w:r>
      <w:r w:rsidR="001A0AD1">
        <w:t>fate</w:t>
      </w:r>
      <w:r w:rsidR="006C06CD">
        <w:t>,</w:t>
      </w:r>
      <w:r w:rsidR="001A0AD1">
        <w:t>’</w:t>
      </w:r>
      <w:r w:rsidRPr="00DE32DC">
        <w:t xml:space="preserve"> as it synthesi</w:t>
      </w:r>
      <w:r>
        <w:t>s</w:t>
      </w:r>
      <w:r w:rsidRPr="00DE32DC">
        <w:t xml:space="preserve">es the whole </w:t>
      </w:r>
      <w:r>
        <w:t>chart</w:t>
      </w:r>
      <w:r w:rsidRPr="00DE32DC">
        <w:t xml:space="preserve"> and indicates the general good or bad outcome of the prediction. </w:t>
      </w:r>
    </w:p>
    <w:p w14:paraId="2595EDFE" w14:textId="77777777" w:rsidR="008B64A3" w:rsidRPr="00A777B9" w:rsidRDefault="008B64A3" w:rsidP="008B64A3">
      <w:pPr>
        <w:rPr>
          <w:b/>
          <w:bCs/>
        </w:rPr>
      </w:pPr>
    </w:p>
    <w:p w14:paraId="03D7E4C5" w14:textId="484C0248" w:rsidR="008B64A3" w:rsidRPr="006E07BF" w:rsidRDefault="008B64A3" w:rsidP="006E07BF">
      <w:pPr>
        <w:pStyle w:val="Heading3"/>
        <w:ind w:firstLine="0"/>
        <w:rPr>
          <w:rFonts w:asciiTheme="majorBidi" w:hAnsiTheme="majorBidi"/>
          <w:b/>
          <w:bCs/>
          <w:color w:val="auto"/>
        </w:rPr>
      </w:pPr>
      <w:bookmarkStart w:id="18" w:name="_Toc165108630"/>
      <w:r w:rsidRPr="006E07BF">
        <w:rPr>
          <w:rFonts w:asciiTheme="majorBidi" w:hAnsiTheme="majorBidi"/>
          <w:b/>
          <w:bCs/>
          <w:color w:val="auto"/>
        </w:rPr>
        <w:t>The sixteen geomantic figures</w:t>
      </w:r>
      <w:bookmarkEnd w:id="18"/>
    </w:p>
    <w:p w14:paraId="0C701596" w14:textId="77777777" w:rsidR="008B64A3" w:rsidRPr="001825A2" w:rsidRDefault="008B64A3" w:rsidP="008B64A3">
      <w:pPr>
        <w:ind w:firstLine="0"/>
        <w:rPr>
          <w:i/>
          <w:iCs/>
        </w:rPr>
      </w:pPr>
    </w:p>
    <w:p w14:paraId="42F8E1ED" w14:textId="67525C87" w:rsidR="008B64A3" w:rsidRDefault="008B64A3" w:rsidP="008B64A3">
      <w:pPr>
        <w:ind w:firstLine="0"/>
      </w:pPr>
      <w:r>
        <w:tab/>
        <w:t>The process through which the geomantic figures are formed can produce</w:t>
      </w:r>
      <w:r w:rsidRPr="00DE32DC">
        <w:t xml:space="preserve"> a maximum of sixteen different configurations of </w:t>
      </w:r>
      <w:r w:rsidR="002F2BE4">
        <w:t>points</w:t>
      </w:r>
      <w:r>
        <w:t xml:space="preserve">. These sixteen patterns, known as </w:t>
      </w:r>
      <w:r w:rsidR="00372846">
        <w:t xml:space="preserve">the </w:t>
      </w:r>
      <w:r>
        <w:t>geomantic figures, are the essential element of geomantic prediction</w:t>
      </w:r>
      <w:r w:rsidRPr="00DE32DC">
        <w:t>. To each is attributed a name</w:t>
      </w:r>
      <w:r>
        <w:t xml:space="preserve"> and a set of features and correspondences.</w:t>
      </w:r>
      <w:r w:rsidRPr="00DE32DC">
        <w:t xml:space="preserve"> The</w:t>
      </w:r>
      <w:r>
        <w:t xml:space="preserve"> names of the figures</w:t>
      </w:r>
      <w:r w:rsidRPr="00DE32DC">
        <w:t xml:space="preserve"> vary</w:t>
      </w:r>
      <w:r>
        <w:t xml:space="preserve"> slightly</w:t>
      </w:r>
      <w:r w:rsidRPr="00DE32DC">
        <w:t xml:space="preserve"> in the Latin geomantic literature, but are usually quite consistent in their meaning.</w:t>
      </w:r>
      <w:r w:rsidRPr="00DE32DC">
        <w:rPr>
          <w:rStyle w:val="FootnoteReference"/>
        </w:rPr>
        <w:footnoteReference w:id="36"/>
      </w:r>
      <w:r w:rsidRPr="00DE32DC">
        <w:t xml:space="preserve"> The nature of these names is quite heterogeneous, in the sense that some refer to people: </w:t>
      </w:r>
      <w:r w:rsidRPr="00DE32DC">
        <w:rPr>
          <w:i/>
          <w:iCs/>
        </w:rPr>
        <w:t>Puer, Puella, Populus</w:t>
      </w:r>
      <w:r w:rsidRPr="00DE32DC">
        <w:t xml:space="preserve"> (</w:t>
      </w:r>
      <w:r w:rsidR="00593113">
        <w:t>‘</w:t>
      </w:r>
      <w:r w:rsidRPr="00DE32DC">
        <w:t>boy, girl, people</w:t>
      </w:r>
      <w:r w:rsidR="00593113">
        <w:t>’</w:t>
      </w:r>
      <w:r w:rsidRPr="00DE32DC">
        <w:t>), other</w:t>
      </w:r>
      <w:r>
        <w:t>s</w:t>
      </w:r>
      <w:r w:rsidRPr="00DE32DC">
        <w:t xml:space="preserve"> to colours, such as </w:t>
      </w:r>
      <w:r w:rsidRPr="00DE32DC">
        <w:rPr>
          <w:i/>
          <w:iCs/>
        </w:rPr>
        <w:t>Albus, Rubeus</w:t>
      </w:r>
      <w:r w:rsidRPr="00DE32DC">
        <w:t xml:space="preserve"> (</w:t>
      </w:r>
      <w:r w:rsidR="00593113">
        <w:t>‘</w:t>
      </w:r>
      <w:r w:rsidRPr="00DE32DC">
        <w:t>white, red</w:t>
      </w:r>
      <w:r w:rsidR="00593113">
        <w:t>’</w:t>
      </w:r>
      <w:r w:rsidRPr="00DE32DC">
        <w:t>)</w:t>
      </w:r>
      <w:r>
        <w:t xml:space="preserve"> and</w:t>
      </w:r>
      <w:r w:rsidRPr="00DE32DC">
        <w:t xml:space="preserve"> to emotions, </w:t>
      </w:r>
      <w:r w:rsidRPr="00DE32DC">
        <w:rPr>
          <w:i/>
          <w:iCs/>
        </w:rPr>
        <w:t>Laetitia, Tristitia</w:t>
      </w:r>
      <w:r w:rsidRPr="00DE32DC">
        <w:t xml:space="preserve"> (</w:t>
      </w:r>
      <w:r w:rsidR="00593113">
        <w:t>‘</w:t>
      </w:r>
      <w:r w:rsidRPr="00DE32DC">
        <w:t>joy, sorrow</w:t>
      </w:r>
      <w:r w:rsidR="00593113">
        <w:t>’</w:t>
      </w:r>
      <w:r w:rsidRPr="00DE32DC">
        <w:t>)</w:t>
      </w:r>
      <w:r>
        <w:t>.</w:t>
      </w:r>
      <w:r w:rsidRPr="00DE32DC">
        <w:t xml:space="preserve"> </w:t>
      </w:r>
      <w:r w:rsidRPr="00DE32DC">
        <w:rPr>
          <w:i/>
          <w:iCs/>
        </w:rPr>
        <w:t>Via</w:t>
      </w:r>
      <w:r>
        <w:rPr>
          <w:i/>
          <w:iCs/>
        </w:rPr>
        <w:t xml:space="preserve"> </w:t>
      </w:r>
      <w:r>
        <w:t>and</w:t>
      </w:r>
      <w:r w:rsidRPr="00DE32DC">
        <w:rPr>
          <w:i/>
          <w:iCs/>
        </w:rPr>
        <w:t xml:space="preserve"> Carcer </w:t>
      </w:r>
      <w:r w:rsidRPr="00DE32DC">
        <w:t>(</w:t>
      </w:r>
      <w:r w:rsidR="00593113">
        <w:t>‘</w:t>
      </w:r>
      <w:r w:rsidRPr="00DE32DC">
        <w:t>path, jail</w:t>
      </w:r>
      <w:r w:rsidR="00593113">
        <w:t>’</w:t>
      </w:r>
      <w:r w:rsidRPr="00DE32DC">
        <w:t>) refer to physical spaces</w:t>
      </w:r>
      <w:r>
        <w:t>,</w:t>
      </w:r>
      <w:r w:rsidRPr="00DE32DC">
        <w:t xml:space="preserve"> and other names indicate more abstract concepts, such as the figures </w:t>
      </w:r>
      <w:r w:rsidRPr="00DE32DC">
        <w:rPr>
          <w:i/>
          <w:iCs/>
        </w:rPr>
        <w:t>Acquisitio, Amissio, Fortuna maior, Fortuna minor, Coniunctio</w:t>
      </w:r>
      <w:r w:rsidRPr="00DE32DC">
        <w:t xml:space="preserve"> (</w:t>
      </w:r>
      <w:r w:rsidR="00593113">
        <w:t>‘</w:t>
      </w:r>
      <w:r w:rsidRPr="00DE32DC">
        <w:t>acquisition, loss, greater fortune, lesser fortune, conjunction</w:t>
      </w:r>
      <w:r w:rsidR="006C2568">
        <w:t>’</w:t>
      </w:r>
      <w:r>
        <w:t xml:space="preserve"> but also </w:t>
      </w:r>
      <w:r w:rsidR="006C2568">
        <w:t>‘</w:t>
      </w:r>
      <w:r>
        <w:t>intercourse</w:t>
      </w:r>
      <w:r w:rsidR="00593113">
        <w:t>’</w:t>
      </w:r>
      <w:r w:rsidR="00CF0D7C">
        <w:t>).</w:t>
      </w:r>
      <w:r w:rsidR="00C82031">
        <w:rPr>
          <w:rStyle w:val="FootnoteReference"/>
        </w:rPr>
        <w:footnoteReference w:id="37"/>
      </w:r>
      <w:r w:rsidRPr="00DE32DC">
        <w:t xml:space="preserve"> Moreover, some refer to astrological notions: </w:t>
      </w:r>
      <w:r w:rsidRPr="00DE32DC">
        <w:rPr>
          <w:i/>
          <w:iCs/>
        </w:rPr>
        <w:t xml:space="preserve">Caput </w:t>
      </w:r>
      <w:r w:rsidRPr="00DE32DC">
        <w:rPr>
          <w:i/>
          <w:iCs/>
        </w:rPr>
        <w:lastRenderedPageBreak/>
        <w:t xml:space="preserve">draconis </w:t>
      </w:r>
      <w:r w:rsidRPr="00DE32DC">
        <w:t>(</w:t>
      </w:r>
      <w:r w:rsidR="006C2568">
        <w:t>‘</w:t>
      </w:r>
      <w:r w:rsidRPr="00DE32DC">
        <w:t>the head of the dragon</w:t>
      </w:r>
      <w:r w:rsidR="006C2568">
        <w:t>’</w:t>
      </w:r>
      <w:r w:rsidRPr="00DE32DC">
        <w:t xml:space="preserve">) and </w:t>
      </w:r>
      <w:r w:rsidRPr="00DE32DC">
        <w:rPr>
          <w:i/>
          <w:iCs/>
        </w:rPr>
        <w:t>Cauda draconis</w:t>
      </w:r>
      <w:r w:rsidRPr="00DE32DC">
        <w:t xml:space="preserve"> (</w:t>
      </w:r>
      <w:r w:rsidR="006C2568">
        <w:t>‘</w:t>
      </w:r>
      <w:r w:rsidRPr="00DE32DC">
        <w:t>the tail of the dragon</w:t>
      </w:r>
      <w:r w:rsidR="006C2568">
        <w:t>’</w:t>
      </w:r>
      <w:r w:rsidRPr="00DE32DC">
        <w:t>) correspond to the lunar nodes</w:t>
      </w:r>
      <w:r>
        <w:t>.</w:t>
      </w:r>
      <w:r w:rsidRPr="00DE32DC">
        <w:t xml:space="preserve"> </w:t>
      </w:r>
      <w:r>
        <w:t>Similarly,</w:t>
      </w:r>
      <w:r w:rsidRPr="00DE32DC">
        <w:t xml:space="preserve"> it is also interesting that in Arabic astrological literature ‘the Red’ (</w:t>
      </w:r>
      <w:r w:rsidRPr="00DE32DC">
        <w:rPr>
          <w:i/>
          <w:iCs/>
        </w:rPr>
        <w:t>Rubeus</w:t>
      </w:r>
      <w:r w:rsidRPr="00DE32DC">
        <w:t>) refers to Mars, while ‘the Fighter’ (</w:t>
      </w:r>
      <w:r w:rsidRPr="00DE32DC">
        <w:rPr>
          <w:i/>
          <w:iCs/>
        </w:rPr>
        <w:t>Bellator</w:t>
      </w:r>
      <w:r w:rsidRPr="00DE32DC">
        <w:t xml:space="preserve"> </w:t>
      </w:r>
      <w:r>
        <w:t xml:space="preserve">sometimes </w:t>
      </w:r>
      <w:r w:rsidRPr="00DE32DC">
        <w:t xml:space="preserve">appears as a variant for </w:t>
      </w:r>
      <w:r w:rsidRPr="00DE32DC">
        <w:rPr>
          <w:i/>
          <w:iCs/>
        </w:rPr>
        <w:t>Puella</w:t>
      </w:r>
      <w:r w:rsidRPr="00DE32DC">
        <w:t>)</w:t>
      </w:r>
      <w:r w:rsidRPr="00DE32DC">
        <w:rPr>
          <w:rStyle w:val="FootnoteReference"/>
        </w:rPr>
        <w:footnoteReference w:id="38"/>
      </w:r>
      <w:r w:rsidRPr="00DE32DC">
        <w:t xml:space="preserve"> refers to Saturn.</w:t>
      </w:r>
      <w:r w:rsidRPr="00DE32DC">
        <w:rPr>
          <w:rStyle w:val="FootnoteReference"/>
        </w:rPr>
        <w:footnoteReference w:id="39"/>
      </w:r>
      <w:r w:rsidRPr="00DE32DC">
        <w:t xml:space="preserve"> The figure </w:t>
      </w:r>
      <w:r w:rsidRPr="00DE32DC">
        <w:rPr>
          <w:i/>
          <w:iCs/>
        </w:rPr>
        <w:t>Coniunctio</w:t>
      </w:r>
      <w:r w:rsidRPr="00DE32DC">
        <w:t xml:space="preserve"> too could be referring to the astrological concept of planetary conjunction. In some cases, the correlation between the name of a figure and its shape is evident, </w:t>
      </w:r>
      <w:r w:rsidRPr="00DE32DC">
        <w:rPr>
          <w:i/>
          <w:iCs/>
        </w:rPr>
        <w:t>Via</w:t>
      </w:r>
      <w:r w:rsidRPr="00DE32DC">
        <w:t xml:space="preserve"> is a vertical line of four </w:t>
      </w:r>
      <w:r w:rsidR="002F2BE4">
        <w:t>points</w:t>
      </w:r>
      <w:r w:rsidRPr="00DE32DC">
        <w:t xml:space="preserve">, resembling a road. </w:t>
      </w:r>
      <w:r w:rsidRPr="00DE32DC">
        <w:rPr>
          <w:i/>
          <w:iCs/>
        </w:rPr>
        <w:t>Puer</w:t>
      </w:r>
      <w:r w:rsidRPr="00DE32DC">
        <w:t xml:space="preserve"> and </w:t>
      </w:r>
      <w:r w:rsidRPr="00DE32DC">
        <w:rPr>
          <w:i/>
          <w:iCs/>
        </w:rPr>
        <w:t>Puella</w:t>
      </w:r>
      <w:r w:rsidRPr="00DE32DC">
        <w:t xml:space="preserve"> can be considered as stickmen, the girl with two </w:t>
      </w:r>
      <w:r w:rsidR="002F2BE4">
        <w:t>points</w:t>
      </w:r>
      <w:r w:rsidRPr="00DE32DC">
        <w:t xml:space="preserve"> </w:t>
      </w:r>
      <w:r>
        <w:t>for</w:t>
      </w:r>
      <w:r w:rsidRPr="00DE32DC">
        <w:t xml:space="preserve"> the breast</w:t>
      </w:r>
      <w:r>
        <w:t>s</w:t>
      </w:r>
      <w:r w:rsidRPr="00DE32DC">
        <w:t xml:space="preserve">, the boy with two </w:t>
      </w:r>
      <w:r w:rsidR="002F2BE4">
        <w:t>points</w:t>
      </w:r>
      <w:r w:rsidRPr="00DE32DC">
        <w:t xml:space="preserve"> </w:t>
      </w:r>
      <w:r>
        <w:t>for</w:t>
      </w:r>
      <w:r w:rsidRPr="00DE32DC">
        <w:t xml:space="preserve"> the testicles. Moreover </w:t>
      </w:r>
      <w:r w:rsidRPr="00DE32DC">
        <w:rPr>
          <w:i/>
          <w:iCs/>
        </w:rPr>
        <w:t>Populus</w:t>
      </w:r>
      <w:r w:rsidRPr="00DE32DC">
        <w:t xml:space="preserve">, which is also known as </w:t>
      </w:r>
      <w:r w:rsidRPr="00DE32DC">
        <w:rPr>
          <w:i/>
          <w:iCs/>
        </w:rPr>
        <w:t xml:space="preserve">Aggregatio </w:t>
      </w:r>
      <w:r w:rsidRPr="00DE32DC">
        <w:t>(aggregation), is the figure with the greate</w:t>
      </w:r>
      <w:r w:rsidR="00C82031">
        <w:t>st</w:t>
      </w:r>
      <w:r w:rsidRPr="00DE32DC">
        <w:t xml:space="preserve"> number of </w:t>
      </w:r>
      <w:r w:rsidR="002F2BE4">
        <w:t>points</w:t>
      </w:r>
      <w:r w:rsidRPr="00DE32DC">
        <w:t xml:space="preserve">, while the </w:t>
      </w:r>
      <w:r w:rsidR="002F2BE4">
        <w:t>points</w:t>
      </w:r>
      <w:r w:rsidRPr="00DE32DC">
        <w:t xml:space="preserve"> of </w:t>
      </w:r>
      <w:r w:rsidRPr="00DE32DC">
        <w:rPr>
          <w:i/>
          <w:iCs/>
        </w:rPr>
        <w:t>Carcer</w:t>
      </w:r>
      <w:r w:rsidRPr="00DE32DC">
        <w:t xml:space="preserve"> form a perimeter containing an empty space</w:t>
      </w:r>
      <w:r>
        <w:t xml:space="preserve"> (Figure 5)</w:t>
      </w:r>
      <w:r w:rsidRPr="00DE32DC">
        <w:t xml:space="preserve">. </w:t>
      </w:r>
      <w:r>
        <w:t xml:space="preserve">This correspondence between the shape of the geomantic figures and their names is documented in a text </w:t>
      </w:r>
      <w:r w:rsidR="00C82031">
        <w:t>en</w:t>
      </w:r>
      <w:r>
        <w:t xml:space="preserve">titled </w:t>
      </w:r>
      <w:r w:rsidRPr="00703EF5">
        <w:rPr>
          <w:i/>
          <w:iCs/>
        </w:rPr>
        <w:t>Lectura geomantiae</w:t>
      </w:r>
      <w:r>
        <w:rPr>
          <w:i/>
          <w:iCs/>
        </w:rPr>
        <w:t xml:space="preserve">, </w:t>
      </w:r>
      <w:r>
        <w:t>solely preserved in a</w:t>
      </w:r>
      <w:r w:rsidR="00C82031">
        <w:t xml:space="preserve"> single,</w:t>
      </w:r>
      <w:r>
        <w:t xml:space="preserve"> fifteenth-century manuscript, in a passage describing Hermes Trismegistus receiving the revelation of geomancy:</w:t>
      </w:r>
      <w:r w:rsidRPr="00703EF5">
        <w:t xml:space="preserve"> </w:t>
      </w:r>
    </w:p>
    <w:p w14:paraId="6100110B" w14:textId="77777777" w:rsidR="008B64A3" w:rsidRPr="00703EF5" w:rsidRDefault="008B64A3" w:rsidP="008B64A3">
      <w:pPr>
        <w:ind w:left="284" w:firstLine="0"/>
        <w:rPr>
          <w:sz w:val="20"/>
          <w:szCs w:val="20"/>
        </w:rPr>
      </w:pPr>
    </w:p>
    <w:p w14:paraId="5A9ACBEE" w14:textId="1D53D743" w:rsidR="008B64A3" w:rsidRPr="00703EF5" w:rsidRDefault="00C82031" w:rsidP="0082006D">
      <w:pPr>
        <w:ind w:left="567" w:firstLine="0"/>
        <w:rPr>
          <w:sz w:val="20"/>
          <w:szCs w:val="20"/>
        </w:rPr>
      </w:pPr>
      <w:r w:rsidRPr="00703EF5">
        <w:rPr>
          <w:sz w:val="20"/>
          <w:szCs w:val="20"/>
        </w:rPr>
        <w:t xml:space="preserve">Those points remain </w:t>
      </w:r>
      <w:r>
        <w:rPr>
          <w:sz w:val="20"/>
          <w:szCs w:val="20"/>
        </w:rPr>
        <w:t>like</w:t>
      </w:r>
      <w:r w:rsidRPr="00703EF5">
        <w:rPr>
          <w:sz w:val="20"/>
          <w:szCs w:val="20"/>
        </w:rPr>
        <w:t xml:space="preserve"> people. And then the angel said: </w:t>
      </w:r>
      <w:r>
        <w:rPr>
          <w:sz w:val="20"/>
          <w:szCs w:val="20"/>
        </w:rPr>
        <w:t xml:space="preserve">‘Let them be called </w:t>
      </w:r>
      <w:r w:rsidRPr="00703EF5">
        <w:rPr>
          <w:i/>
          <w:iCs/>
          <w:sz w:val="20"/>
          <w:szCs w:val="20"/>
        </w:rPr>
        <w:t>Populus’</w:t>
      </w:r>
      <w:r w:rsidRPr="00703EF5">
        <w:rPr>
          <w:sz w:val="20"/>
          <w:szCs w:val="20"/>
        </w:rPr>
        <w:t xml:space="preserve">, and this was the first figure: </w:t>
      </w:r>
      <w:r w:rsidRPr="00703EF5">
        <w:rPr>
          <w:i/>
          <w:iCs/>
          <w:sz w:val="20"/>
          <w:szCs w:val="20"/>
        </w:rPr>
        <w:t>Populus</w:t>
      </w:r>
      <w:r w:rsidRPr="00703EF5">
        <w:rPr>
          <w:sz w:val="20"/>
          <w:szCs w:val="20"/>
        </w:rPr>
        <w:t xml:space="preserve">. And the second is </w:t>
      </w:r>
      <w:r>
        <w:rPr>
          <w:sz w:val="20"/>
          <w:szCs w:val="20"/>
        </w:rPr>
        <w:t>like</w:t>
      </w:r>
      <w:r w:rsidRPr="00703EF5">
        <w:rPr>
          <w:sz w:val="20"/>
          <w:szCs w:val="20"/>
        </w:rPr>
        <w:t xml:space="preserve"> </w:t>
      </w:r>
      <w:r>
        <w:rPr>
          <w:sz w:val="20"/>
          <w:szCs w:val="20"/>
        </w:rPr>
        <w:t>a</w:t>
      </w:r>
      <w:r w:rsidRPr="00703EF5">
        <w:rPr>
          <w:sz w:val="20"/>
          <w:szCs w:val="20"/>
        </w:rPr>
        <w:t xml:space="preserve"> road, therefore </w:t>
      </w:r>
      <w:r>
        <w:rPr>
          <w:sz w:val="20"/>
          <w:szCs w:val="20"/>
        </w:rPr>
        <w:t>let it be</w:t>
      </w:r>
      <w:r w:rsidRPr="00703EF5">
        <w:rPr>
          <w:sz w:val="20"/>
          <w:szCs w:val="20"/>
        </w:rPr>
        <w:t xml:space="preserve"> called </w:t>
      </w:r>
      <w:r w:rsidRPr="00945E7D">
        <w:rPr>
          <w:i/>
          <w:iCs/>
          <w:sz w:val="20"/>
          <w:szCs w:val="20"/>
        </w:rPr>
        <w:t>Via</w:t>
      </w:r>
      <w:r w:rsidRPr="00703EF5">
        <w:rPr>
          <w:sz w:val="20"/>
          <w:szCs w:val="20"/>
        </w:rPr>
        <w:t xml:space="preserve">, as follows: </w:t>
      </w:r>
      <w:r w:rsidRPr="00945E7D">
        <w:rPr>
          <w:i/>
          <w:iCs/>
          <w:sz w:val="20"/>
          <w:szCs w:val="20"/>
        </w:rPr>
        <w:t>Via</w:t>
      </w:r>
      <w:r w:rsidRPr="00703EF5">
        <w:rPr>
          <w:sz w:val="20"/>
          <w:szCs w:val="20"/>
        </w:rPr>
        <w:t xml:space="preserve">. The third has no order, therefore </w:t>
      </w:r>
      <w:r>
        <w:rPr>
          <w:sz w:val="20"/>
          <w:szCs w:val="20"/>
        </w:rPr>
        <w:t>let it be</w:t>
      </w:r>
      <w:r w:rsidRPr="00703EF5">
        <w:rPr>
          <w:sz w:val="20"/>
          <w:szCs w:val="20"/>
        </w:rPr>
        <w:t xml:space="preserve"> called </w:t>
      </w:r>
      <w:r w:rsidRPr="00945E7D">
        <w:rPr>
          <w:i/>
          <w:iCs/>
          <w:sz w:val="20"/>
          <w:szCs w:val="20"/>
        </w:rPr>
        <w:t>Carcer</w:t>
      </w:r>
      <w:r w:rsidRPr="00703EF5">
        <w:rPr>
          <w:sz w:val="20"/>
          <w:szCs w:val="20"/>
        </w:rPr>
        <w:t xml:space="preserve">: </w:t>
      </w:r>
      <w:r w:rsidRPr="00945E7D">
        <w:rPr>
          <w:i/>
          <w:iCs/>
          <w:sz w:val="20"/>
          <w:szCs w:val="20"/>
        </w:rPr>
        <w:t>Carcer</w:t>
      </w:r>
      <w:r w:rsidRPr="00703EF5">
        <w:rPr>
          <w:sz w:val="20"/>
          <w:szCs w:val="20"/>
        </w:rPr>
        <w:t xml:space="preserve">. The fourth is </w:t>
      </w:r>
      <w:r>
        <w:rPr>
          <w:sz w:val="20"/>
          <w:szCs w:val="20"/>
        </w:rPr>
        <w:t>like</w:t>
      </w:r>
      <w:r w:rsidRPr="00703EF5">
        <w:rPr>
          <w:sz w:val="20"/>
          <w:szCs w:val="20"/>
        </w:rPr>
        <w:t xml:space="preserve"> </w:t>
      </w:r>
      <w:r>
        <w:rPr>
          <w:sz w:val="20"/>
          <w:szCs w:val="20"/>
        </w:rPr>
        <w:t xml:space="preserve">a </w:t>
      </w:r>
      <w:r w:rsidRPr="00703EF5">
        <w:rPr>
          <w:sz w:val="20"/>
          <w:szCs w:val="20"/>
        </w:rPr>
        <w:t xml:space="preserve">conjunction, </w:t>
      </w:r>
      <w:r>
        <w:rPr>
          <w:sz w:val="20"/>
          <w:szCs w:val="20"/>
        </w:rPr>
        <w:t xml:space="preserve">such </w:t>
      </w:r>
      <w:r w:rsidRPr="00703EF5">
        <w:rPr>
          <w:sz w:val="20"/>
          <w:szCs w:val="20"/>
        </w:rPr>
        <w:t xml:space="preserve">as </w:t>
      </w:r>
      <w:r>
        <w:rPr>
          <w:sz w:val="20"/>
          <w:szCs w:val="20"/>
        </w:rPr>
        <w:t>the unions that</w:t>
      </w:r>
      <w:r w:rsidRPr="00703EF5">
        <w:rPr>
          <w:sz w:val="20"/>
          <w:szCs w:val="20"/>
        </w:rPr>
        <w:t xml:space="preserve"> are made in bed</w:t>
      </w:r>
      <w:r>
        <w:rPr>
          <w:sz w:val="20"/>
          <w:szCs w:val="20"/>
        </w:rPr>
        <w:t>,</w:t>
      </w:r>
      <w:r w:rsidRPr="00703EF5">
        <w:rPr>
          <w:sz w:val="20"/>
          <w:szCs w:val="20"/>
        </w:rPr>
        <w:t xml:space="preserve"> so</w:t>
      </w:r>
      <w:r>
        <w:rPr>
          <w:sz w:val="20"/>
          <w:szCs w:val="20"/>
        </w:rPr>
        <w:t xml:space="preserve"> it</w:t>
      </w:r>
      <w:r w:rsidRPr="00703EF5">
        <w:rPr>
          <w:sz w:val="20"/>
          <w:szCs w:val="20"/>
        </w:rPr>
        <w:t xml:space="preserve"> was called </w:t>
      </w:r>
      <w:r w:rsidRPr="00945E7D">
        <w:rPr>
          <w:i/>
          <w:iCs/>
          <w:sz w:val="20"/>
          <w:szCs w:val="20"/>
        </w:rPr>
        <w:t>Coniunctio</w:t>
      </w:r>
      <w:r w:rsidRPr="00703EF5">
        <w:rPr>
          <w:sz w:val="20"/>
          <w:szCs w:val="20"/>
        </w:rPr>
        <w:t xml:space="preserve">, as follows: </w:t>
      </w:r>
      <w:r w:rsidRPr="00945E7D">
        <w:rPr>
          <w:i/>
          <w:iCs/>
          <w:sz w:val="20"/>
          <w:szCs w:val="20"/>
        </w:rPr>
        <w:t>Coniunctio</w:t>
      </w:r>
      <w:r w:rsidR="008B64A3" w:rsidRPr="00703EF5">
        <w:rPr>
          <w:sz w:val="20"/>
          <w:szCs w:val="20"/>
        </w:rPr>
        <w:t>.</w:t>
      </w:r>
      <w:r w:rsidR="008B64A3" w:rsidRPr="00703EF5">
        <w:rPr>
          <w:rStyle w:val="FootnoteReference"/>
          <w:sz w:val="20"/>
          <w:szCs w:val="20"/>
        </w:rPr>
        <w:footnoteReference w:id="40"/>
      </w:r>
      <w:r w:rsidR="008B64A3" w:rsidRPr="00703EF5">
        <w:rPr>
          <w:sz w:val="20"/>
          <w:szCs w:val="20"/>
        </w:rPr>
        <w:t xml:space="preserve"> </w:t>
      </w:r>
    </w:p>
    <w:p w14:paraId="7F8E49BE" w14:textId="77777777" w:rsidR="008B64A3" w:rsidRDefault="008B64A3" w:rsidP="008B64A3">
      <w:pPr>
        <w:ind w:firstLine="0"/>
      </w:pPr>
    </w:p>
    <w:p w14:paraId="10AFE787" w14:textId="5B9D6ED6" w:rsidR="008B64A3" w:rsidRDefault="008B64A3" w:rsidP="008B64A3">
      <w:pPr>
        <w:ind w:firstLine="0"/>
      </w:pPr>
      <w:r>
        <w:lastRenderedPageBreak/>
        <w:t>Notwithstanding this evidence,</w:t>
      </w:r>
      <w:r w:rsidRPr="00DE32DC">
        <w:t xml:space="preserve"> it is difficult to see a correspondence between shapes and names of figures that express abstract concepts and those corresponding to colours.</w:t>
      </w:r>
      <w:r w:rsidRPr="007448A1">
        <w:t xml:space="preserve"> </w:t>
      </w:r>
      <w:r>
        <w:t xml:space="preserve">One source of the </w:t>
      </w:r>
      <w:r w:rsidRPr="00A01022">
        <w:t xml:space="preserve">heterogeneity and the strangeness </w:t>
      </w:r>
      <w:r>
        <w:t>of</w:t>
      </w:r>
      <w:r w:rsidRPr="00A01022">
        <w:t xml:space="preserve"> the n</w:t>
      </w:r>
      <w:r>
        <w:t xml:space="preserve">omenclature </w:t>
      </w:r>
      <w:r w:rsidRPr="00A01022">
        <w:t xml:space="preserve">of the geomantic figures could also be </w:t>
      </w:r>
      <w:r w:rsidR="00F3762F">
        <w:t>due to</w:t>
      </w:r>
      <w:r>
        <w:t xml:space="preserve"> </w:t>
      </w:r>
      <w:r w:rsidRPr="00A01022">
        <w:t>the fact that the</w:t>
      </w:r>
      <w:r>
        <w:t>se</w:t>
      </w:r>
      <w:r w:rsidRPr="00A01022">
        <w:t xml:space="preserve"> </w:t>
      </w:r>
      <w:r>
        <w:t>names were translated from the</w:t>
      </w:r>
      <w:r w:rsidRPr="00A01022">
        <w:t xml:space="preserve"> original Arabic </w:t>
      </w:r>
      <w:r>
        <w:t>ones</w:t>
      </w:r>
      <w:r w:rsidRPr="00A01022">
        <w:t xml:space="preserve">, </w:t>
      </w:r>
      <w:r>
        <w:t>and some confusion may have risen in the translation.</w:t>
      </w:r>
    </w:p>
    <w:p w14:paraId="4751CFEE" w14:textId="77777777" w:rsidR="008B64A3" w:rsidRDefault="008B64A3" w:rsidP="008B64A3"/>
    <w:p w14:paraId="28A2A58B" w14:textId="0CA9247D" w:rsidR="008B64A3" w:rsidRDefault="00755896" w:rsidP="001E54AB">
      <w:pPr>
        <w:ind w:firstLine="0"/>
        <w:jc w:val="center"/>
      </w:pPr>
      <w:r>
        <w:rPr>
          <w:noProof/>
        </w:rPr>
        <w:drawing>
          <wp:inline distT="0" distB="0" distL="0" distR="0" wp14:anchorId="175E6C94" wp14:editId="380942CC">
            <wp:extent cx="2960373" cy="3076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2965242" cy="3081635"/>
                    </a:xfrm>
                    <a:prstGeom prst="rect">
                      <a:avLst/>
                    </a:prstGeom>
                  </pic:spPr>
                </pic:pic>
              </a:graphicData>
            </a:graphic>
          </wp:inline>
        </w:drawing>
      </w:r>
    </w:p>
    <w:p w14:paraId="0B2D493F" w14:textId="333253C4" w:rsidR="008B64A3" w:rsidRPr="00962E81" w:rsidRDefault="008B64A3" w:rsidP="00FE1A3B">
      <w:pPr>
        <w:spacing w:line="240" w:lineRule="auto"/>
        <w:ind w:firstLine="0"/>
        <w:jc w:val="center"/>
        <w:rPr>
          <w:b/>
          <w:bCs/>
          <w:sz w:val="20"/>
          <w:szCs w:val="20"/>
        </w:rPr>
      </w:pPr>
      <w:bookmarkStart w:id="19" w:name="_Hlk150942976"/>
      <w:r w:rsidRPr="00C87DD3">
        <w:rPr>
          <w:b/>
          <w:bCs/>
          <w:sz w:val="20"/>
          <w:szCs w:val="20"/>
        </w:rPr>
        <w:t>Figure 5</w:t>
      </w:r>
      <w:r w:rsidR="00962E81">
        <w:rPr>
          <w:b/>
          <w:bCs/>
          <w:sz w:val="20"/>
          <w:szCs w:val="20"/>
        </w:rPr>
        <w:t xml:space="preserve">. </w:t>
      </w:r>
      <w:r w:rsidRPr="00C87DD3">
        <w:rPr>
          <w:sz w:val="20"/>
          <w:szCs w:val="20"/>
        </w:rPr>
        <w:t>The sixteen geomantic figures and their Latin names</w:t>
      </w:r>
      <w:r>
        <w:rPr>
          <w:sz w:val="20"/>
          <w:szCs w:val="20"/>
        </w:rPr>
        <w:t>.</w:t>
      </w:r>
    </w:p>
    <w:bookmarkEnd w:id="19"/>
    <w:p w14:paraId="635FB80D" w14:textId="77777777" w:rsidR="008B64A3" w:rsidRPr="00DE32DC" w:rsidRDefault="008B64A3" w:rsidP="008B64A3"/>
    <w:p w14:paraId="6A24A41A" w14:textId="735C11C4" w:rsidR="008B64A3" w:rsidRDefault="008B64A3" w:rsidP="008B64A3">
      <w:r w:rsidRPr="00DE32DC">
        <w:t>The</w:t>
      </w:r>
      <w:r>
        <w:t xml:space="preserve"> set of characteristics and correspondences assigned to the geomantic figures varies in length and content in different texts. Usually, the most common associations relate to</w:t>
      </w:r>
      <w:r w:rsidRPr="00DE32DC">
        <w:t xml:space="preserve"> the feminine and masculine nature of the figures, their</w:t>
      </w:r>
      <w:r>
        <w:t xml:space="preserve"> being</w:t>
      </w:r>
      <w:r w:rsidRPr="00DE32DC">
        <w:t xml:space="preserve"> diurnal or nocturnal, the correspondence to one of the four natural elements (fire, air, water, earth), their good or ill fortune</w:t>
      </w:r>
      <w:r>
        <w:t>, the association with one of the planets or of the lunar nodes,</w:t>
      </w:r>
      <w:r w:rsidRPr="00DE32DC">
        <w:t xml:space="preserve"> </w:t>
      </w:r>
      <w:r>
        <w:t xml:space="preserve">with a sign of the zodiac, with a certain </w:t>
      </w:r>
      <w:r w:rsidRPr="00DE32DC">
        <w:t>smell,</w:t>
      </w:r>
      <w:r>
        <w:t xml:space="preserve"> colour, spice, with</w:t>
      </w:r>
      <w:r w:rsidRPr="00DE32DC">
        <w:t xml:space="preserve"> metals and minerals, the correspondence with one of the four cardinal points, their being either hot or cold, dry or humid, the indication of specific diseases, the correspondence with bodily humours and parts of the human body, a </w:t>
      </w:r>
      <w:r w:rsidRPr="00DE32DC">
        <w:lastRenderedPageBreak/>
        <w:t>direction in movement</w:t>
      </w:r>
      <w:r>
        <w:t xml:space="preserve"> (inward or outward)</w:t>
      </w:r>
      <w:r w:rsidRPr="00DE32DC">
        <w:t>, specific letters of the alphabet and so on.</w:t>
      </w:r>
      <w:r>
        <w:t xml:space="preserve"> But the first and most obvious feature which is inherent to the geomantic figures is the even or odd number of the </w:t>
      </w:r>
      <w:r w:rsidR="002F2BE4">
        <w:t>points</w:t>
      </w:r>
      <w:r>
        <w:t xml:space="preserve"> that compose them. </w:t>
      </w:r>
    </w:p>
    <w:p w14:paraId="1AB85EC0" w14:textId="7BD8F576" w:rsidR="008B64A3" w:rsidRDefault="008B64A3" w:rsidP="008B64A3">
      <w:r>
        <w:t xml:space="preserve">The geomantic figures have an essential mathematical structure. This is expressed in medieval sources where the figures are not depicted as configurations of </w:t>
      </w:r>
      <w:r w:rsidR="002F2BE4">
        <w:t>points</w:t>
      </w:r>
      <w:r>
        <w:t xml:space="preserve"> but as a series of four numbers, each representing one of the four rows that compose the figure, and with the number representing the number of </w:t>
      </w:r>
      <w:r w:rsidR="002F2BE4">
        <w:t>points</w:t>
      </w:r>
      <w:r>
        <w:t xml:space="preserve"> (either one or two) in each row. For instance, the figure </w:t>
      </w:r>
      <w:r w:rsidRPr="00C715FA">
        <w:rPr>
          <w:i/>
          <w:iCs/>
        </w:rPr>
        <w:t>Carcer</w:t>
      </w:r>
      <w:r>
        <w:t xml:space="preserve">, which has one </w:t>
      </w:r>
      <w:r w:rsidR="00F622DC">
        <w:t>point</w:t>
      </w:r>
      <w:r>
        <w:t xml:space="preserve"> in the first row, two </w:t>
      </w:r>
      <w:r w:rsidR="002F2BE4">
        <w:t>points</w:t>
      </w:r>
      <w:r>
        <w:t xml:space="preserve"> in the second and third row, and one in the fourth, can be expressed by its numerical value as ‘1221</w:t>
      </w:r>
      <w:r w:rsidR="00102D17">
        <w:t>.</w:t>
      </w:r>
      <w:r>
        <w:t xml:space="preserve">’  This structural characteristic </w:t>
      </w:r>
      <w:r w:rsidRPr="00DE32DC">
        <w:t xml:space="preserve">creates </w:t>
      </w:r>
      <w:r>
        <w:t xml:space="preserve">a </w:t>
      </w:r>
      <w:r w:rsidRPr="00DE32DC">
        <w:t>relationship between the figures</w:t>
      </w:r>
      <w:r>
        <w:t>. This</w:t>
      </w:r>
      <w:r w:rsidRPr="00DE32DC">
        <w:t xml:space="preserve"> can be </w:t>
      </w:r>
      <w:r>
        <w:t>an inversion</w:t>
      </w:r>
      <w:r w:rsidRPr="00DE32DC">
        <w:t xml:space="preserve"> when the number of </w:t>
      </w:r>
      <w:r w:rsidR="002F2BE4">
        <w:t>points</w:t>
      </w:r>
      <w:r w:rsidRPr="00DE32DC">
        <w:t xml:space="preserve"> in each row is opposite, for example in the case of </w:t>
      </w:r>
      <w:r w:rsidRPr="00DE32DC">
        <w:rPr>
          <w:i/>
          <w:iCs/>
        </w:rPr>
        <w:t>Via</w:t>
      </w:r>
      <w:r w:rsidRPr="00DE32DC">
        <w:t xml:space="preserve"> (1111) and </w:t>
      </w:r>
      <w:r w:rsidRPr="00DE32DC">
        <w:rPr>
          <w:i/>
          <w:iCs/>
        </w:rPr>
        <w:t>Populus</w:t>
      </w:r>
      <w:r w:rsidRPr="00DE32DC">
        <w:t xml:space="preserve"> (2222), or of </w:t>
      </w:r>
      <w:r w:rsidRPr="00DE32DC">
        <w:rPr>
          <w:i/>
          <w:iCs/>
        </w:rPr>
        <w:t>Laetitia</w:t>
      </w:r>
      <w:r w:rsidRPr="00DE32DC">
        <w:t xml:space="preserve"> (1222) </w:t>
      </w:r>
      <w:r w:rsidR="00F3762F">
        <w:t xml:space="preserve">and </w:t>
      </w:r>
      <w:r w:rsidR="00F3762F" w:rsidRPr="00F3762F">
        <w:rPr>
          <w:i/>
          <w:iCs/>
        </w:rPr>
        <w:t>Tristitia</w:t>
      </w:r>
      <w:r w:rsidR="00F3762F">
        <w:t xml:space="preserve"> (2221), </w:t>
      </w:r>
      <w:r w:rsidRPr="00DE32DC">
        <w:t xml:space="preserve">and </w:t>
      </w:r>
      <w:r w:rsidRPr="00DE32DC">
        <w:rPr>
          <w:i/>
          <w:iCs/>
        </w:rPr>
        <w:t>Caput Draconis</w:t>
      </w:r>
      <w:r w:rsidRPr="00DE32DC">
        <w:t xml:space="preserve"> (2111)</w:t>
      </w:r>
      <w:r w:rsidR="00F3762F">
        <w:t xml:space="preserve"> with </w:t>
      </w:r>
      <w:r w:rsidR="00F3762F" w:rsidRPr="00F3762F">
        <w:rPr>
          <w:i/>
          <w:iCs/>
        </w:rPr>
        <w:t>Cauda Draconis</w:t>
      </w:r>
      <w:r w:rsidR="00F3762F">
        <w:t xml:space="preserve"> (1112)</w:t>
      </w:r>
      <w:r w:rsidRPr="00DE32DC">
        <w:t xml:space="preserve">. But they can also be </w:t>
      </w:r>
      <w:r>
        <w:t>a reversal</w:t>
      </w:r>
      <w:r w:rsidRPr="00DE32DC">
        <w:t xml:space="preserve">, meaning that the sequence of </w:t>
      </w:r>
      <w:r w:rsidR="002F2BE4">
        <w:t>points</w:t>
      </w:r>
      <w:r w:rsidRPr="00DE32DC">
        <w:t xml:space="preserve"> is the same, but </w:t>
      </w:r>
      <w:r>
        <w:t>contrary</w:t>
      </w:r>
      <w:r w:rsidRPr="00DE32DC">
        <w:t xml:space="preserve"> as if one of the figures was read upside down, as in the case of </w:t>
      </w:r>
      <w:r w:rsidRPr="00DE32DC">
        <w:rPr>
          <w:i/>
          <w:iCs/>
        </w:rPr>
        <w:t>Puer</w:t>
      </w:r>
      <w:r w:rsidRPr="00DE32DC">
        <w:t xml:space="preserve"> (1121) and </w:t>
      </w:r>
      <w:r w:rsidRPr="00DE32DC">
        <w:rPr>
          <w:i/>
          <w:iCs/>
        </w:rPr>
        <w:t>Puella</w:t>
      </w:r>
      <w:r w:rsidRPr="00DE32DC">
        <w:t xml:space="preserve"> (1211).</w:t>
      </w:r>
      <w:r>
        <w:t xml:space="preserve"> This system of sixteen figures under the process of addition forms an algebraical structure now called a finite commutative group, and the mathematical properties of the geomantic system were not unknown during the Middle Ages. For example, a way of knowing if the process of formation of the chart had been done correctly was to consider the figure in house XV, the judge, and to count the number of </w:t>
      </w:r>
      <w:r w:rsidR="002F2BE4">
        <w:t>points</w:t>
      </w:r>
      <w:r>
        <w:t xml:space="preserve"> that composed it. This figure has to be of an even number of </w:t>
      </w:r>
      <w:r w:rsidR="002F2BE4">
        <w:t>points</w:t>
      </w:r>
      <w:r>
        <w:t>, otherwise the practitioner must have incurred some mistake and the chart has to be drawn again. It is also impossible for all the sixteen different figures to be present in the same chart, and thus some of the figures must appear in more than one house.</w:t>
      </w:r>
      <w:r>
        <w:rPr>
          <w:rStyle w:val="FootnoteReference"/>
        </w:rPr>
        <w:footnoteReference w:id="41"/>
      </w:r>
    </w:p>
    <w:p w14:paraId="2E17B568" w14:textId="77777777" w:rsidR="008B64A3" w:rsidRDefault="008B64A3" w:rsidP="008B64A3"/>
    <w:p w14:paraId="5E971F76" w14:textId="21D836E9" w:rsidR="008B64A3" w:rsidRPr="006E07BF" w:rsidRDefault="008B64A3" w:rsidP="006E07BF">
      <w:pPr>
        <w:pStyle w:val="Heading3"/>
        <w:ind w:firstLine="0"/>
        <w:rPr>
          <w:rFonts w:asciiTheme="majorBidi" w:hAnsiTheme="majorBidi"/>
          <w:b/>
          <w:bCs/>
          <w:color w:val="auto"/>
        </w:rPr>
      </w:pPr>
      <w:bookmarkStart w:id="20" w:name="_Toc165108631"/>
      <w:r w:rsidRPr="006E07BF">
        <w:rPr>
          <w:rFonts w:asciiTheme="majorBidi" w:hAnsiTheme="majorBidi"/>
          <w:b/>
          <w:bCs/>
          <w:color w:val="auto"/>
        </w:rPr>
        <w:t>The interpretation of the geomantic chart</w:t>
      </w:r>
      <w:bookmarkEnd w:id="20"/>
    </w:p>
    <w:p w14:paraId="669ED30C" w14:textId="77777777" w:rsidR="008B64A3" w:rsidRPr="00727715" w:rsidRDefault="008B64A3" w:rsidP="008B64A3">
      <w:pPr>
        <w:ind w:firstLine="0"/>
        <w:rPr>
          <w:i/>
          <w:iCs/>
        </w:rPr>
      </w:pPr>
    </w:p>
    <w:p w14:paraId="761363C0" w14:textId="7DDEF15B" w:rsidR="008B64A3" w:rsidRDefault="008B64A3" w:rsidP="008B64A3">
      <w:pPr>
        <w:ind w:firstLine="0"/>
      </w:pPr>
      <w:r>
        <w:tab/>
      </w:r>
      <w:r w:rsidRPr="00DE32DC">
        <w:t xml:space="preserve">The purpose of the geomantic chart is </w:t>
      </w:r>
      <w:r>
        <w:t xml:space="preserve">to produce an </w:t>
      </w:r>
      <w:r w:rsidRPr="00DE32DC">
        <w:t xml:space="preserve">answer </w:t>
      </w:r>
      <w:r>
        <w:t>to p</w:t>
      </w:r>
      <w:r w:rsidRPr="00DE32DC">
        <w:t>recise question</w:t>
      </w:r>
      <w:r>
        <w:t>s</w:t>
      </w:r>
      <w:r w:rsidRPr="00DE32DC">
        <w:t xml:space="preserve"> asked by the inquirer, similarly to the astrological genre of </w:t>
      </w:r>
      <w:r>
        <w:t>interrogations (</w:t>
      </w:r>
      <w:r>
        <w:rPr>
          <w:i/>
          <w:iCs/>
        </w:rPr>
        <w:t>interrogationes</w:t>
      </w:r>
      <w:r>
        <w:rPr>
          <w:iCs/>
        </w:rPr>
        <w:t>)</w:t>
      </w:r>
      <w:r w:rsidRPr="00DE32DC">
        <w:t>.</w:t>
      </w:r>
      <w:r w:rsidRPr="00DE32DC">
        <w:rPr>
          <w:rStyle w:val="FootnoteReference"/>
        </w:rPr>
        <w:footnoteReference w:id="42"/>
      </w:r>
      <w:r>
        <w:t xml:space="preserve"> </w:t>
      </w:r>
      <w:r w:rsidRPr="00E8694F">
        <w:t>Interrogations, also known as ‘questions’ or ‘horary astrology’, were one of the most popular and controversial astrological genres of the late medieval period. In this practice, the astrologer answers questions posed by his clients by drawing the horoscope of the time of the question and comparing it to the birth horoscope of the person inquiring.</w:t>
      </w:r>
      <w:r w:rsidRPr="000163EB">
        <w:t xml:space="preserve"> </w:t>
      </w:r>
      <w:r>
        <w:t>In the geomantic prediction,</w:t>
      </w:r>
      <w:r w:rsidRPr="00DE32DC">
        <w:t xml:space="preserve"> the sixteen figures </w:t>
      </w:r>
      <w:r>
        <w:t>represent</w:t>
      </w:r>
      <w:r w:rsidRPr="00DE32DC">
        <w:t xml:space="preserve"> the active element,</w:t>
      </w:r>
      <w:r>
        <w:t xml:space="preserve"> changing their significance and influence according to their position in the chart,</w:t>
      </w:r>
      <w:r w:rsidRPr="00DE32DC">
        <w:t xml:space="preserve"> while the houses are the passive </w:t>
      </w:r>
      <w:r>
        <w:t>element</w:t>
      </w:r>
      <w:r w:rsidRPr="00DE32DC">
        <w:t xml:space="preserve">. The forecast is made by interpreting the position of the figures in the houses in which they fall, considering the characteristics of both the house and the figure, to see if a certain figure is favourable or not in the </w:t>
      </w:r>
      <w:r w:rsidRPr="0013247A">
        <w:t>house</w:t>
      </w:r>
      <w:r w:rsidRPr="00DE32DC">
        <w:t xml:space="preserve"> in which it is found. </w:t>
      </w:r>
      <w:r>
        <w:t>One</w:t>
      </w:r>
      <w:r w:rsidRPr="00DE32DC">
        <w:t xml:space="preserve"> house which is always observed in the forecast, </w:t>
      </w:r>
      <w:r>
        <w:t xml:space="preserve">regardless of </w:t>
      </w:r>
      <w:r w:rsidRPr="00DE32DC">
        <w:t xml:space="preserve">the nature of the question, is the first (called the </w:t>
      </w:r>
      <w:r>
        <w:t>‘</w:t>
      </w:r>
      <w:r w:rsidRPr="00DE32DC">
        <w:t>ascendant</w:t>
      </w:r>
      <w:r>
        <w:t>’</w:t>
      </w:r>
      <w:r w:rsidRPr="00DE32DC">
        <w:t xml:space="preserve"> in astrology), as this house represents the inquirer (</w:t>
      </w:r>
      <w:r w:rsidRPr="00DE32DC">
        <w:rPr>
          <w:i/>
          <w:iCs/>
        </w:rPr>
        <w:t>domus quaerentis</w:t>
      </w:r>
      <w:r w:rsidRPr="00DE32DC">
        <w:t xml:space="preserve">). The other house </w:t>
      </w:r>
      <w:r>
        <w:t>that the practitioner observes</w:t>
      </w:r>
      <w:r w:rsidRPr="00DE32DC">
        <w:t xml:space="preserve"> is that of the object of the question, which change</w:t>
      </w:r>
      <w:r>
        <w:t>s</w:t>
      </w:r>
      <w:r w:rsidRPr="00DE32DC">
        <w:t xml:space="preserve"> depending on the matter of the inquiry. There are five factors that can modify the </w:t>
      </w:r>
      <w:r>
        <w:t>influence</w:t>
      </w:r>
      <w:r w:rsidRPr="00DE32DC">
        <w:t xml:space="preserve"> of a </w:t>
      </w:r>
      <w:r w:rsidR="00BF37D0">
        <w:t xml:space="preserve">geomantic </w:t>
      </w:r>
      <w:r w:rsidRPr="00DE32DC">
        <w:t xml:space="preserve">figure and must therefore be considered when interpreting the chart: </w:t>
      </w:r>
      <w:r w:rsidRPr="00DE32DC">
        <w:rPr>
          <w:i/>
          <w:iCs/>
        </w:rPr>
        <w:t>proprietas</w:t>
      </w:r>
      <w:r w:rsidRPr="00DE32DC">
        <w:t xml:space="preserve">, </w:t>
      </w:r>
      <w:r w:rsidRPr="00DE32DC">
        <w:rPr>
          <w:i/>
          <w:iCs/>
        </w:rPr>
        <w:t>locus</w:t>
      </w:r>
      <w:r w:rsidRPr="00DE32DC">
        <w:t xml:space="preserve">, </w:t>
      </w:r>
      <w:r w:rsidRPr="00DE32DC">
        <w:rPr>
          <w:i/>
          <w:iCs/>
        </w:rPr>
        <w:t>aspectus</w:t>
      </w:r>
      <w:r w:rsidRPr="00DE32DC">
        <w:t xml:space="preserve">, </w:t>
      </w:r>
      <w:r w:rsidRPr="00DE32DC">
        <w:rPr>
          <w:i/>
          <w:iCs/>
        </w:rPr>
        <w:t>motus</w:t>
      </w:r>
      <w:r w:rsidRPr="00DE32DC">
        <w:t xml:space="preserve"> and </w:t>
      </w:r>
      <w:r w:rsidRPr="00DE32DC">
        <w:rPr>
          <w:i/>
          <w:iCs/>
        </w:rPr>
        <w:t>paternitas</w:t>
      </w:r>
      <w:r w:rsidRPr="00DE32DC">
        <w:t>.</w:t>
      </w:r>
      <w:r w:rsidRPr="00DE32DC">
        <w:rPr>
          <w:rStyle w:val="FootnoteReference"/>
        </w:rPr>
        <w:footnoteReference w:id="43"/>
      </w:r>
    </w:p>
    <w:p w14:paraId="60E6A845" w14:textId="797680C8" w:rsidR="008B64A3" w:rsidRPr="00DE32DC" w:rsidRDefault="008B64A3" w:rsidP="008B64A3">
      <w:r>
        <w:lastRenderedPageBreak/>
        <w:t>Given the importance of the sixteen figures, it</w:t>
      </w:r>
      <w:r w:rsidRPr="00DE32DC">
        <w:t xml:space="preserve"> is a common feature </w:t>
      </w:r>
      <w:r>
        <w:t>of</w:t>
      </w:r>
      <w:r w:rsidRPr="00DE32DC">
        <w:t xml:space="preserve"> geomantic texts to contain a </w:t>
      </w:r>
      <w:r>
        <w:t>section</w:t>
      </w:r>
      <w:r w:rsidRPr="00DE32DC">
        <w:t xml:space="preserve"> dedicated to the examination of the meaning of each figure in the twelve houses</w:t>
      </w:r>
      <w:r>
        <w:t>, as follows, in quotation from an anonymous twelfth-century geomantic text: “</w:t>
      </w:r>
      <w:r w:rsidRPr="007E6BA7">
        <w:t>And so, the first</w:t>
      </w:r>
      <w:r>
        <w:t xml:space="preserve"> &lt;figure&gt;</w:t>
      </w:r>
      <w:r w:rsidRPr="007E6BA7">
        <w:t xml:space="preserve">, </w:t>
      </w:r>
      <w:r>
        <w:t>which</w:t>
      </w:r>
      <w:r w:rsidRPr="007E6BA7">
        <w:t xml:space="preserve"> is called </w:t>
      </w:r>
      <w:r w:rsidRPr="007E6BA7">
        <w:rPr>
          <w:i/>
          <w:iCs/>
        </w:rPr>
        <w:t>via</w:t>
      </w:r>
      <w:r w:rsidRPr="007E6BA7">
        <w:t>, in the first house signifies a journey from one region to another conveniently. In the second, injury</w:t>
      </w:r>
      <w:r>
        <w:t>;</w:t>
      </w:r>
      <w:r w:rsidRPr="007E6BA7">
        <w:t xml:space="preserve"> in the same, a minimum profit. In the third the loss of the brothers or hostility. In the fourth the loss of an inheritance. In the fifth, scarcity of children. In the sixth, convalescence from an illness</w:t>
      </w:r>
      <w:r>
        <w:t xml:space="preserve"> …”</w:t>
      </w:r>
      <w:r w:rsidRPr="00DE32DC">
        <w:rPr>
          <w:rStyle w:val="FootnoteReference"/>
        </w:rPr>
        <w:footnoteReference w:id="44"/>
      </w:r>
      <w:r w:rsidRPr="00DE32DC">
        <w:t xml:space="preserve"> Similarly, the local factor </w:t>
      </w:r>
      <w:r>
        <w:t>implies that</w:t>
      </w:r>
      <w:r w:rsidRPr="00DE32DC">
        <w:t xml:space="preserve"> the favourable or unfavourable figures can change their good or bad nature based on their position in a favourable or unfavourable house. The concept of ‘aspect’ is borrowed from astrology, where it indicates the relationships among planets in a horoscope, according to their distance from one another. In geomancy</w:t>
      </w:r>
      <w:r>
        <w:t>,</w:t>
      </w:r>
      <w:r w:rsidRPr="00DE32DC">
        <w:t xml:space="preserve"> it refers to the relationships between the figures according to their position in the chart. Moreover, the movement of the figures refers to the fact that, in the geomantic </w:t>
      </w:r>
      <w:r>
        <w:t>chart</w:t>
      </w:r>
      <w:r w:rsidRPr="00DE32DC">
        <w:t>, it is unlikely for all the sixteen different geomantic figures to be present, but it is rather more common to find the same figure repeated in two or more different houses, reinforcing the influence of that figure</w:t>
      </w:r>
      <w:r>
        <w:t>.</w:t>
      </w:r>
      <w:r w:rsidRPr="00DE32DC">
        <w:t xml:space="preserve"> Some authors have therefore focused on the significance of this ‘movement’ of the same figure from one house to another.</w:t>
      </w:r>
    </w:p>
    <w:p w14:paraId="0BD25216" w14:textId="202CD963" w:rsidR="008B64A3" w:rsidRDefault="008B64A3" w:rsidP="008B64A3">
      <w:r>
        <w:t>Another important factor is t</w:t>
      </w:r>
      <w:r w:rsidRPr="00DE32DC">
        <w:t>he examination of the paternity of the figures</w:t>
      </w:r>
      <w:r>
        <w:t>. This</w:t>
      </w:r>
      <w:r w:rsidRPr="00DE32DC">
        <w:t xml:space="preserve"> means that the geomancer, </w:t>
      </w:r>
      <w:r>
        <w:t xml:space="preserve">to determine </w:t>
      </w:r>
      <w:r w:rsidRPr="00DE32DC">
        <w:t xml:space="preserve">the favourable or unfavourable nature of a figure, not only has to consider the natural and local properties of that figure, but must also take into consideration from which figures that geomantic </w:t>
      </w:r>
      <w:r w:rsidR="00814DE7">
        <w:t>figure</w:t>
      </w:r>
      <w:r w:rsidRPr="00DE32DC">
        <w:t xml:space="preserve"> descends. This applies in particular to the judge and the witnesses. To this notion correspond</w:t>
      </w:r>
      <w:r>
        <w:t>s</w:t>
      </w:r>
      <w:r w:rsidRPr="00DE32DC">
        <w:t xml:space="preserve"> the branch of geomantic literature dedicated to</w:t>
      </w:r>
      <w:r w:rsidR="00814DE7">
        <w:t xml:space="preserve"> exploring the significance of </w:t>
      </w:r>
      <w:r w:rsidRPr="00DE32DC">
        <w:t>triplets</w:t>
      </w:r>
      <w:r w:rsidR="00814DE7">
        <w:t xml:space="preserve"> of geomantic figures</w:t>
      </w:r>
      <w:r w:rsidRPr="00DE32DC">
        <w:t>. These sections, often found in medieval geomantic treatises, consider every possible combination between</w:t>
      </w:r>
      <w:r w:rsidR="00F3762F">
        <w:t xml:space="preserve"> each of</w:t>
      </w:r>
      <w:r w:rsidRPr="00DE32DC">
        <w:t xml:space="preserve"> the figures and their </w:t>
      </w:r>
      <w:r>
        <w:t>‘</w:t>
      </w:r>
      <w:r w:rsidRPr="00DE32DC">
        <w:t>parent</w:t>
      </w:r>
      <w:r>
        <w:t>s’</w:t>
      </w:r>
      <w:r w:rsidRPr="00DE32DC">
        <w:t xml:space="preserve"> and </w:t>
      </w:r>
      <w:r>
        <w:t>list</w:t>
      </w:r>
      <w:r w:rsidRPr="00DE32DC">
        <w:t xml:space="preserve"> their significance accordingly, in order to determine </w:t>
      </w:r>
      <w:r>
        <w:lastRenderedPageBreak/>
        <w:t>whether</w:t>
      </w:r>
      <w:r w:rsidRPr="00DE32DC">
        <w:t xml:space="preserve"> the figure of the judge is formed by good or bad witnesses. </w:t>
      </w:r>
      <w:r>
        <w:t>In fact, t</w:t>
      </w:r>
      <w:r w:rsidRPr="00DE32DC">
        <w:t>he favourable and unfavourable influence of a figure can vary considerably, increasing or decreasing according to the favourable or unfavourable nature of its ‘parents’</w:t>
      </w:r>
      <w:r>
        <w:t xml:space="preserve">. The following passage is an example of such material, in which two different meanings are attributed to the figure </w:t>
      </w:r>
      <w:r w:rsidRPr="000C5FEC">
        <w:t>‘congregation’</w:t>
      </w:r>
      <w:r>
        <w:t xml:space="preserve"> (2222) on the base of the different figures from which it may be composed:</w:t>
      </w:r>
    </w:p>
    <w:p w14:paraId="1EA3C281" w14:textId="77777777" w:rsidR="008B64A3" w:rsidRDefault="008B64A3" w:rsidP="008B64A3"/>
    <w:p w14:paraId="0B697E4C" w14:textId="2AFE0059" w:rsidR="008B64A3" w:rsidRDefault="008B64A3" w:rsidP="008B64A3">
      <w:pPr>
        <w:ind w:left="567" w:firstLine="0"/>
        <w:rPr>
          <w:sz w:val="20"/>
          <w:szCs w:val="20"/>
        </w:rPr>
      </w:pPr>
      <w:r>
        <w:rPr>
          <w:sz w:val="20"/>
          <w:szCs w:val="20"/>
        </w:rPr>
        <w:t xml:space="preserve">(2121+2121→ 2222) </w:t>
      </w:r>
      <w:r w:rsidRPr="00BA455B">
        <w:rPr>
          <w:i/>
          <w:iCs/>
          <w:sz w:val="20"/>
          <w:szCs w:val="20"/>
        </w:rPr>
        <w:t>Congregatio</w:t>
      </w:r>
      <w:r>
        <w:rPr>
          <w:sz w:val="20"/>
          <w:szCs w:val="20"/>
        </w:rPr>
        <w:t xml:space="preserve"> &lt;made&gt; from a double </w:t>
      </w:r>
      <w:r w:rsidRPr="00BA455B">
        <w:rPr>
          <w:i/>
          <w:iCs/>
          <w:sz w:val="20"/>
          <w:szCs w:val="20"/>
        </w:rPr>
        <w:t>comprehens</w:t>
      </w:r>
      <w:r>
        <w:rPr>
          <w:i/>
          <w:iCs/>
          <w:sz w:val="20"/>
          <w:szCs w:val="20"/>
        </w:rPr>
        <w:t>um</w:t>
      </w:r>
      <w:r w:rsidRPr="00BA455B">
        <w:rPr>
          <w:i/>
          <w:iCs/>
          <w:sz w:val="20"/>
          <w:szCs w:val="20"/>
        </w:rPr>
        <w:t xml:space="preserve"> intus</w:t>
      </w:r>
      <w:r>
        <w:rPr>
          <w:sz w:val="20"/>
          <w:szCs w:val="20"/>
        </w:rPr>
        <w:t xml:space="preserve"> brings in that which is useful, receives money, brings in prosperity, prepares happiness and joys. It brings in a family member or a friend, it is useful in trade. In marriage it &lt;is&gt; propitious, whatever he asks for will be achieved. T</w:t>
      </w:r>
      <w:r w:rsidRPr="000C5FEC">
        <w:rPr>
          <w:sz w:val="20"/>
          <w:szCs w:val="20"/>
        </w:rPr>
        <w:t xml:space="preserve">herefore, whatever </w:t>
      </w:r>
      <w:r>
        <w:rPr>
          <w:sz w:val="20"/>
          <w:szCs w:val="20"/>
        </w:rPr>
        <w:t>he</w:t>
      </w:r>
      <w:r w:rsidRPr="000C5FEC">
        <w:rPr>
          <w:sz w:val="20"/>
          <w:szCs w:val="20"/>
        </w:rPr>
        <w:t xml:space="preserve"> </w:t>
      </w:r>
      <w:r w:rsidR="006B4AB7" w:rsidRPr="000C5FEC">
        <w:rPr>
          <w:sz w:val="20"/>
          <w:szCs w:val="20"/>
        </w:rPr>
        <w:t>asks</w:t>
      </w:r>
      <w:r w:rsidRPr="000C5FEC">
        <w:rPr>
          <w:sz w:val="20"/>
          <w:szCs w:val="20"/>
        </w:rPr>
        <w:t xml:space="preserve"> from it (the figure) should not be denied</w:t>
      </w:r>
      <w:r>
        <w:rPr>
          <w:sz w:val="20"/>
          <w:szCs w:val="20"/>
        </w:rPr>
        <w:t>.</w:t>
      </w:r>
      <w:r w:rsidRPr="000C5FEC">
        <w:rPr>
          <w:sz w:val="20"/>
          <w:szCs w:val="20"/>
        </w:rPr>
        <w:t xml:space="preserve"> </w:t>
      </w:r>
      <w:r>
        <w:rPr>
          <w:sz w:val="20"/>
          <w:szCs w:val="20"/>
        </w:rPr>
        <w:t>(</w:t>
      </w:r>
      <w:r w:rsidRPr="003820F7">
        <w:rPr>
          <w:sz w:val="20"/>
          <w:szCs w:val="20"/>
        </w:rPr>
        <w:t>1212+1212</w:t>
      </w:r>
      <w:r w:rsidRPr="003820F7">
        <w:rPr>
          <w:noProof/>
          <w:sz w:val="20"/>
          <w:szCs w:val="20"/>
        </w:rPr>
        <w:t>→ 2222</w:t>
      </w:r>
      <w:r>
        <w:rPr>
          <w:noProof/>
          <w:sz w:val="20"/>
          <w:szCs w:val="20"/>
        </w:rPr>
        <w:t xml:space="preserve">) </w:t>
      </w:r>
      <w:r w:rsidRPr="003820F7">
        <w:rPr>
          <w:i/>
          <w:iCs/>
          <w:sz w:val="20"/>
          <w:szCs w:val="20"/>
        </w:rPr>
        <w:t>Congregatio</w:t>
      </w:r>
      <w:r w:rsidRPr="003820F7">
        <w:rPr>
          <w:sz w:val="20"/>
          <w:szCs w:val="20"/>
        </w:rPr>
        <w:t xml:space="preserve"> </w:t>
      </w:r>
      <w:r w:rsidRPr="00A31020">
        <w:rPr>
          <w:sz w:val="20"/>
          <w:szCs w:val="20"/>
        </w:rPr>
        <w:t xml:space="preserve">&lt;made&gt; from a double </w:t>
      </w:r>
      <w:r w:rsidRPr="00A31020">
        <w:rPr>
          <w:i/>
          <w:iCs/>
          <w:sz w:val="20"/>
          <w:szCs w:val="20"/>
        </w:rPr>
        <w:t>comprehens</w:t>
      </w:r>
      <w:r>
        <w:rPr>
          <w:i/>
          <w:iCs/>
          <w:sz w:val="20"/>
          <w:szCs w:val="20"/>
        </w:rPr>
        <w:t>um</w:t>
      </w:r>
      <w:r w:rsidRPr="00A31020">
        <w:rPr>
          <w:i/>
          <w:iCs/>
          <w:sz w:val="20"/>
          <w:szCs w:val="20"/>
        </w:rPr>
        <w:t xml:space="preserve"> foris</w:t>
      </w:r>
      <w:r w:rsidRPr="00A31020">
        <w:rPr>
          <w:sz w:val="20"/>
          <w:szCs w:val="20"/>
        </w:rPr>
        <w:t xml:space="preserve"> whenever it occurs it indicates </w:t>
      </w:r>
      <w:r>
        <w:rPr>
          <w:sz w:val="20"/>
          <w:szCs w:val="20"/>
        </w:rPr>
        <w:t>movement and changes, it deprives someone of their power, it threatens loss of abilities and of money, it brings weeping and tears, it is useless for all things, but for travel and agriculture alone it is propitious in all respects.</w:t>
      </w:r>
      <w:r w:rsidRPr="00DE32DC">
        <w:rPr>
          <w:rStyle w:val="FootnoteReference"/>
        </w:rPr>
        <w:footnoteReference w:id="45"/>
      </w:r>
    </w:p>
    <w:p w14:paraId="691EDC42" w14:textId="77777777" w:rsidR="008B64A3" w:rsidRPr="00DE32DC" w:rsidRDefault="008B64A3" w:rsidP="008B64A3">
      <w:pPr>
        <w:ind w:left="567"/>
      </w:pPr>
    </w:p>
    <w:p w14:paraId="5FF4C816" w14:textId="6EAE9C8E" w:rsidR="008B64A3" w:rsidRPr="00DE32DC" w:rsidRDefault="008B64A3" w:rsidP="008B64A3">
      <w:r w:rsidRPr="00DE32DC">
        <w:t>Finally,</w:t>
      </w:r>
      <w:r w:rsidRPr="000F2AF1">
        <w:t xml:space="preserve"> </w:t>
      </w:r>
      <w:r w:rsidRPr="00DE32DC">
        <w:t xml:space="preserve">the calculation of the number of </w:t>
      </w:r>
      <w:r w:rsidR="002F2BE4">
        <w:t>points</w:t>
      </w:r>
      <w:r w:rsidRPr="00DE32DC">
        <w:t xml:space="preserve"> </w:t>
      </w:r>
      <w:r>
        <w:t>in a geomantic chart is</w:t>
      </w:r>
      <w:r w:rsidRPr="00DE32DC">
        <w:t xml:space="preserve"> relevant to </w:t>
      </w:r>
      <w:r>
        <w:t>its</w:t>
      </w:r>
      <w:r w:rsidRPr="00DE32DC">
        <w:t xml:space="preserve"> interpretation</w:t>
      </w:r>
      <w:r>
        <w:t>. For this,</w:t>
      </w:r>
      <w:r w:rsidRPr="00DE32DC">
        <w:t xml:space="preserve"> three main procedures </w:t>
      </w:r>
      <w:r>
        <w:t>are available</w:t>
      </w:r>
      <w:r w:rsidRPr="00DE32DC">
        <w:t xml:space="preserve">. The first is known as </w:t>
      </w:r>
      <w:r w:rsidRPr="00DE32DC">
        <w:rPr>
          <w:i/>
          <w:iCs/>
        </w:rPr>
        <w:t>via puncti</w:t>
      </w:r>
      <w:r w:rsidR="00C26D58">
        <w:t>,</w:t>
      </w:r>
      <w:r w:rsidRPr="00DE32DC">
        <w:t xml:space="preserve"> and it begins by considering how many </w:t>
      </w:r>
      <w:r w:rsidR="002F2BE4">
        <w:t>points</w:t>
      </w:r>
      <w:r w:rsidRPr="00DE32DC">
        <w:t xml:space="preserve"> are found in the upper row of the figure of the judge, which is the last figure of the </w:t>
      </w:r>
      <w:r>
        <w:t xml:space="preserve">chart. </w:t>
      </w:r>
      <w:r w:rsidRPr="00DE32DC">
        <w:t xml:space="preserve">Once </w:t>
      </w:r>
      <w:r>
        <w:t xml:space="preserve">it is </w:t>
      </w:r>
      <w:r w:rsidRPr="00DE32DC">
        <w:t xml:space="preserve">determined whether the ‘head’ of the judge </w:t>
      </w:r>
      <w:r>
        <w:t>consists of</w:t>
      </w:r>
      <w:r w:rsidRPr="00DE32DC">
        <w:t xml:space="preserve"> one or two </w:t>
      </w:r>
      <w:r w:rsidR="002F2BE4">
        <w:t>points</w:t>
      </w:r>
      <w:r w:rsidRPr="00DE32DC">
        <w:t>, the geomancer must follow the path (‘</w:t>
      </w:r>
      <w:r w:rsidRPr="00DE32DC">
        <w:rPr>
          <w:i/>
          <w:iCs/>
        </w:rPr>
        <w:t>via’</w:t>
      </w:r>
      <w:r w:rsidRPr="00DE32DC">
        <w:t xml:space="preserve">) in the </w:t>
      </w:r>
      <w:r>
        <w:t>chart</w:t>
      </w:r>
      <w:r w:rsidRPr="00DE32DC">
        <w:t xml:space="preserve"> formed by the figures having the same number of </w:t>
      </w:r>
      <w:r w:rsidR="002F2BE4">
        <w:t>points</w:t>
      </w:r>
      <w:r w:rsidRPr="00DE32DC">
        <w:t xml:space="preserve"> in their head</w:t>
      </w:r>
      <w:r>
        <w:t>s</w:t>
      </w:r>
      <w:r w:rsidRPr="00DE32DC">
        <w:t xml:space="preserve">, proceeding </w:t>
      </w:r>
      <w:r>
        <w:t>through</w:t>
      </w:r>
      <w:r w:rsidRPr="00DE32DC">
        <w:t xml:space="preserve"> the witnesses, then the granddaughters, and finally to the daughters or the mothers, depending on whether the </w:t>
      </w:r>
      <w:r w:rsidRPr="00DE32DC">
        <w:rPr>
          <w:i/>
          <w:iCs/>
        </w:rPr>
        <w:t xml:space="preserve">via puncti </w:t>
      </w:r>
      <w:r w:rsidRPr="00DE32DC">
        <w:t xml:space="preserve">proceeds in the left or right part of the chart. If neither of the two </w:t>
      </w:r>
      <w:r w:rsidRPr="00DE32DC">
        <w:lastRenderedPageBreak/>
        <w:t xml:space="preserve">witnesses has the same number of </w:t>
      </w:r>
      <w:r w:rsidR="002F2BE4">
        <w:t>points</w:t>
      </w:r>
      <w:r w:rsidRPr="00DE32DC">
        <w:t xml:space="preserve"> in the upper row as the judge, the </w:t>
      </w:r>
      <w:r w:rsidRPr="00DE32DC">
        <w:rPr>
          <w:i/>
          <w:iCs/>
        </w:rPr>
        <w:t>via</w:t>
      </w:r>
      <w:r w:rsidRPr="00DE32DC">
        <w:t xml:space="preserve"> </w:t>
      </w:r>
      <w:r w:rsidRPr="00DE32DC">
        <w:rPr>
          <w:i/>
          <w:iCs/>
        </w:rPr>
        <w:t>puncti</w:t>
      </w:r>
      <w:r w:rsidRPr="00DE32DC">
        <w:t xml:space="preserve"> cannot be formed. Otherwise, the last figure displaying the same ‘head’ as the judge will be considered as having a particular influence </w:t>
      </w:r>
      <w:r w:rsidR="00F54BF2">
        <w:t>in the prediction</w:t>
      </w:r>
      <w:r w:rsidRPr="00DE32DC">
        <w:t>.</w:t>
      </w:r>
    </w:p>
    <w:p w14:paraId="4CACD459" w14:textId="19B71318" w:rsidR="008B64A3" w:rsidRDefault="008B64A3" w:rsidP="008B64A3">
      <w:r w:rsidRPr="00DE32DC">
        <w:t xml:space="preserve">The second calculation of </w:t>
      </w:r>
      <w:r w:rsidR="002F2BE4">
        <w:t>points</w:t>
      </w:r>
      <w:r w:rsidRPr="00DE32DC">
        <w:t xml:space="preserve"> is that of the </w:t>
      </w:r>
      <w:r w:rsidRPr="00DE32DC">
        <w:rPr>
          <w:i/>
          <w:iCs/>
        </w:rPr>
        <w:t>pars fortunae</w:t>
      </w:r>
      <w:r w:rsidRPr="00DE32DC">
        <w:t xml:space="preserve"> (the lot of fortune). This process sums the number of </w:t>
      </w:r>
      <w:r w:rsidR="002F2BE4">
        <w:t>points</w:t>
      </w:r>
      <w:r w:rsidRPr="00DE32DC">
        <w:t xml:space="preserve"> that form the figures placed in the first twelve houses (i.e. the </w:t>
      </w:r>
      <w:r w:rsidR="002F2BE4">
        <w:t>points</w:t>
      </w:r>
      <w:r w:rsidRPr="00DE32DC">
        <w:t xml:space="preserve"> forming the mothers</w:t>
      </w:r>
      <w:r>
        <w:t xml:space="preserve"> </w:t>
      </w:r>
      <w:r w:rsidRPr="00DE32DC">
        <w:t>+</w:t>
      </w:r>
      <w:r>
        <w:t xml:space="preserve"> </w:t>
      </w:r>
      <w:r w:rsidRPr="00DE32DC">
        <w:t>the daughters</w:t>
      </w:r>
      <w:r>
        <w:t xml:space="preserve"> </w:t>
      </w:r>
      <w:r w:rsidRPr="00DE32DC">
        <w:t>+</w:t>
      </w:r>
      <w:r>
        <w:t xml:space="preserve"> </w:t>
      </w:r>
      <w:r w:rsidRPr="00DE32DC">
        <w:t xml:space="preserve">the granddaughters) and then divides the sum by twelve. The result of this division indicates the </w:t>
      </w:r>
      <w:r w:rsidRPr="00DE32DC">
        <w:rPr>
          <w:i/>
          <w:iCs/>
        </w:rPr>
        <w:t>domus</w:t>
      </w:r>
      <w:r w:rsidRPr="00DE32DC">
        <w:t xml:space="preserve"> of the </w:t>
      </w:r>
      <w:r w:rsidRPr="00DE32DC">
        <w:rPr>
          <w:i/>
          <w:iCs/>
        </w:rPr>
        <w:t>pars fortunae</w:t>
      </w:r>
      <w:r w:rsidRPr="00DE32DC">
        <w:t xml:space="preserve">. If the figure occupying that house is favourable, the </w:t>
      </w:r>
      <w:r>
        <w:t>lot</w:t>
      </w:r>
      <w:r w:rsidRPr="00DE32DC">
        <w:t xml:space="preserve"> of fortune will be favourable. If the figure is unfavourable, the </w:t>
      </w:r>
      <w:r w:rsidRPr="00DE32DC">
        <w:rPr>
          <w:i/>
          <w:iCs/>
        </w:rPr>
        <w:t>pars fortunae</w:t>
      </w:r>
      <w:r w:rsidRPr="00DE32DC">
        <w:t xml:space="preserve"> will be unfavourable too. </w:t>
      </w:r>
      <w:r w:rsidR="006B4AB7">
        <w:t>S</w:t>
      </w:r>
      <w:r w:rsidR="006B4AB7" w:rsidRPr="00DE32DC">
        <w:t>imilarly,</w:t>
      </w:r>
      <w:r w:rsidRPr="00DE32DC">
        <w:t xml:space="preserve"> to the </w:t>
      </w:r>
      <w:r w:rsidRPr="00DE32DC">
        <w:rPr>
          <w:i/>
          <w:iCs/>
        </w:rPr>
        <w:t>pars fortunae</w:t>
      </w:r>
      <w:r w:rsidRPr="00DE32DC">
        <w:t>, the third process sums</w:t>
      </w:r>
      <w:r w:rsidR="00F3762F">
        <w:t xml:space="preserve"> up</w:t>
      </w:r>
      <w:r w:rsidRPr="00DE32DC">
        <w:t xml:space="preserve"> the number of </w:t>
      </w:r>
      <w:r w:rsidR="002F2BE4">
        <w:t>points</w:t>
      </w:r>
      <w:r w:rsidRPr="00DE32DC">
        <w:t xml:space="preserve"> of all the figures </w:t>
      </w:r>
      <w:r>
        <w:t>that have</w:t>
      </w:r>
      <w:r w:rsidRPr="00DE32DC">
        <w:t xml:space="preserve"> an odd number of </w:t>
      </w:r>
      <w:r w:rsidR="002F2BE4">
        <w:t>points</w:t>
      </w:r>
      <w:r w:rsidRPr="00DE32DC">
        <w:t xml:space="preserve"> occurring in the first twelve houses, and then divides the result by twelve. The number that results from the division indicates the </w:t>
      </w:r>
      <w:r>
        <w:t>house whose</w:t>
      </w:r>
      <w:r w:rsidRPr="00DE32DC">
        <w:t xml:space="preserve"> figure must be observed more thoroughly</w:t>
      </w:r>
      <w:r>
        <w:t xml:space="preserve"> in the interpretation of the geomantic chart.</w:t>
      </w:r>
    </w:p>
    <w:p w14:paraId="1D5B4ACD" w14:textId="77777777" w:rsidR="008B64A3" w:rsidRDefault="008B64A3" w:rsidP="008B64A3"/>
    <w:p w14:paraId="52516699" w14:textId="43AC6F12" w:rsidR="008B64A3" w:rsidRPr="006E07BF" w:rsidRDefault="008B64A3" w:rsidP="006E07BF">
      <w:pPr>
        <w:pStyle w:val="Heading2"/>
        <w:ind w:firstLine="0"/>
        <w:rPr>
          <w:rFonts w:asciiTheme="majorBidi" w:hAnsiTheme="majorBidi"/>
          <w:color w:val="auto"/>
          <w:sz w:val="20"/>
          <w:szCs w:val="20"/>
        </w:rPr>
      </w:pPr>
      <w:bookmarkStart w:id="21" w:name="_Toc165108632"/>
      <w:bookmarkStart w:id="22" w:name="_Hlk111800503"/>
      <w:r w:rsidRPr="006E07BF">
        <w:rPr>
          <w:rFonts w:asciiTheme="majorBidi" w:hAnsiTheme="majorBidi"/>
          <w:color w:val="auto"/>
          <w:sz w:val="20"/>
          <w:szCs w:val="20"/>
        </w:rPr>
        <w:t>I.</w:t>
      </w:r>
      <w:r w:rsidR="00430FFD">
        <w:rPr>
          <w:rFonts w:asciiTheme="majorBidi" w:hAnsiTheme="majorBidi"/>
          <w:color w:val="auto"/>
          <w:sz w:val="20"/>
          <w:szCs w:val="20"/>
        </w:rPr>
        <w:t>2</w:t>
      </w:r>
      <w:r w:rsidRPr="006E07BF">
        <w:rPr>
          <w:rFonts w:asciiTheme="majorBidi" w:hAnsiTheme="majorBidi"/>
          <w:color w:val="auto"/>
          <w:sz w:val="20"/>
          <w:szCs w:val="20"/>
        </w:rPr>
        <w:t xml:space="preserve"> GEOMANCY IN TRANSLATION</w:t>
      </w:r>
      <w:bookmarkEnd w:id="21"/>
    </w:p>
    <w:p w14:paraId="17D9EA67" w14:textId="77777777" w:rsidR="008B64A3" w:rsidRDefault="008B64A3" w:rsidP="008B64A3">
      <w:pPr>
        <w:rPr>
          <w:sz w:val="20"/>
          <w:szCs w:val="20"/>
        </w:rPr>
      </w:pPr>
    </w:p>
    <w:p w14:paraId="1E023DB3" w14:textId="55BEC9CE" w:rsidR="008B64A3" w:rsidRPr="006E07BF" w:rsidRDefault="008B64A3" w:rsidP="006E07BF">
      <w:pPr>
        <w:pStyle w:val="Heading3"/>
        <w:ind w:firstLine="0"/>
        <w:rPr>
          <w:rFonts w:asciiTheme="majorBidi" w:hAnsiTheme="majorBidi"/>
          <w:b/>
          <w:bCs/>
          <w:color w:val="auto"/>
        </w:rPr>
      </w:pPr>
      <w:bookmarkStart w:id="23" w:name="_Toc165108633"/>
      <w:r w:rsidRPr="006E07BF">
        <w:rPr>
          <w:rFonts w:asciiTheme="majorBidi" w:hAnsiTheme="majorBidi"/>
          <w:b/>
          <w:bCs/>
          <w:color w:val="auto"/>
        </w:rPr>
        <w:t xml:space="preserve">Geomancy </w:t>
      </w:r>
      <w:r w:rsidR="0047768D">
        <w:rPr>
          <w:rFonts w:asciiTheme="majorBidi" w:hAnsiTheme="majorBidi"/>
          <w:b/>
          <w:bCs/>
          <w:color w:val="auto"/>
        </w:rPr>
        <w:t>in</w:t>
      </w:r>
      <w:r w:rsidRPr="006E07BF">
        <w:rPr>
          <w:rFonts w:asciiTheme="majorBidi" w:hAnsiTheme="majorBidi"/>
          <w:b/>
          <w:bCs/>
          <w:color w:val="auto"/>
        </w:rPr>
        <w:t xml:space="preserve"> the twelfth-century Renaissance</w:t>
      </w:r>
      <w:bookmarkEnd w:id="23"/>
    </w:p>
    <w:p w14:paraId="5705AC0E" w14:textId="77777777" w:rsidR="008B64A3" w:rsidRDefault="008B64A3" w:rsidP="008B64A3">
      <w:pPr>
        <w:ind w:firstLine="0"/>
        <w:rPr>
          <w:i/>
          <w:iCs/>
        </w:rPr>
      </w:pPr>
    </w:p>
    <w:p w14:paraId="0FA67F7D" w14:textId="42A085C4" w:rsidR="008B64A3" w:rsidRDefault="008B64A3" w:rsidP="008B64A3">
      <w:r>
        <w:t xml:space="preserve">Having clarified the geomantic technique, the </w:t>
      </w:r>
      <w:r w:rsidR="00901331">
        <w:t>aim of this following section is</w:t>
      </w:r>
      <w:r>
        <w:t xml:space="preserve"> to situate </w:t>
      </w:r>
      <w:r w:rsidR="00901331">
        <w:t>the</w:t>
      </w:r>
      <w:r>
        <w:t xml:space="preserve"> entrance and diffusion</w:t>
      </w:r>
      <w:r w:rsidR="00901331">
        <w:t xml:space="preserve"> of geomancy</w:t>
      </w:r>
      <w:r>
        <w:t xml:space="preserve"> in </w:t>
      </w:r>
      <w:r w:rsidR="00EA388A">
        <w:t xml:space="preserve">Latin Europe </w:t>
      </w:r>
      <w:r>
        <w:t>in the context of what Haskins called the ‘Renaissance of the twelfth-century’,</w:t>
      </w:r>
      <w:r>
        <w:rPr>
          <w:rStyle w:val="FootnoteReference"/>
        </w:rPr>
        <w:footnoteReference w:id="46"/>
      </w:r>
      <w:r>
        <w:t xml:space="preserve"> and particularly as part of the phenomenon of translations from Arabic into Latin. Haskins used the term ‘</w:t>
      </w:r>
      <w:r w:rsidR="00A964B1">
        <w:t>r</w:t>
      </w:r>
      <w:r>
        <w:t xml:space="preserve">enaissance’ to indicate the climate of cultural, religious and social renewal that characterised twelfth-century Europe. The many areas of life and of knowledge that witnessed these transformations are </w:t>
      </w:r>
      <w:r>
        <w:lastRenderedPageBreak/>
        <w:t>dealt with in depth in the edited volume ‘Renaissance and Renewal in the Twelfth Century’ edited by Robert L. Benson and Giles Constable, which still represents an essential study on this topic.</w:t>
      </w:r>
      <w:r>
        <w:rPr>
          <w:rStyle w:val="FootnoteReference"/>
        </w:rPr>
        <w:footnoteReference w:id="47"/>
      </w:r>
      <w:r>
        <w:t xml:space="preserve"> It is beyond the scope of this thesis to give a comprehensive overview of such a complex phenomenon.</w:t>
      </w:r>
      <w:r>
        <w:rPr>
          <w:rStyle w:val="FootnoteReference"/>
        </w:rPr>
        <w:footnoteReference w:id="48"/>
      </w:r>
      <w:r>
        <w:t xml:space="preserve"> Nevertheless, one key part of the twelfth-century Renaissance contributed to the formation of a Latin geomantic tradition and thus cannot be completely dismissed in this study. This was the wave of translations that took place in Spain, southern Italy and Sicily, and the Crusader States. It was through this translation movement that Greek science, enriched by the developments of Arabic culture, was re-introduced in </w:t>
      </w:r>
      <w:r w:rsidR="00EA388A">
        <w:t>Europe</w:t>
      </w:r>
      <w:r>
        <w:t>. It was, as Ruggiero Pergola has described it, a ‘relay race of knowledge,</w:t>
      </w:r>
      <w:r w:rsidR="00C651EC">
        <w:t>’</w:t>
      </w:r>
      <w:r>
        <w:t xml:space="preserve"> the torch was passed by Greece to West Asia, eventually reaching Europe through Africa.</w:t>
      </w:r>
      <w:r>
        <w:rPr>
          <w:rStyle w:val="FootnoteReference"/>
        </w:rPr>
        <w:footnoteReference w:id="49"/>
      </w:r>
    </w:p>
    <w:p w14:paraId="01758F31" w14:textId="4127B2B9" w:rsidR="008B64A3" w:rsidRDefault="008B64A3" w:rsidP="008B64A3">
      <w:r>
        <w:t>With the fall of the Roman Empire</w:t>
      </w:r>
      <w:r w:rsidR="00D37CBA">
        <w:t>,</w:t>
      </w:r>
      <w:r>
        <w:t xml:space="preserve"> Greek science had mostly disappeared in Europe.</w:t>
      </w:r>
      <w:r>
        <w:rPr>
          <w:rStyle w:val="FootnoteReference"/>
        </w:rPr>
        <w:footnoteReference w:id="50"/>
      </w:r>
      <w:r>
        <w:t xml:space="preserve"> During the High Middle Ages, only few Greek texts were available in Latin, thanks to Calcidius (IV c.), who translated Plato’s </w:t>
      </w:r>
      <w:r w:rsidRPr="00160816">
        <w:rPr>
          <w:i/>
          <w:iCs/>
        </w:rPr>
        <w:t>Timaeus</w:t>
      </w:r>
      <w:r>
        <w:t xml:space="preserve">, and Boethius (IV-V c.), responsible for the translation of six works of logic by Aristotle known as the </w:t>
      </w:r>
      <w:r w:rsidRPr="00160816">
        <w:rPr>
          <w:i/>
          <w:iCs/>
        </w:rPr>
        <w:t>Organon</w:t>
      </w:r>
      <w:r>
        <w:t xml:space="preserve">, as well as the </w:t>
      </w:r>
      <w:r w:rsidRPr="00C71A28">
        <w:rPr>
          <w:i/>
          <w:iCs/>
        </w:rPr>
        <w:t>Isagoge</w:t>
      </w:r>
      <w:r>
        <w:t xml:space="preserve"> of Porphyrius and part of Euclid’s </w:t>
      </w:r>
      <w:r w:rsidRPr="00160816">
        <w:rPr>
          <w:i/>
          <w:iCs/>
        </w:rPr>
        <w:t>Elements</w:t>
      </w:r>
      <w:r>
        <w:t xml:space="preserve">. In addition to these translations, the scientific culture of the High Middle Ages was based on a number of encyclopaedic works, such as the </w:t>
      </w:r>
      <w:r w:rsidRPr="005D7802">
        <w:rPr>
          <w:i/>
          <w:iCs/>
        </w:rPr>
        <w:t>Disciplinae</w:t>
      </w:r>
      <w:r>
        <w:t xml:space="preserve"> of Marcus Terentius Varro (I century a.C.</w:t>
      </w:r>
      <w:r w:rsidR="00F41B05">
        <w:t>,</w:t>
      </w:r>
      <w:r w:rsidR="00F41B05" w:rsidRPr="00F41B05">
        <w:t xml:space="preserve"> extant only in fragments</w:t>
      </w:r>
      <w:r>
        <w:t xml:space="preserve">), the </w:t>
      </w:r>
      <w:r w:rsidRPr="005D7802">
        <w:rPr>
          <w:i/>
          <w:iCs/>
        </w:rPr>
        <w:t>De rerum natura</w:t>
      </w:r>
      <w:r>
        <w:t xml:space="preserve"> of Lucretius (I century a.C.), and the </w:t>
      </w:r>
      <w:r w:rsidRPr="005D7802">
        <w:rPr>
          <w:i/>
          <w:iCs/>
        </w:rPr>
        <w:t>Etymologiae</w:t>
      </w:r>
      <w:r>
        <w:t xml:space="preserve"> of Isidore of Seville (VI-VII century). Other essential works in early medieval culture were Macrobius’ </w:t>
      </w:r>
      <w:r>
        <w:lastRenderedPageBreak/>
        <w:t>commentar</w:t>
      </w:r>
      <w:r w:rsidR="00F41B05">
        <w:t>ies</w:t>
      </w:r>
      <w:r>
        <w:t xml:space="preserve"> to Cicero’s </w:t>
      </w:r>
      <w:r w:rsidRPr="003B2004">
        <w:rPr>
          <w:i/>
          <w:iCs/>
        </w:rPr>
        <w:t>Somnium Scipionis</w:t>
      </w:r>
      <w:r>
        <w:t xml:space="preserve"> and Martianus Capella’s </w:t>
      </w:r>
      <w:r w:rsidRPr="003B2004">
        <w:rPr>
          <w:i/>
          <w:iCs/>
        </w:rPr>
        <w:t>De nuptiis Philologiae et Mercurii</w:t>
      </w:r>
      <w:r>
        <w:t>.</w:t>
      </w:r>
      <w:r>
        <w:rPr>
          <w:rStyle w:val="FootnoteReference"/>
        </w:rPr>
        <w:footnoteReference w:id="51"/>
      </w:r>
      <w:r w:rsidRPr="00C71A28">
        <w:rPr>
          <w:color w:val="FF0000"/>
        </w:rPr>
        <w:t xml:space="preserve"> </w:t>
      </w:r>
      <w:r w:rsidRPr="00C71A28">
        <w:t>While direct access to ancient Greek thought in the West was limited to these texts, in the Islamic world, from the ninth and tenth century onwards, the works of Plato, Aristotle, Euclid and Galen were being translated into Arabic from Greek, Syriac and Persian</w:t>
      </w:r>
      <w:r>
        <w:t>.</w:t>
      </w:r>
      <w:r>
        <w:rPr>
          <w:rStyle w:val="FootnoteReference"/>
        </w:rPr>
        <w:footnoteReference w:id="52"/>
      </w:r>
    </w:p>
    <w:p w14:paraId="160307CC" w14:textId="516F69E4" w:rsidR="008B64A3" w:rsidRPr="00C84BF2" w:rsidRDefault="008B64A3" w:rsidP="008B64A3">
      <w:r>
        <w:t xml:space="preserve">The first indications of a scientific renewal in </w:t>
      </w:r>
      <w:r w:rsidR="00EA388A">
        <w:t xml:space="preserve">Europe </w:t>
      </w:r>
      <w:r>
        <w:t>appeared well before the twelfth century. In Spain, the first tracts on the astrolabe and the quadrant were most likely translated from Arabic into Latin during the second half of the tenth century.</w:t>
      </w:r>
      <w:r>
        <w:rPr>
          <w:rStyle w:val="FootnoteReference"/>
        </w:rPr>
        <w:footnoteReference w:id="53"/>
      </w:r>
      <w:r w:rsidRPr="005A3F03">
        <w:rPr>
          <w:color w:val="FF0000"/>
        </w:rPr>
        <w:t xml:space="preserve"> </w:t>
      </w:r>
      <w:r w:rsidRPr="005A3F03">
        <w:t xml:space="preserve">A translation of the </w:t>
      </w:r>
      <w:r w:rsidRPr="005A3F03">
        <w:rPr>
          <w:i/>
          <w:iCs/>
        </w:rPr>
        <w:t>Alchandreana Corpus</w:t>
      </w:r>
      <w:r w:rsidRPr="005A3F03">
        <w:t xml:space="preserve">, a group of astrological texts containing doctrines new to </w:t>
      </w:r>
      <w:r w:rsidR="00EA388A">
        <w:t>European culture</w:t>
      </w:r>
      <w:r w:rsidRPr="005A3F03">
        <w:t>, such as</w:t>
      </w:r>
      <w:r>
        <w:t xml:space="preserve"> that of</w:t>
      </w:r>
      <w:r w:rsidRPr="005A3F03">
        <w:t xml:space="preserve"> the mansions of the moon</w:t>
      </w:r>
      <w:r>
        <w:t>,</w:t>
      </w:r>
      <w:r w:rsidRPr="005A3F03">
        <w:t xml:space="preserve"> also appeared around this time</w:t>
      </w:r>
      <w:r>
        <w:t>.</w:t>
      </w:r>
      <w:r>
        <w:rPr>
          <w:rStyle w:val="FootnoteReference"/>
        </w:rPr>
        <w:footnoteReference w:id="54"/>
      </w:r>
      <w:r>
        <w:t xml:space="preserve"> In Italy, in the second half of the eleventh century, Constantine the African was working on the translations of medical treatises, transmitting the doctrines of Galen to the </w:t>
      </w:r>
      <w:r w:rsidR="00EA388A">
        <w:t>Latins</w:t>
      </w:r>
      <w:r>
        <w:t>.</w:t>
      </w:r>
      <w:r>
        <w:rPr>
          <w:rStyle w:val="FootnoteReference"/>
        </w:rPr>
        <w:footnoteReference w:id="55"/>
      </w:r>
      <w:r>
        <w:t xml:space="preserve"> Most translations in Italy were completed in Sicily, as the island offered a favourable environment for translators from Greek into Latin, thanks to the uninterrupted relationships with the Byzantines, that made it easier to learn Greek in Sicily than elsewhere.</w:t>
      </w:r>
      <w:r>
        <w:rPr>
          <w:rStyle w:val="FootnoteReference"/>
        </w:rPr>
        <w:footnoteReference w:id="56"/>
      </w:r>
      <w:r>
        <w:t xml:space="preserve"> Some of the most renowned translators operating in Italy</w:t>
      </w:r>
      <w:r w:rsidRPr="00B37ACF">
        <w:t xml:space="preserve"> </w:t>
      </w:r>
      <w:r>
        <w:t xml:space="preserve">in addition to Constantine the African were: Henry Aristippus, a translator from Greek operating in the twelfth century, Eugenius of Palermo, also active in the twelfth century, and Michael Scot, who worked in the first half of the thirteenth century, first in Toledo and then in Italy as an astrologer at the court of Frederick II </w:t>
      </w:r>
      <w:r>
        <w:lastRenderedPageBreak/>
        <w:t>Hohenstaufen.</w:t>
      </w:r>
      <w:r>
        <w:rPr>
          <w:rStyle w:val="FootnoteReference"/>
        </w:rPr>
        <w:footnoteReference w:id="57"/>
      </w:r>
      <w:r>
        <w:t xml:space="preserve"> </w:t>
      </w:r>
      <w:r w:rsidRPr="008E71DF">
        <w:t xml:space="preserve">If Southern Italy was the primary location for translations from Greek into Latin, Spain was the main </w:t>
      </w:r>
      <w:r>
        <w:t>place</w:t>
      </w:r>
      <w:r w:rsidRPr="008E71DF">
        <w:t xml:space="preserve"> for any translation from Arabic and Hebrew</w:t>
      </w:r>
      <w:r>
        <w:t>. The wave of translations in Spain followed the progress of the Reconquista, and most translators were active in areas under Christian rulers. Among the most important translators we find Plato of Tivoli, who worked in Barcelona between 1135 and 1145, Robert of Ketton and Hermann of Carinthia, working mainly in the valley of the river Ebro in the first half of the twelfth-century,</w:t>
      </w:r>
      <w:r>
        <w:rPr>
          <w:rStyle w:val="FootnoteReference"/>
        </w:rPr>
        <w:footnoteReference w:id="58"/>
      </w:r>
      <w:r>
        <w:t xml:space="preserve"> Hugo Sanctelliensis was based in Tarazona, in Aragon; Abraham ibn Daud, Dominicus Gundissalinus, John of Seville, John of Spain and Gerard of Cremona were based in Toledo, which became the major centre for translations in the twelfth century.</w:t>
      </w:r>
      <w:r>
        <w:rPr>
          <w:rStyle w:val="FootnoteReference"/>
        </w:rPr>
        <w:footnoteReference w:id="59"/>
      </w:r>
      <w:r>
        <w:t xml:space="preserve"> Among the principal translators from Arabic as well as Greek is Adelard of Bath ( c.1080- c.1152), who travelled extensively in Italy, West Asia and possibly Spain to learn the Arabs</w:t>
      </w:r>
      <w:r w:rsidR="006F141D">
        <w:t>’</w:t>
      </w:r>
      <w:r>
        <w:t xml:space="preserve"> science.</w:t>
      </w:r>
      <w:r>
        <w:rPr>
          <w:rStyle w:val="FootnoteReference"/>
        </w:rPr>
        <w:footnoteReference w:id="60"/>
      </w:r>
      <w:r>
        <w:t xml:space="preserve"> Most of these translators would not have known Arabic as their native tongue. Of those mentioned above, Adelard of Bath and Robert of Ketton were from England, Plato of Tivoli and Gerard of Cremona from Italy, and Hermann of Carinthia was of Slavic origin. Many </w:t>
      </w:r>
      <w:r>
        <w:lastRenderedPageBreak/>
        <w:t xml:space="preserve">translators therefore would travel to Spain or other places to learn Arabic </w:t>
      </w:r>
      <w:r w:rsidRPr="00C84BF2">
        <w:t>before they could make scientific texts of the Greek and Arabic traditions available in Latin</w:t>
      </w:r>
      <w:r>
        <w:t>.</w:t>
      </w:r>
    </w:p>
    <w:p w14:paraId="3E0857C7" w14:textId="77777777" w:rsidR="00677E60" w:rsidRDefault="008B64A3" w:rsidP="008B64A3">
      <w:r>
        <w:t>Not every translator though would become fluent in Arabic, and there are instances in which Latin translators were aided by Jewish and Arabic scholars in their labours. For this reason, it has often been assumed that many translations happened in two stages: first from Arabic into the local vernacular language, and in a second phase from the vernacular into Latin.</w:t>
      </w:r>
      <w:r>
        <w:rPr>
          <w:rStyle w:val="FootnoteReference"/>
        </w:rPr>
        <w:footnoteReference w:id="61"/>
      </w:r>
      <w:r>
        <w:t xml:space="preserve"> Proofs of these collaborations exist in the cases of Plato of Tivoli, who worked with the Jewish scholar Abraham bar Ḥiyya;</w:t>
      </w:r>
      <w:r w:rsidR="00C5228D">
        <w:rPr>
          <w:rStyle w:val="FootnoteReference"/>
        </w:rPr>
        <w:footnoteReference w:id="62"/>
      </w:r>
      <w:r>
        <w:t xml:space="preserve"> Michael Scot was helped by a Jew called Andreas, and Gerard of Cremona worked with a Mozarab called Galippus (Gh</w:t>
      </w:r>
      <w:r w:rsidR="009C0663">
        <w:t>ā</w:t>
      </w:r>
      <w:r>
        <w:t>lib).</w:t>
      </w:r>
      <w:r>
        <w:rPr>
          <w:rStyle w:val="FootnoteReference"/>
        </w:rPr>
        <w:footnoteReference w:id="63"/>
      </w:r>
      <w:r>
        <w:t xml:space="preserve"> Another method used by translators was to render into Latin each word that a collaborator would read out loud, since the Arabic language was much easier to understand when spoken rather than written, due to the difficulty that the Arabic script represented, and the possible absence of the diacritic signs of the vowels in scientific texts.</w:t>
      </w:r>
      <w:r>
        <w:rPr>
          <w:rStyle w:val="FootnoteReference"/>
        </w:rPr>
        <w:footnoteReference w:id="64"/>
      </w:r>
      <w:r>
        <w:t xml:space="preserve"> Among the translators that were able to read the Arabic text directly while translating were Hugo Sanctelliensis and Gerard of Cremona.</w:t>
      </w:r>
      <w:r>
        <w:rPr>
          <w:rStyle w:val="FootnoteReference"/>
        </w:rPr>
        <w:footnoteReference w:id="65"/>
      </w:r>
      <w:r>
        <w:t xml:space="preserve"> Another difficulty arising from the translation from Arabic into Latin was the difference in style and terminology between the two languages. While usually medieval </w:t>
      </w:r>
      <w:r>
        <w:lastRenderedPageBreak/>
        <w:t>translators would follow as much as possible Boethius</w:t>
      </w:r>
      <w:r w:rsidR="00CD26D4">
        <w:t>’ method</w:t>
      </w:r>
      <w:r>
        <w:t xml:space="preserve"> of a translation </w:t>
      </w:r>
      <w:r w:rsidRPr="00784E60">
        <w:rPr>
          <w:i/>
          <w:iCs/>
        </w:rPr>
        <w:t>verbo ad verbum</w:t>
      </w:r>
      <w:r>
        <w:t xml:space="preserve"> (word by word), it was very difficult to obtain a literal translation due to the differences between Latin and Arabic and the prolixity that translators attributed to the latter.</w:t>
      </w:r>
      <w:r>
        <w:rPr>
          <w:rStyle w:val="FootnoteReference"/>
        </w:rPr>
        <w:footnoteReference w:id="66"/>
      </w:r>
      <w:r>
        <w:t xml:space="preserve"> As a consequence, the style of translation varied greatly from one translator to another, and many scholars did not attempt a literal translation.</w:t>
      </w:r>
      <w:r>
        <w:rPr>
          <w:rStyle w:val="FootnoteReference"/>
        </w:rPr>
        <w:footnoteReference w:id="67"/>
      </w:r>
      <w:r>
        <w:t xml:space="preserve"> </w:t>
      </w:r>
    </w:p>
    <w:p w14:paraId="0D4ECB0C" w14:textId="2C97194E" w:rsidR="008B64A3" w:rsidRPr="008F4156" w:rsidRDefault="008B64A3" w:rsidP="008B64A3">
      <w:r>
        <w:t>Of the life and sources of income of the translators not much is known. Robert of Ketton and Dominucus Gundissalinus were archdeacons, and Hugo Sanctelliensis was probably a member of a cathedral chapter since many of his works are dedicated to Michael, bishop of Tarazona.</w:t>
      </w:r>
      <w:r>
        <w:rPr>
          <w:rStyle w:val="FootnoteReference"/>
        </w:rPr>
        <w:footnoteReference w:id="68"/>
      </w:r>
      <w:r>
        <w:t xml:space="preserve"> It is also known that Peter the Venerable made available a large sum of money to convince Robert and Hermann to translate the Quran and other Islamic texts, but beyond these sparse pieces of information, little is known about the lives and backgrounds of the twelfth-century translators.</w:t>
      </w:r>
      <w:r>
        <w:rPr>
          <w:rStyle w:val="FootnoteReference"/>
        </w:rPr>
        <w:footnoteReference w:id="69"/>
      </w:r>
      <w:r>
        <w:t xml:space="preserve"> Thanks to the efforts of the</w:t>
      </w:r>
      <w:r w:rsidR="00361F33">
        <w:t>se</w:t>
      </w:r>
      <w:r>
        <w:t xml:space="preserve"> translators, by the beginning of the thirteenth century the principal works of science and natural philosophy of Greek and Arabic knowledge were available in Latin translation.</w:t>
      </w:r>
      <w:r>
        <w:rPr>
          <w:rStyle w:val="FootnoteReference"/>
        </w:rPr>
        <w:footnoteReference w:id="70"/>
      </w:r>
      <w:r>
        <w:t xml:space="preserve"> It is undisputed that the Latin </w:t>
      </w:r>
      <w:r w:rsidRPr="00D34E23">
        <w:rPr>
          <w:i/>
          <w:iCs/>
        </w:rPr>
        <w:lastRenderedPageBreak/>
        <w:t>curiositas</w:t>
      </w:r>
      <w:r>
        <w:t xml:space="preserve"> towards Greek and Arabic literature was mainly concerned with scientific works, but together with these, a large number of texts on astrology and the occult practices too </w:t>
      </w:r>
      <w:r w:rsidR="00CA7356">
        <w:t>were</w:t>
      </w:r>
      <w:r>
        <w:t xml:space="preserve"> translated in the same period.</w:t>
      </w:r>
      <w:r>
        <w:rPr>
          <w:rStyle w:val="FootnoteReference"/>
        </w:rPr>
        <w:footnoteReference w:id="71"/>
      </w:r>
      <w:r>
        <w:t xml:space="preserve"> Among these, the ‘science of the sand’ made its entrance in Latin </w:t>
      </w:r>
      <w:r w:rsidR="00EA388A">
        <w:t>Europe</w:t>
      </w:r>
      <w:r>
        <w:t>.</w:t>
      </w:r>
      <w:r>
        <w:rPr>
          <w:rStyle w:val="FootnoteReference"/>
        </w:rPr>
        <w:footnoteReference w:id="72"/>
      </w:r>
      <w:r>
        <w:t xml:space="preserve"> The next section offers a </w:t>
      </w:r>
      <w:r w:rsidR="00F25EFB">
        <w:t>summary</w:t>
      </w:r>
      <w:r>
        <w:t xml:space="preserve"> of who was translating works on geomancy, where and when, in order to situate geomancy in the context of the twelfth-century </w:t>
      </w:r>
      <w:r w:rsidR="00F32368">
        <w:t>r</w:t>
      </w:r>
      <w:r>
        <w:t>enaissance.</w:t>
      </w:r>
    </w:p>
    <w:bookmarkEnd w:id="22"/>
    <w:p w14:paraId="22D0313D" w14:textId="77777777" w:rsidR="008B64A3" w:rsidRPr="003527DE" w:rsidRDefault="008B64A3" w:rsidP="008B64A3"/>
    <w:p w14:paraId="4A77CDBE" w14:textId="778A929A" w:rsidR="008B64A3" w:rsidRDefault="008B64A3" w:rsidP="006E07BF">
      <w:pPr>
        <w:pStyle w:val="Heading3"/>
        <w:ind w:firstLine="0"/>
        <w:rPr>
          <w:rFonts w:asciiTheme="majorBidi" w:hAnsiTheme="majorBidi"/>
          <w:b/>
          <w:bCs/>
          <w:color w:val="auto"/>
        </w:rPr>
      </w:pPr>
      <w:bookmarkStart w:id="30" w:name="_Toc165108634"/>
      <w:r w:rsidRPr="006E07BF">
        <w:rPr>
          <w:rFonts w:asciiTheme="majorBidi" w:hAnsiTheme="majorBidi"/>
          <w:b/>
          <w:bCs/>
          <w:color w:val="auto"/>
        </w:rPr>
        <w:t>Translations and translators of geoma</w:t>
      </w:r>
      <w:r w:rsidR="0026704B">
        <w:rPr>
          <w:rFonts w:asciiTheme="majorBidi" w:hAnsiTheme="majorBidi"/>
          <w:b/>
          <w:bCs/>
          <w:color w:val="auto"/>
        </w:rPr>
        <w:t>ntic works</w:t>
      </w:r>
      <w:bookmarkEnd w:id="30"/>
    </w:p>
    <w:p w14:paraId="58CDB13D" w14:textId="77777777" w:rsidR="006E07BF" w:rsidRPr="006E07BF" w:rsidRDefault="006E07BF" w:rsidP="006E07BF"/>
    <w:p w14:paraId="711CC8FA" w14:textId="53A432DE" w:rsidR="008B64A3" w:rsidRDefault="008B64A3" w:rsidP="008B64A3">
      <w:pPr>
        <w:ind w:firstLine="0"/>
      </w:pPr>
      <w:r>
        <w:tab/>
        <w:t>As mentioned before, Plato of Tivoli was a Latin translator, of Italian origin, who worked in Barcelona in the first half of the twelfth century.</w:t>
      </w:r>
      <w:r w:rsidR="00EE158E">
        <w:rPr>
          <w:rStyle w:val="FootnoteReference"/>
        </w:rPr>
        <w:footnoteReference w:id="73"/>
      </w:r>
      <w:r>
        <w:t xml:space="preserve"> The main areas of interests of Plato, based on the translations completed by him, were astronomy, astrology and mathematics. His translations of astronomical works include the astronomical tables of al-Battānī (</w:t>
      </w:r>
      <w:r w:rsidRPr="004645B2">
        <w:t>c. 858 – 929</w:t>
      </w:r>
      <w:r>
        <w:t xml:space="preserve">), </w:t>
      </w:r>
      <w:r w:rsidRPr="004645B2">
        <w:t xml:space="preserve">with the title </w:t>
      </w:r>
      <w:r w:rsidRPr="004645B2">
        <w:rPr>
          <w:i/>
          <w:iCs/>
        </w:rPr>
        <w:t>De scientiis astrorum</w:t>
      </w:r>
      <w:r w:rsidRPr="004645B2">
        <w:t xml:space="preserve"> or </w:t>
      </w:r>
      <w:r w:rsidRPr="004645B2">
        <w:rPr>
          <w:i/>
          <w:iCs/>
        </w:rPr>
        <w:t>Mahometis Albatenii de scientia stellarum liber</w:t>
      </w:r>
      <w:r w:rsidRPr="00037BDB">
        <w:t>.</w:t>
      </w:r>
      <w:r w:rsidRPr="00037BDB">
        <w:rPr>
          <w:rStyle w:val="FootnoteReference"/>
        </w:rPr>
        <w:footnoteReference w:id="74"/>
      </w:r>
      <w:r>
        <w:t xml:space="preserve"> Moreover, </w:t>
      </w:r>
      <w:r w:rsidRPr="00CC4AC4">
        <w:t xml:space="preserve">Plato of Tivoli </w:t>
      </w:r>
      <w:r>
        <w:t xml:space="preserve">also </w:t>
      </w:r>
      <w:r w:rsidRPr="00CC4AC4">
        <w:t>showed interest in the astrolabe, which had so</w:t>
      </w:r>
      <w:r w:rsidRPr="00D1167C">
        <w:t xml:space="preserve"> </w:t>
      </w:r>
      <w:r w:rsidRPr="00CC4AC4">
        <w:t>greatly drawn the attention of Latin translators</w:t>
      </w:r>
      <w:r>
        <w:t xml:space="preserve"> from the tenth century onwards. Plato </w:t>
      </w:r>
      <w:r>
        <w:lastRenderedPageBreak/>
        <w:t>translated a treatise on the astrolabe</w:t>
      </w:r>
      <w:r w:rsidRPr="00C70143">
        <w:t xml:space="preserve"> </w:t>
      </w:r>
      <w:r>
        <w:t xml:space="preserve">by </w:t>
      </w:r>
      <w:r w:rsidRPr="005C3FF0">
        <w:t>Ibn al-</w:t>
      </w:r>
      <w:r w:rsidRPr="006C196B">
        <w:rPr>
          <w:color w:val="000000" w:themeColor="text1"/>
        </w:rPr>
        <w:t>Ṣ</w:t>
      </w:r>
      <w:r>
        <w:rPr>
          <w:color w:val="000000" w:themeColor="text1"/>
        </w:rPr>
        <w:t>affār</w:t>
      </w:r>
      <w:r>
        <w:t>, which also exists in a translation of John of Seville. Among the works on astrology that Plato made available in Latin there is</w:t>
      </w:r>
      <w:r w:rsidRPr="003C41BF">
        <w:t xml:space="preserve"> the </w:t>
      </w:r>
      <w:r w:rsidRPr="003C41BF">
        <w:rPr>
          <w:i/>
          <w:iCs/>
        </w:rPr>
        <w:t>Tetrabi</w:t>
      </w:r>
      <w:r>
        <w:rPr>
          <w:i/>
          <w:iCs/>
        </w:rPr>
        <w:t>b</w:t>
      </w:r>
      <w:r w:rsidRPr="003C41BF">
        <w:rPr>
          <w:i/>
          <w:iCs/>
        </w:rPr>
        <w:t>los</w:t>
      </w:r>
      <w:r w:rsidRPr="003C41BF">
        <w:t xml:space="preserve"> or </w:t>
      </w:r>
      <w:r w:rsidRPr="003C41BF">
        <w:rPr>
          <w:i/>
          <w:iCs/>
        </w:rPr>
        <w:t>Quadripartitum</w:t>
      </w:r>
      <w:r w:rsidRPr="003C41BF">
        <w:t xml:space="preserve"> by Ptolemy, the great manual of </w:t>
      </w:r>
      <w:r>
        <w:t>a</w:t>
      </w:r>
      <w:r w:rsidRPr="003C41BF">
        <w:t xml:space="preserve">strology from Classical Antiquity. </w:t>
      </w:r>
      <w:r>
        <w:t>This</w:t>
      </w:r>
      <w:r w:rsidRPr="003C41BF">
        <w:t xml:space="preserve"> is the first authentic work by Ptolemy translated into Latin</w:t>
      </w:r>
      <w:r>
        <w:t>, and it would be repeatedly re-translated in the thirteenth and fourteenth centuries. It seems</w:t>
      </w:r>
      <w:r w:rsidRPr="007F2CB1">
        <w:t xml:space="preserve"> that </w:t>
      </w:r>
      <w:r>
        <w:t>Plato</w:t>
      </w:r>
      <w:r w:rsidRPr="007F2CB1">
        <w:t xml:space="preserve"> was </w:t>
      </w:r>
      <w:r>
        <w:t>also</w:t>
      </w:r>
      <w:r w:rsidRPr="007F2CB1">
        <w:t xml:space="preserve"> </w:t>
      </w:r>
      <w:r>
        <w:t>responsible for</w:t>
      </w:r>
      <w:r w:rsidRPr="007F2CB1">
        <w:t xml:space="preserve"> the first complete preserved version of the Pseudo-Ptolemaic </w:t>
      </w:r>
      <w:r w:rsidRPr="007F2CB1">
        <w:rPr>
          <w:i/>
          <w:iCs/>
        </w:rPr>
        <w:t>Centiloquium</w:t>
      </w:r>
      <w:r>
        <w:t>, a work of astrological aphorisms,</w:t>
      </w:r>
      <w:r w:rsidRPr="007F2CB1">
        <w:t xml:space="preserve"> with the commentary by A</w:t>
      </w:r>
      <w:r w:rsidRPr="009770DD">
        <w:rPr>
          <w:color w:val="1F497D"/>
        </w:rPr>
        <w:t>ḥ</w:t>
      </w:r>
      <w:r w:rsidRPr="007F2CB1">
        <w:t>mad b</w:t>
      </w:r>
      <w:r>
        <w:t>en</w:t>
      </w:r>
      <w:r w:rsidRPr="007F2CB1">
        <w:t xml:space="preserve"> Y</w:t>
      </w:r>
      <w:r>
        <w:t>ū</w:t>
      </w:r>
      <w:r w:rsidRPr="007F2CB1">
        <w:t>suf, even if this attribution has been contested</w:t>
      </w:r>
      <w:r>
        <w:t>.</w:t>
      </w:r>
      <w:r>
        <w:rPr>
          <w:rStyle w:val="FootnoteReference"/>
        </w:rPr>
        <w:footnoteReference w:id="75"/>
      </w:r>
      <w:r>
        <w:t xml:space="preserve"> To Plato of Tivoli is also attributed the translation of two different geomantic texts, the first, entitled </w:t>
      </w:r>
      <w:r w:rsidRPr="005D26EF">
        <w:rPr>
          <w:i/>
          <w:iCs/>
        </w:rPr>
        <w:t xml:space="preserve">Liber </w:t>
      </w:r>
      <w:r>
        <w:rPr>
          <w:i/>
          <w:iCs/>
        </w:rPr>
        <w:t>a</w:t>
      </w:r>
      <w:r w:rsidRPr="005D26EF">
        <w:rPr>
          <w:i/>
          <w:iCs/>
        </w:rPr>
        <w:t xml:space="preserve">renalis </w:t>
      </w:r>
      <w:r>
        <w:rPr>
          <w:i/>
          <w:iCs/>
        </w:rPr>
        <w:t>s</w:t>
      </w:r>
      <w:r w:rsidRPr="005D26EF">
        <w:rPr>
          <w:i/>
          <w:iCs/>
        </w:rPr>
        <w:t>cientiae</w:t>
      </w:r>
      <w:r>
        <w:t xml:space="preserve"> (</w:t>
      </w:r>
      <w:r w:rsidR="009C5EEB">
        <w:t xml:space="preserve">‘The Book of the Science of the Sand’ or </w:t>
      </w:r>
      <w:r>
        <w:t xml:space="preserve">‘The Book of </w:t>
      </w:r>
      <w:r w:rsidR="002C026D">
        <w:t>Sandy knowledge’</w:t>
      </w:r>
      <w:r>
        <w:t xml:space="preserve">) was translated in 1135, and </w:t>
      </w:r>
      <w:r w:rsidR="005E6C8C">
        <w:t>constitutes</w:t>
      </w:r>
      <w:r>
        <w:t xml:space="preserve"> the main case study of </w:t>
      </w:r>
      <w:r w:rsidR="005E6C8C">
        <w:t>this</w:t>
      </w:r>
      <w:r>
        <w:t xml:space="preserve"> thesis. The second geomantic work ascribed to Plato of Tivoli survives in its earliest form in a collection of geomantic works printed in Verona in 1687 known as </w:t>
      </w:r>
      <w:r w:rsidRPr="00FB6FBA">
        <w:rPr>
          <w:i/>
          <w:iCs/>
        </w:rPr>
        <w:t>Fasciculus geomanticus</w:t>
      </w:r>
      <w:r w:rsidRPr="00FB6FBA">
        <w:t>.</w:t>
      </w:r>
      <w:r w:rsidRPr="0057282C">
        <w:rPr>
          <w:rStyle w:val="FootnoteReference"/>
        </w:rPr>
        <w:t xml:space="preserve"> </w:t>
      </w:r>
      <w:r>
        <w:rPr>
          <w:rStyle w:val="FootnoteReference"/>
        </w:rPr>
        <w:footnoteReference w:id="76"/>
      </w:r>
      <w:r>
        <w:t xml:space="preserve"> However, this text is just a collection of geomantic questions based on an</w:t>
      </w:r>
      <w:r w:rsidR="0095391A">
        <w:t xml:space="preserve"> earlier</w:t>
      </w:r>
      <w:r>
        <w:t xml:space="preserve"> geomantic work ascribed to Gerard of Cremona</w:t>
      </w:r>
      <w:r w:rsidR="00847709">
        <w:t>.</w:t>
      </w:r>
    </w:p>
    <w:p w14:paraId="785703F8" w14:textId="1B9EB91F" w:rsidR="008B64A3" w:rsidRDefault="008B64A3" w:rsidP="008B64A3">
      <w:r>
        <w:t xml:space="preserve">Another translator working </w:t>
      </w:r>
      <w:r w:rsidR="00BF3E76">
        <w:t>on</w:t>
      </w:r>
      <w:r>
        <w:t xml:space="preserve"> geomantic material in the first half of the twelfth century was Hugo Sanctelliensis. From his translations emerges a strong interest for the science of the stars.</w:t>
      </w:r>
      <w:r>
        <w:rPr>
          <w:rStyle w:val="FootnoteReference"/>
        </w:rPr>
        <w:footnoteReference w:id="77"/>
      </w:r>
      <w:r>
        <w:t xml:space="preserve"> To him are attributed the translations of the </w:t>
      </w:r>
      <w:r w:rsidRPr="001E0E79">
        <w:rPr>
          <w:i/>
          <w:iCs/>
        </w:rPr>
        <w:t>Centiloquium</w:t>
      </w:r>
      <w:r>
        <w:t xml:space="preserve">, a book on astrological nativities by Māshā’allāh, a commentary to al-Khwārizmī’s Astronomical Tables, the </w:t>
      </w:r>
      <w:r w:rsidRPr="00BD69A2">
        <w:rPr>
          <w:i/>
          <w:iCs/>
        </w:rPr>
        <w:t>Liber imbrium</w:t>
      </w:r>
      <w:r>
        <w:t xml:space="preserve">, the </w:t>
      </w:r>
      <w:r w:rsidRPr="00BD69A2">
        <w:rPr>
          <w:i/>
          <w:iCs/>
        </w:rPr>
        <w:t>Liber Aristotilis</w:t>
      </w:r>
      <w:r>
        <w:t>,</w:t>
      </w:r>
      <w:r>
        <w:rPr>
          <w:rStyle w:val="FootnoteReference"/>
        </w:rPr>
        <w:footnoteReference w:id="78"/>
      </w:r>
      <w:r>
        <w:t xml:space="preserve"> the </w:t>
      </w:r>
      <w:r w:rsidRPr="00BD69A2">
        <w:rPr>
          <w:i/>
          <w:iCs/>
        </w:rPr>
        <w:t>Liber Aomaris</w:t>
      </w:r>
      <w:r>
        <w:t>,</w:t>
      </w:r>
      <w:r>
        <w:rPr>
          <w:rStyle w:val="FootnoteReference"/>
        </w:rPr>
        <w:footnoteReference w:id="79"/>
      </w:r>
      <w:r>
        <w:t xml:space="preserve"> the </w:t>
      </w:r>
      <w:r w:rsidRPr="00BD69A2">
        <w:rPr>
          <w:i/>
          <w:iCs/>
        </w:rPr>
        <w:t xml:space="preserve">Liber trium </w:t>
      </w:r>
      <w:r w:rsidRPr="00BD69A2">
        <w:rPr>
          <w:i/>
          <w:iCs/>
        </w:rPr>
        <w:lastRenderedPageBreak/>
        <w:t>iudicum</w:t>
      </w:r>
      <w:r>
        <w:t>, which incorporated different sources on astrological interrogations,</w:t>
      </w:r>
      <w:r>
        <w:rPr>
          <w:rStyle w:val="FootnoteReference"/>
        </w:rPr>
        <w:footnoteReference w:id="80"/>
      </w:r>
      <w:r>
        <w:t xml:space="preserve"> the </w:t>
      </w:r>
      <w:r w:rsidRPr="00BD69A2">
        <w:rPr>
          <w:i/>
          <w:iCs/>
        </w:rPr>
        <w:t>De secretis naturae</w:t>
      </w:r>
      <w:r>
        <w:t xml:space="preserve"> attributed to Apollonius of Tyana,</w:t>
      </w:r>
      <w:r>
        <w:rPr>
          <w:rStyle w:val="FootnoteReference"/>
        </w:rPr>
        <w:footnoteReference w:id="81"/>
      </w:r>
      <w:r>
        <w:t xml:space="preserve"> two short texts of scapulimancy (divination by animal shoulder blades),</w:t>
      </w:r>
      <w:r>
        <w:rPr>
          <w:rStyle w:val="FootnoteReference"/>
        </w:rPr>
        <w:footnoteReference w:id="82"/>
      </w:r>
      <w:r>
        <w:t xml:space="preserve"> and the </w:t>
      </w:r>
      <w:r w:rsidRPr="00A43D50">
        <w:rPr>
          <w:i/>
          <w:iCs/>
        </w:rPr>
        <w:t>Ars geomantiae</w:t>
      </w:r>
      <w:r>
        <w:t>, considered the oldest Latin translation of a geomantic text.</w:t>
      </w:r>
      <w:r>
        <w:rPr>
          <w:rStyle w:val="FootnoteReference"/>
        </w:rPr>
        <w:footnoteReference w:id="83"/>
      </w:r>
      <w:r>
        <w:t xml:space="preserve"> The </w:t>
      </w:r>
      <w:r w:rsidRPr="00124D03">
        <w:rPr>
          <w:i/>
          <w:iCs/>
        </w:rPr>
        <w:t>Ars geomantiae</w:t>
      </w:r>
      <w:r>
        <w:t xml:space="preserve"> survived in thirteen manuscripts, dating from the thirteenth to the sixteenth century, which suggests a considerable diffusion at least during the late medieval period, while no printed editions exist of the text.</w:t>
      </w:r>
      <w:r>
        <w:rPr>
          <w:rStyle w:val="FootnoteReference"/>
        </w:rPr>
        <w:footnoteReference w:id="84"/>
      </w:r>
      <w:r>
        <w:t xml:space="preserve"> The translation of a geomantic text is also ascribed to the most prolific translator of the twelfth century, Gerard of Cremona (ca. 1114-1187). Gera</w:t>
      </w:r>
      <w:r w:rsidR="007A2924">
        <w:t>rd</w:t>
      </w:r>
      <w:r>
        <w:t xml:space="preserve"> did not sign any of his translations, and it is to his disciples that </w:t>
      </w:r>
      <w:r w:rsidR="00DB471C">
        <w:t xml:space="preserve">are </w:t>
      </w:r>
      <w:r>
        <w:t>owe</w:t>
      </w:r>
      <w:r w:rsidR="00DB471C">
        <w:t>d</w:t>
      </w:r>
      <w:r>
        <w:t xml:space="preserve"> the pieces of information about the main events of his life and the works that he translated, contained in the </w:t>
      </w:r>
      <w:r w:rsidRPr="00304E44">
        <w:rPr>
          <w:i/>
          <w:iCs/>
        </w:rPr>
        <w:t>Vita Gerardi Cremonensis</w:t>
      </w:r>
      <w:r>
        <w:t>.</w:t>
      </w:r>
      <w:r>
        <w:rPr>
          <w:rStyle w:val="FootnoteReference"/>
        </w:rPr>
        <w:footnoteReference w:id="85"/>
      </w:r>
      <w:r>
        <w:t xml:space="preserve"> Through his work as a translator, Gerard made available to Western Europe texts on geometry (such as the works of Euclid, Archimedes and al-Khwārizmī), astronomy (among which were Ptolemy’s </w:t>
      </w:r>
      <w:r w:rsidRPr="0040027D">
        <w:rPr>
          <w:i/>
          <w:iCs/>
        </w:rPr>
        <w:t>Almagest</w:t>
      </w:r>
      <w:r>
        <w:t xml:space="preserve"> and the works of Messahala, al-Fargh</w:t>
      </w:r>
      <w:r w:rsidR="00CC4B26">
        <w:t>ā</w:t>
      </w:r>
      <w:r>
        <w:t>nī and Th</w:t>
      </w:r>
      <w:r w:rsidR="00CC4B26">
        <w:t>ā</w:t>
      </w:r>
      <w:r>
        <w:t>bit ibn Qurra), philosophy (including several books by Aristotle, al-Kindī and al-F</w:t>
      </w:r>
      <w:r w:rsidR="002D7423">
        <w:t>ā</w:t>
      </w:r>
      <w:r>
        <w:t>r</w:t>
      </w:r>
      <w:r w:rsidR="002D7423">
        <w:t>ā</w:t>
      </w:r>
      <w:r>
        <w:t>bī), on medicine (with many works by Galen, Ibn-Sīnā and al-Rāzī), and alchemy (pseudo-Rāzī).</w:t>
      </w:r>
      <w:r w:rsidRPr="00E238DE">
        <w:t xml:space="preserve"> </w:t>
      </w:r>
      <w:r>
        <w:t>Throughout his life, Gerard completed around seventy translations.</w:t>
      </w:r>
      <w:r>
        <w:rPr>
          <w:rStyle w:val="FootnoteReference"/>
        </w:rPr>
        <w:footnoteReference w:id="86"/>
      </w:r>
      <w:r>
        <w:t xml:space="preserve"> To him is also ascribed the translation from Arabic of a geomantic work from the incipit </w:t>
      </w:r>
      <w:r w:rsidRPr="001F3EF0">
        <w:rPr>
          <w:i/>
          <w:iCs/>
        </w:rPr>
        <w:t>Si quis per artem geomanticam</w:t>
      </w:r>
      <w:r>
        <w:t xml:space="preserve">. The attribution of this text to the translator is </w:t>
      </w:r>
      <w:r>
        <w:lastRenderedPageBreak/>
        <w:t>attested in all but two of the extant manuscripts.</w:t>
      </w:r>
      <w:r>
        <w:rPr>
          <w:rStyle w:val="FootnoteReference"/>
        </w:rPr>
        <w:footnoteReference w:id="87"/>
      </w:r>
      <w:r>
        <w:t xml:space="preserve"> The text is preserved in a large number of manuscripts, which suggests that it was well diffused in late medieval Europe.</w:t>
      </w:r>
      <w:r>
        <w:rPr>
          <w:rStyle w:val="FootnoteReference"/>
        </w:rPr>
        <w:footnoteReference w:id="88"/>
      </w:r>
      <w:r>
        <w:t xml:space="preserve"> This work is composed of two parts, the first one explains the rules of the geomantic art, the second part, which is only found in a few manuscripts, contains a list of geomantic questions.</w:t>
      </w:r>
      <w:r>
        <w:rPr>
          <w:rStyle w:val="FootnoteReference"/>
        </w:rPr>
        <w:footnoteReference w:id="89"/>
      </w:r>
    </w:p>
    <w:p w14:paraId="3D4049B0" w14:textId="6D110453" w:rsidR="008B64A3" w:rsidRDefault="008B64A3" w:rsidP="008B64A3">
      <w:r>
        <w:t xml:space="preserve">Another important geomantic tract translated from Arabic is the text known as </w:t>
      </w:r>
      <w:r w:rsidRPr="005175EC">
        <w:rPr>
          <w:i/>
          <w:iCs/>
        </w:rPr>
        <w:t>Estimaverunt Indi</w:t>
      </w:r>
      <w:r>
        <w:t xml:space="preserve"> from its incipit. This work exists in seven manuscript; the copy contained in the Biblioteca Laurenziana in Florence attributes it to Hugo Sanctelliensis, while </w:t>
      </w:r>
      <w:r w:rsidR="00D539D2">
        <w:t>another</w:t>
      </w:r>
      <w:r>
        <w:t xml:space="preserve"> copy in the Magliabechiana</w:t>
      </w:r>
      <w:r w:rsidR="002A03C5">
        <w:t xml:space="preserve"> Library in Florence</w:t>
      </w:r>
      <w:r>
        <w:t xml:space="preserve"> refers to a certain </w:t>
      </w:r>
      <w:r w:rsidRPr="00CB2738">
        <w:rPr>
          <w:i/>
          <w:iCs/>
        </w:rPr>
        <w:t>magistro G.</w:t>
      </w:r>
      <w:r>
        <w:t>, who has been identified with the translator Gerard of Cremona.</w:t>
      </w:r>
      <w:r>
        <w:rPr>
          <w:rStyle w:val="FootnoteReference"/>
        </w:rPr>
        <w:footnoteReference w:id="90"/>
      </w:r>
      <w:r>
        <w:t xml:space="preserve"> Another codex from Uppsala reports in full “a magistro Gerhardo Cremonese translata</w:t>
      </w:r>
      <w:r w:rsidR="007B402C">
        <w:t>;</w:t>
      </w:r>
      <w:r>
        <w:t xml:space="preserve">” this is a noteworthy indication despite the fact that the text only contains extracts of the </w:t>
      </w:r>
      <w:r w:rsidRPr="006F6EE6">
        <w:rPr>
          <w:i/>
          <w:iCs/>
        </w:rPr>
        <w:t>Estimaverunt Indi</w:t>
      </w:r>
      <w:r>
        <w:t>.</w:t>
      </w:r>
      <w:r>
        <w:rPr>
          <w:rStyle w:val="FootnoteReference"/>
        </w:rPr>
        <w:footnoteReference w:id="91"/>
      </w:r>
      <w:r>
        <w:t xml:space="preserve"> Nevertheless, both attributions are based on scant evidence and the editors of the text consider it anonymous.</w:t>
      </w:r>
      <w:r>
        <w:rPr>
          <w:rStyle w:val="FootnoteReference"/>
        </w:rPr>
        <w:footnoteReference w:id="92"/>
      </w:r>
      <w:r>
        <w:t xml:space="preserve"> The Arabic author of the text remains unknown as well. In some of the extant manuscripts he is identified as a certain </w:t>
      </w:r>
      <w:r w:rsidRPr="00935595">
        <w:rPr>
          <w:i/>
          <w:iCs/>
        </w:rPr>
        <w:t>Alatrabulucus</w:t>
      </w:r>
      <w:r>
        <w:t xml:space="preserve">, who could be identified as </w:t>
      </w:r>
      <w:r w:rsidRPr="006F4681">
        <w:t>al-</w:t>
      </w:r>
      <w:r>
        <w:t>Ṭarābulūsī</w:t>
      </w:r>
      <w:r w:rsidR="00C134CA">
        <w:t xml:space="preserve"> (from </w:t>
      </w:r>
      <w:r w:rsidR="00C134CA">
        <w:lastRenderedPageBreak/>
        <w:t>Tripoli)</w:t>
      </w:r>
      <w:r>
        <w:t>, but recent studies have not brought to light any proof of the existence of such a character.</w:t>
      </w:r>
      <w:r>
        <w:rPr>
          <w:rStyle w:val="FootnoteReference"/>
        </w:rPr>
        <w:footnoteReference w:id="93"/>
      </w:r>
      <w:r>
        <w:t xml:space="preserve"> Among </w:t>
      </w:r>
      <w:r w:rsidR="006B4AB7">
        <w:t>lesser-known</w:t>
      </w:r>
      <w:r>
        <w:t xml:space="preserve"> works of geomancy translated into Latin there is a treatise on geomancy translated by Salio of Padua, astrologer at the service of Ezzelino da Romano and author of </w:t>
      </w:r>
      <w:r w:rsidR="00C134CA">
        <w:t>an</w:t>
      </w:r>
      <w:r>
        <w:t>other two translations from Arabic. The text survives in two manuscripts, one preserved in Paris at the B</w:t>
      </w:r>
      <w:r w:rsidRPr="00DA1F08">
        <w:t xml:space="preserve">ibliothèque </w:t>
      </w:r>
      <w:r>
        <w:t>N</w:t>
      </w:r>
      <w:r w:rsidRPr="00DA1F08">
        <w:t>ationale</w:t>
      </w:r>
      <w:r>
        <w:t xml:space="preserve"> de France, the other in Kassel. According to both manuscripts the translation was completed in Toledo by a ‘</w:t>
      </w:r>
      <w:r w:rsidRPr="00DA1F08">
        <w:rPr>
          <w:i/>
          <w:iCs/>
        </w:rPr>
        <w:t>magistro Salione</w:t>
      </w:r>
      <w:r w:rsidR="002A03C5">
        <w:rPr>
          <w:i/>
          <w:iCs/>
        </w:rPr>
        <w:t>.</w:t>
      </w:r>
      <w:r w:rsidRPr="00DA1F08">
        <w:t>’</w:t>
      </w:r>
      <w:r>
        <w:t xml:space="preserve"> While according to Kassel we are dealing with a translation from Arabic, the Paris codex presents it as a translation from a Hebrew original; in both exemplars, the author is indicated as a certain Salcharie/Zacharie Albasarith.</w:t>
      </w:r>
      <w:r>
        <w:rPr>
          <w:rStyle w:val="FootnoteReference"/>
        </w:rPr>
        <w:footnoteReference w:id="94"/>
      </w:r>
      <w:r>
        <w:t xml:space="preserve"> Another noteworthy translation is that of the geomancy by ibn-Ma</w:t>
      </w:r>
      <w:r w:rsidR="00C134CA">
        <w:t>ḥ</w:t>
      </w:r>
      <w:r>
        <w:t>fūf, preserved in a small number of manuscripts in Latin, and in the original Arabic in one codex.</w:t>
      </w:r>
      <w:r>
        <w:rPr>
          <w:rStyle w:val="FootnoteReference"/>
        </w:rPr>
        <w:footnoteReference w:id="95"/>
      </w:r>
      <w:r>
        <w:t xml:space="preserve"> </w:t>
      </w:r>
    </w:p>
    <w:p w14:paraId="6657C3DF" w14:textId="746F9159" w:rsidR="008B64A3" w:rsidRDefault="008B64A3" w:rsidP="008B64A3">
      <w:r>
        <w:t>T</w:t>
      </w:r>
      <w:r w:rsidRPr="005F5020">
        <w:t xml:space="preserve">he presented account regarding the introduction of geomancy in </w:t>
      </w:r>
      <w:r w:rsidR="0087252B">
        <w:t>Europe</w:t>
      </w:r>
      <w:r w:rsidRPr="005F5020">
        <w:t xml:space="preserve"> does not purport to be exhaustive; however, it provides a </w:t>
      </w:r>
      <w:r w:rsidR="00E83321" w:rsidRPr="005F5020">
        <w:t>broad</w:t>
      </w:r>
      <w:r w:rsidRPr="005F5020">
        <w:t xml:space="preserve"> overview of the role of geomancy within the twelfth-century translation movement. It is essential to acknowledge that the </w:t>
      </w:r>
      <w:r w:rsidR="00764116">
        <w:t>people</w:t>
      </w:r>
      <w:r w:rsidRPr="005F5020">
        <w:t xml:space="preserve"> responsible for these translations, despite their subsequent reputation, were primarily individuals skilled in the art of translation. There is insufficient evidence to suggest that any of these scholars themselves practiced geomancy. Hence, it is plausible to argue that their decision to translate these texts stemmed primarily from the intellectual curiosity that permeated the broader translation movement. Considering that the translation of geomantic works into Latin was a novel endeavour at the time, it is unlikely that the translators themselves possessed a profound understanding of the subject matter they were translating. </w:t>
      </w:r>
      <w:r w:rsidRPr="005F5020">
        <w:lastRenderedPageBreak/>
        <w:t xml:space="preserve">Additionally, since </w:t>
      </w:r>
      <w:r w:rsidR="00C1504B">
        <w:t>many of these</w:t>
      </w:r>
      <w:r w:rsidRPr="005F5020">
        <w:t xml:space="preserve"> texts were intended for readers already well-versed in the intricacies of geomantic knowledge, it is improbable that a translator would have acquired substantial proficiency in geomancy after translating a single work. </w:t>
      </w:r>
      <w:r w:rsidR="00F11C93">
        <w:t>Despite</w:t>
      </w:r>
      <w:r w:rsidRPr="005F5020">
        <w:t xml:space="preserve"> the translators</w:t>
      </w:r>
      <w:r w:rsidR="00447D90">
        <w:t>’</w:t>
      </w:r>
      <w:r w:rsidRPr="005F5020">
        <w:t xml:space="preserve"> motivations being rooted in scholarly curiosity, it is evident that geomancy gained significant traction and became actively practiced in Latin </w:t>
      </w:r>
      <w:r w:rsidR="0087252B">
        <w:t>Europe</w:t>
      </w:r>
      <w:r w:rsidRPr="005F5020">
        <w:t xml:space="preserve"> subsequent to these translations. It is important to underscore the distinction between translators and practitioners, as it sets the stage for the </w:t>
      </w:r>
      <w:r>
        <w:t>following</w:t>
      </w:r>
      <w:r w:rsidRPr="005F5020">
        <w:t xml:space="preserve"> section of this chapter, which delves into Latin authors and practitioners of the art of geomancy.</w:t>
      </w:r>
    </w:p>
    <w:p w14:paraId="565CA0AC" w14:textId="77777777" w:rsidR="006E07BF" w:rsidRDefault="006E07BF" w:rsidP="008B64A3"/>
    <w:p w14:paraId="7CBF62AE" w14:textId="07C4F474" w:rsidR="008B64A3" w:rsidRPr="006E07BF" w:rsidRDefault="008B64A3" w:rsidP="006E07BF">
      <w:pPr>
        <w:pStyle w:val="Heading2"/>
        <w:ind w:firstLine="0"/>
        <w:rPr>
          <w:rFonts w:asciiTheme="majorBidi" w:hAnsiTheme="majorBidi"/>
          <w:sz w:val="20"/>
          <w:szCs w:val="20"/>
        </w:rPr>
      </w:pPr>
      <w:bookmarkStart w:id="32" w:name="_Toc165108635"/>
      <w:r w:rsidRPr="006E07BF">
        <w:rPr>
          <w:rFonts w:asciiTheme="majorBidi" w:hAnsiTheme="majorBidi"/>
          <w:color w:val="auto"/>
          <w:sz w:val="20"/>
          <w:szCs w:val="20"/>
        </w:rPr>
        <w:t>I.</w:t>
      </w:r>
      <w:r w:rsidR="00E213BA">
        <w:rPr>
          <w:rFonts w:asciiTheme="majorBidi" w:hAnsiTheme="majorBidi"/>
          <w:color w:val="auto"/>
          <w:sz w:val="20"/>
          <w:szCs w:val="20"/>
        </w:rPr>
        <w:t>3</w:t>
      </w:r>
      <w:r w:rsidRPr="006E07BF">
        <w:rPr>
          <w:rFonts w:asciiTheme="majorBidi" w:hAnsiTheme="majorBidi"/>
          <w:color w:val="auto"/>
          <w:sz w:val="20"/>
          <w:szCs w:val="20"/>
        </w:rPr>
        <w:t xml:space="preserve"> THE DIFFUSION OF GEOMANCY IN EUROPE</w:t>
      </w:r>
      <w:bookmarkEnd w:id="32"/>
    </w:p>
    <w:p w14:paraId="5539BB46" w14:textId="77777777" w:rsidR="008B64A3" w:rsidRDefault="008B64A3" w:rsidP="008B64A3">
      <w:pPr>
        <w:rPr>
          <w:sz w:val="20"/>
          <w:szCs w:val="20"/>
        </w:rPr>
      </w:pPr>
    </w:p>
    <w:p w14:paraId="22D25542" w14:textId="590A2BE3" w:rsidR="008B64A3" w:rsidRPr="006E07BF" w:rsidRDefault="008B64A3" w:rsidP="006E07BF">
      <w:pPr>
        <w:pStyle w:val="Heading3"/>
        <w:ind w:firstLine="0"/>
        <w:rPr>
          <w:rFonts w:asciiTheme="majorBidi" w:hAnsiTheme="majorBidi"/>
          <w:b/>
          <w:bCs/>
          <w:color w:val="auto"/>
        </w:rPr>
      </w:pPr>
      <w:bookmarkStart w:id="33" w:name="_Toc165108636"/>
      <w:r w:rsidRPr="006E07BF">
        <w:rPr>
          <w:rFonts w:asciiTheme="majorBidi" w:hAnsiTheme="majorBidi"/>
          <w:b/>
          <w:bCs/>
          <w:color w:val="auto"/>
        </w:rPr>
        <w:t xml:space="preserve">Authors and </w:t>
      </w:r>
      <w:r w:rsidR="00491102">
        <w:rPr>
          <w:rFonts w:asciiTheme="majorBidi" w:hAnsiTheme="majorBidi"/>
          <w:b/>
          <w:bCs/>
          <w:color w:val="auto"/>
        </w:rPr>
        <w:t>p</w:t>
      </w:r>
      <w:r w:rsidRPr="006E07BF">
        <w:rPr>
          <w:rFonts w:asciiTheme="majorBidi" w:hAnsiTheme="majorBidi"/>
          <w:b/>
          <w:bCs/>
          <w:color w:val="auto"/>
        </w:rPr>
        <w:t>ractitioners</w:t>
      </w:r>
      <w:bookmarkEnd w:id="33"/>
      <w:r w:rsidRPr="006E07BF">
        <w:rPr>
          <w:rFonts w:asciiTheme="majorBidi" w:hAnsiTheme="majorBidi"/>
          <w:b/>
          <w:bCs/>
          <w:color w:val="auto"/>
        </w:rPr>
        <w:t xml:space="preserve"> </w:t>
      </w:r>
    </w:p>
    <w:p w14:paraId="7A1D7CDF" w14:textId="77777777" w:rsidR="008B64A3" w:rsidRDefault="008B64A3" w:rsidP="008B64A3">
      <w:pPr>
        <w:ind w:firstLine="0"/>
        <w:rPr>
          <w:i/>
          <w:iCs/>
        </w:rPr>
      </w:pPr>
    </w:p>
    <w:p w14:paraId="584C642E" w14:textId="4EA85624" w:rsidR="008B64A3" w:rsidRDefault="008B64A3" w:rsidP="008B64A3">
      <w:pPr>
        <w:ind w:firstLine="0"/>
      </w:pPr>
      <w:r>
        <w:tab/>
      </w:r>
      <w:r w:rsidRPr="00DC190C">
        <w:t xml:space="preserve"> The advent of Arabic geomancy in </w:t>
      </w:r>
      <w:r w:rsidR="0087252B" w:rsidRPr="00DC190C">
        <w:t>medieval Europe</w:t>
      </w:r>
      <w:r w:rsidRPr="00DC190C">
        <w:t xml:space="preserve">, </w:t>
      </w:r>
      <w:r w:rsidR="00BB0F88" w:rsidRPr="00DC190C">
        <w:t>enabled</w:t>
      </w:r>
      <w:r w:rsidRPr="00DC190C">
        <w:t xml:space="preserve"> by the endeavours of Latin translators, </w:t>
      </w:r>
      <w:r w:rsidR="00157B3C" w:rsidRPr="00DC190C">
        <w:t>caused</w:t>
      </w:r>
      <w:r w:rsidRPr="00DC190C">
        <w:t xml:space="preserve"> a remarkable surge in its popularity within medieval culture. This claim finds substantiation in several noteworthy facets: the substantial abundance of surviving geomantic manuscripts</w:t>
      </w:r>
      <w:r w:rsidR="00E8429E" w:rsidRPr="00DC190C">
        <w:t xml:space="preserve"> –</w:t>
      </w:r>
      <w:r w:rsidRPr="00DC190C">
        <w:t xml:space="preserve"> estimated at approximately 150 manuscripts according to Charmasson</w:t>
      </w:r>
      <w:r w:rsidR="00E8429E" w:rsidRPr="00DC190C">
        <w:t xml:space="preserve"> –, but also their circulation,</w:t>
      </w:r>
      <w:r w:rsidRPr="00DC190C">
        <w:t xml:space="preserve"> the inclusion of geomantic texts in medieval library catalogues</w:t>
      </w:r>
      <w:r w:rsidR="00E8429E" w:rsidRPr="00DC190C">
        <w:t>,</w:t>
      </w:r>
      <w:r w:rsidRPr="00DC190C">
        <w:t xml:space="preserve"> the association of renowned individuals with these texts</w:t>
      </w:r>
      <w:r w:rsidR="00E8429E" w:rsidRPr="00DC190C">
        <w:t>,</w:t>
      </w:r>
      <w:r w:rsidRPr="00DC190C">
        <w:t xml:space="preserve"> explicit references to geomancy within anti-divination literature</w:t>
      </w:r>
      <w:r w:rsidR="00E8429E" w:rsidRPr="00DC190C">
        <w:t>,</w:t>
      </w:r>
      <w:r w:rsidRPr="00DC190C">
        <w:t xml:space="preserve"> and the utilisation of geomantic concepts within literary compositions.</w:t>
      </w:r>
      <w:r w:rsidR="00E8429E" w:rsidRPr="00DC190C">
        <w:rPr>
          <w:rStyle w:val="FootnoteReference"/>
        </w:rPr>
        <w:footnoteReference w:id="96"/>
      </w:r>
      <w:r w:rsidR="00665203" w:rsidRPr="00665203">
        <w:rPr>
          <w:color w:val="FF0000"/>
        </w:rPr>
        <w:t xml:space="preserve"> </w:t>
      </w:r>
      <w:r w:rsidRPr="007E246F">
        <w:t>The dissemination and utili</w:t>
      </w:r>
      <w:r>
        <w:t>s</w:t>
      </w:r>
      <w:r w:rsidRPr="007E246F">
        <w:t xml:space="preserve">ation of these initial Arabic translations </w:t>
      </w:r>
      <w:r w:rsidRPr="007E246F">
        <w:lastRenderedPageBreak/>
        <w:t xml:space="preserve">engendered the emergence of a distinct geomantic tradition in both Latin and vernacular languages. Complementing the translations explored earlier in this chapter, a significant corpus of treatises and compilations pertaining to the science of geomancy composed by </w:t>
      </w:r>
      <w:r w:rsidR="00890245">
        <w:t>Latin</w:t>
      </w:r>
      <w:r w:rsidRPr="007E246F">
        <w:t xml:space="preserve"> authors </w:t>
      </w:r>
      <w:r w:rsidR="00157B3C">
        <w:t>was produced from the twelfth century onwards</w:t>
      </w:r>
      <w:r w:rsidRPr="007E246F">
        <w:t>.</w:t>
      </w:r>
      <w:r w:rsidR="000921B8">
        <w:rPr>
          <w:rStyle w:val="FootnoteReference"/>
        </w:rPr>
        <w:footnoteReference w:id="97"/>
      </w:r>
    </w:p>
    <w:p w14:paraId="05AC2B94" w14:textId="633F1110" w:rsidR="008B64A3" w:rsidRDefault="008B64A3" w:rsidP="008B64A3">
      <w:r>
        <w:t xml:space="preserve">Among these, one of the better known is a </w:t>
      </w:r>
      <w:r w:rsidRPr="004029A4">
        <w:rPr>
          <w:i/>
          <w:iCs/>
        </w:rPr>
        <w:t>Geomantia</w:t>
      </w:r>
      <w:r>
        <w:t xml:space="preserve"> ascribed to the Dominican William of Moerbeke (1215-1286 AD), a prolific translator from Greek of philosophical and scientific texts, appointed archbishop of Corinth and Papal penitentiary in the cities of Orvieto and Viterbo.</w:t>
      </w:r>
      <w:r>
        <w:rPr>
          <w:rStyle w:val="FootnoteReference"/>
        </w:rPr>
        <w:footnoteReference w:id="98"/>
      </w:r>
      <w:r>
        <w:t xml:space="preserve"> This text is preserved in fifteen manuscripts, of which thirteen explicitly attribute the text to Moerbeke, with the other two being anonymous.</w:t>
      </w:r>
      <w:r>
        <w:rPr>
          <w:rStyle w:val="FootnoteReference"/>
        </w:rPr>
        <w:footnoteReference w:id="99"/>
      </w:r>
      <w:r>
        <w:t xml:space="preserve"> Despite this fact, the attribution of this geomantic treatise to the Dominican friar has been debated and often rejected</w:t>
      </w:r>
      <w:r w:rsidR="00C8670E">
        <w:t>,</w:t>
      </w:r>
      <w:r>
        <w:rPr>
          <w:rStyle w:val="FootnoteReference"/>
        </w:rPr>
        <w:footnoteReference w:id="100"/>
      </w:r>
      <w:r>
        <w:t xml:space="preserve"> </w:t>
      </w:r>
      <w:r w:rsidR="00C8670E">
        <w:t>though</w:t>
      </w:r>
      <w:r>
        <w:t xml:space="preserve"> the editors</w:t>
      </w:r>
      <w:r w:rsidR="00C8670E">
        <w:t xml:space="preserve"> </w:t>
      </w:r>
      <w:r>
        <w:t xml:space="preserve">of the </w:t>
      </w:r>
      <w:r w:rsidRPr="0045153C">
        <w:rPr>
          <w:i/>
          <w:iCs/>
        </w:rPr>
        <w:t>Geomantia</w:t>
      </w:r>
      <w:r>
        <w:t xml:space="preserve"> support its attribution to Moerbeke.</w:t>
      </w:r>
      <w:r>
        <w:rPr>
          <w:rStyle w:val="FootnoteReference"/>
        </w:rPr>
        <w:footnoteReference w:id="101"/>
      </w:r>
      <w:r>
        <w:t xml:space="preserve"> </w:t>
      </w:r>
      <w:r>
        <w:lastRenderedPageBreak/>
        <w:t xml:space="preserve">The </w:t>
      </w:r>
      <w:r w:rsidRPr="00E45210">
        <w:rPr>
          <w:i/>
          <w:iCs/>
        </w:rPr>
        <w:t>Geomantia</w:t>
      </w:r>
      <w:r>
        <w:t xml:space="preserve"> is a </w:t>
      </w:r>
      <w:r w:rsidRPr="0065380D">
        <w:t>compilation</w:t>
      </w:r>
      <w:r>
        <w:t xml:space="preserve">, and the author indicated explicitly some of the sources he used, among which are the </w:t>
      </w:r>
      <w:r w:rsidRPr="001F3835">
        <w:rPr>
          <w:i/>
          <w:iCs/>
        </w:rPr>
        <w:t>Rerum opifex</w:t>
      </w:r>
      <w:r>
        <w:t xml:space="preserve"> of Hugo Sanctelliensis and the </w:t>
      </w:r>
      <w:r w:rsidRPr="001F3835">
        <w:rPr>
          <w:i/>
          <w:iCs/>
        </w:rPr>
        <w:t>Estimaverunt Indi</w:t>
      </w:r>
      <w:r>
        <w:t>.</w:t>
      </w:r>
      <w:r>
        <w:rPr>
          <w:rStyle w:val="FootnoteReference"/>
        </w:rPr>
        <w:footnoteReference w:id="102"/>
      </w:r>
      <w:r>
        <w:t xml:space="preserve"> Unlike many of the first geomantic texts that were made available into Latin, the </w:t>
      </w:r>
      <w:r w:rsidRPr="006039B5">
        <w:rPr>
          <w:i/>
          <w:iCs/>
        </w:rPr>
        <w:t>Geomantia</w:t>
      </w:r>
      <w:r>
        <w:t xml:space="preserve"> attributed to Moerbeke is quite lengthy and aims at clarifying the epistemological premises of the geomantic art. The text elucidates the status of the science of the sand and on the relationship between earth, heavens and the human soul, on which the efficacy of this practice is based.</w:t>
      </w:r>
      <w:r>
        <w:rPr>
          <w:rStyle w:val="FootnoteReference"/>
        </w:rPr>
        <w:footnoteReference w:id="103"/>
      </w:r>
    </w:p>
    <w:p w14:paraId="391091B3" w14:textId="5303361A" w:rsidR="008B64A3" w:rsidRDefault="008B64A3" w:rsidP="008B64A3">
      <w:r w:rsidRPr="007701FE">
        <w:t>Among the</w:t>
      </w:r>
      <w:r w:rsidR="00D36B20">
        <w:t xml:space="preserve"> most</w:t>
      </w:r>
      <w:r w:rsidRPr="007701FE">
        <w:t xml:space="preserve"> extensive and comprehensive medieval treatises on geomancy, one notable work is the </w:t>
      </w:r>
      <w:r w:rsidRPr="00447228">
        <w:rPr>
          <w:i/>
          <w:iCs/>
        </w:rPr>
        <w:t>Summa</w:t>
      </w:r>
      <w:r w:rsidRPr="007701FE">
        <w:t xml:space="preserve">, or </w:t>
      </w:r>
      <w:r w:rsidRPr="00447228">
        <w:rPr>
          <w:i/>
          <w:iCs/>
        </w:rPr>
        <w:t>Ars geomantiae</w:t>
      </w:r>
      <w:r w:rsidRPr="007701FE">
        <w:t>, authored by Bartholomew of Parma in 1288. Unfortunately, there is limited information available regarding Bartholomew. It is known that he was an astrologer and geomancer who primarily operated in Bologna during the latter part of the thirteenth century. His extensive geomantic treatise exists in three manuscripts dating from the thirteenth to the fifteenth century</w:t>
      </w:r>
      <w:r>
        <w:t>.</w:t>
      </w:r>
      <w:r>
        <w:rPr>
          <w:rStyle w:val="FootnoteReference"/>
        </w:rPr>
        <w:footnoteReference w:id="104"/>
      </w:r>
      <w:r>
        <w:t xml:space="preserve"> It was specifically written for Theodosius of Flisco, the bishop of Reggio. In his </w:t>
      </w:r>
      <w:r w:rsidRPr="007701FE">
        <w:rPr>
          <w:i/>
          <w:iCs/>
        </w:rPr>
        <w:t>Ars geomantiae</w:t>
      </w:r>
      <w:r>
        <w:t xml:space="preserve">, Bartholomew drew upon similar sources as Moerbeke, making explicit references to the treatises </w:t>
      </w:r>
      <w:r w:rsidRPr="007701FE">
        <w:rPr>
          <w:i/>
          <w:iCs/>
        </w:rPr>
        <w:t>Rerum opifex</w:t>
      </w:r>
      <w:r>
        <w:t xml:space="preserve"> by Hugo Sanctelliensis, </w:t>
      </w:r>
      <w:r w:rsidRPr="007701FE">
        <w:rPr>
          <w:i/>
          <w:iCs/>
        </w:rPr>
        <w:t>Si de statu corporis</w:t>
      </w:r>
      <w:r>
        <w:t xml:space="preserve"> by Gerard of Cremona, and the anonymous </w:t>
      </w:r>
      <w:r w:rsidRPr="007701FE">
        <w:rPr>
          <w:i/>
          <w:iCs/>
        </w:rPr>
        <w:t>Estimaverunt indi</w:t>
      </w:r>
      <w:r>
        <w:t xml:space="preserve">. Scholars such as Thorndike and Charmasson regard the </w:t>
      </w:r>
      <w:r w:rsidRPr="007701FE">
        <w:rPr>
          <w:i/>
          <w:iCs/>
        </w:rPr>
        <w:t>Ars geomantiae</w:t>
      </w:r>
      <w:r>
        <w:t xml:space="preserve"> as one of the most lucid and comprehensive medieval works on geomancy.</w:t>
      </w:r>
      <w:r>
        <w:rPr>
          <w:rStyle w:val="FootnoteReference"/>
        </w:rPr>
        <w:footnoteReference w:id="105"/>
      </w:r>
      <w:r>
        <w:t xml:space="preserve"> </w:t>
      </w:r>
      <w:r w:rsidRPr="007701FE">
        <w:t xml:space="preserve">Bartholomew displayed a thorough understanding of the contemporary geomantic literature, as evidenced by his references to the </w:t>
      </w:r>
      <w:r w:rsidRPr="007701FE">
        <w:lastRenderedPageBreak/>
        <w:t xml:space="preserve">aforementioned texts. Additionally, he included </w:t>
      </w:r>
      <w:r w:rsidR="00FB244C" w:rsidRPr="007701FE">
        <w:t>anec</w:t>
      </w:r>
      <w:r w:rsidR="00FB244C">
        <w:t>dotes</w:t>
      </w:r>
      <w:r w:rsidRPr="007701FE">
        <w:t>, provided tables illustrating the various correspondences of geomantic figures, and cited authorities from Greek, Arab, and Indian sources</w:t>
      </w:r>
      <w:r>
        <w:t>.</w:t>
      </w:r>
      <w:r>
        <w:rPr>
          <w:rStyle w:val="FootnoteReference"/>
        </w:rPr>
        <w:footnoteReference w:id="106"/>
      </w:r>
      <w:r>
        <w:t xml:space="preserve"> </w:t>
      </w:r>
      <w:r w:rsidRPr="007701FE">
        <w:t xml:space="preserve">Bartholomew is also </w:t>
      </w:r>
      <w:r w:rsidR="00417592">
        <w:t>credited</w:t>
      </w:r>
      <w:r w:rsidRPr="007701FE">
        <w:t xml:space="preserve"> with two other works on geomancy. One, known as </w:t>
      </w:r>
      <w:r w:rsidRPr="007701FE">
        <w:rPr>
          <w:i/>
          <w:iCs/>
        </w:rPr>
        <w:t>Breviloquium</w:t>
      </w:r>
      <w:r w:rsidRPr="007701FE">
        <w:t xml:space="preserve">, was written in 1294, while the other, titled </w:t>
      </w:r>
      <w:r w:rsidRPr="007701FE">
        <w:rPr>
          <w:i/>
          <w:iCs/>
        </w:rPr>
        <w:t>Verba collecta</w:t>
      </w:r>
      <w:r w:rsidRPr="007701FE">
        <w:t xml:space="preserve">, was </w:t>
      </w:r>
      <w:r>
        <w:t>completed</w:t>
      </w:r>
      <w:r w:rsidRPr="007701FE">
        <w:t xml:space="preserve"> in 1295</w:t>
      </w:r>
      <w:r>
        <w:t>.</w:t>
      </w:r>
      <w:r>
        <w:rPr>
          <w:rStyle w:val="FootnoteReference"/>
        </w:rPr>
        <w:footnoteReference w:id="107"/>
      </w:r>
      <w:r w:rsidRPr="007701FE">
        <w:t xml:space="preserve"> These shorter texts offer a more concise exposition of the art of geomancy and appear to be derived from the </w:t>
      </w:r>
      <w:r w:rsidRPr="007701FE">
        <w:rPr>
          <w:i/>
          <w:iCs/>
        </w:rPr>
        <w:t>Ars geomantiae</w:t>
      </w:r>
      <w:r w:rsidRPr="007701FE">
        <w:t>, with Bartholomew extracting the essential elements for their composition</w:t>
      </w:r>
      <w:r>
        <w:t>.</w:t>
      </w:r>
      <w:r>
        <w:rPr>
          <w:rStyle w:val="FootnoteReference"/>
        </w:rPr>
        <w:footnoteReference w:id="108"/>
      </w:r>
    </w:p>
    <w:p w14:paraId="4BB25E10" w14:textId="1E37E2C3" w:rsidR="008B64A3" w:rsidRDefault="008B64A3" w:rsidP="008B64A3">
      <w:r w:rsidRPr="00C72F06">
        <w:t>Rolandus Scriptoris, a fifteenth-century physician and astrologer, stands as another Latin author who delved into the realm of geomancy. Historical records indicate that he pursued studies in both the Faculty of Arts and the Faculty of Medicine at the University of Paris, ultimately obtaining his medical license in 1424. In addition to his medical profession, Rolandus held various ecclesiastical positions, including that of canon at the Sainte-Chapelle in Paris from 1430 and dean at the church of Saint-Donat in Bruges from 1442</w:t>
      </w:r>
      <w:r>
        <w:t>.</w:t>
      </w:r>
      <w:r>
        <w:rPr>
          <w:rStyle w:val="FootnoteReference"/>
        </w:rPr>
        <w:footnoteReference w:id="109"/>
      </w:r>
      <w:r>
        <w:t xml:space="preserve"> His work on geomancy is known as the </w:t>
      </w:r>
      <w:r w:rsidRPr="00A23033">
        <w:rPr>
          <w:i/>
          <w:iCs/>
        </w:rPr>
        <w:t>Aggregatorium</w:t>
      </w:r>
      <w:r>
        <w:t xml:space="preserve">, or </w:t>
      </w:r>
      <w:r w:rsidRPr="00A23033">
        <w:rPr>
          <w:i/>
          <w:iCs/>
        </w:rPr>
        <w:t>Compilatorium</w:t>
      </w:r>
      <w:r>
        <w:t>.</w:t>
      </w:r>
      <w:r>
        <w:rPr>
          <w:rStyle w:val="FootnoteReference"/>
        </w:rPr>
        <w:footnoteReference w:id="110"/>
      </w:r>
      <w:r>
        <w:t xml:space="preserve"> </w:t>
      </w:r>
      <w:r w:rsidRPr="00C72F06">
        <w:t>Similar to numerous other geomantic texts, Rolandus</w:t>
      </w:r>
      <w:r w:rsidR="00D177C1">
        <w:t>’</w:t>
      </w:r>
      <w:r w:rsidRPr="00C72F06">
        <w:t xml:space="preserve">s work assumes a certain level of proficiency in geomantic arts among its readers. Within the </w:t>
      </w:r>
      <w:r w:rsidRPr="00C72F06">
        <w:rPr>
          <w:i/>
          <w:iCs/>
        </w:rPr>
        <w:t>Aggregatorium</w:t>
      </w:r>
      <w:r w:rsidRPr="00C72F06">
        <w:t xml:space="preserve">, Rolandus enumerates authorities in the field, including Gerard of Cremona, William of Moerbeke, and Bartholomew of Parma, thereby affirming the renowned stature of these authors and their contributions to medieval geomantic culture. Notably, an </w:t>
      </w:r>
      <w:r>
        <w:t>interesting</w:t>
      </w:r>
      <w:r w:rsidRPr="00C72F06">
        <w:t xml:space="preserve"> passage in the </w:t>
      </w:r>
      <w:r w:rsidRPr="00C72F06">
        <w:rPr>
          <w:i/>
          <w:iCs/>
        </w:rPr>
        <w:t>Compilatorium</w:t>
      </w:r>
      <w:r w:rsidRPr="00C72F06">
        <w:t xml:space="preserve"> explores the essential qualities required for one to excel as a geomancer. These qualities encompass </w:t>
      </w:r>
      <w:r w:rsidRPr="00C72F06">
        <w:lastRenderedPageBreak/>
        <w:t>possessing a melancholic temperament, a well-balanced constitution in the faculty responsible for imagination, and a commitment to nurturing these inherent predispositions</w:t>
      </w:r>
      <w:r>
        <w:t>.</w:t>
      </w:r>
      <w:r>
        <w:rPr>
          <w:rStyle w:val="FootnoteReference"/>
        </w:rPr>
        <w:footnoteReference w:id="111"/>
      </w:r>
    </w:p>
    <w:p w14:paraId="14CF6415" w14:textId="77777777" w:rsidR="008B64A3" w:rsidRDefault="008B64A3" w:rsidP="008B64A3">
      <w:r w:rsidRPr="004C263E">
        <w:t>The late medieval period witnessed a substantial proliferation of Latin compilations devoted to the subject of geomancy. These compilations were accompanied by an equally abundant array of vernacular translations of the prominent geomantic treatises mentioned earlier</w:t>
      </w:r>
      <w:r>
        <w:t>.</w:t>
      </w:r>
      <w:r>
        <w:rPr>
          <w:rStyle w:val="FootnoteReference"/>
        </w:rPr>
        <w:footnoteReference w:id="112"/>
      </w:r>
      <w:r>
        <w:t xml:space="preserve"> </w:t>
      </w:r>
      <w:r w:rsidRPr="004C263E">
        <w:t>Furthermore, many vernacular texts on geomancy emerged as distinct compositions, including</w:t>
      </w:r>
      <w:r>
        <w:t xml:space="preserve"> a geomantic poem in Provençal dialect,</w:t>
      </w:r>
      <w:r>
        <w:rPr>
          <w:rStyle w:val="FootnoteReference"/>
        </w:rPr>
        <w:footnoteReference w:id="113"/>
      </w:r>
      <w:r>
        <w:t xml:space="preserve"> and other geomantic tracts in Middle English, French and Italian.</w:t>
      </w:r>
      <w:r>
        <w:rPr>
          <w:rStyle w:val="FootnoteReference"/>
        </w:rPr>
        <w:footnoteReference w:id="114"/>
      </w:r>
      <w:r>
        <w:t xml:space="preserve"> </w:t>
      </w:r>
      <w:r w:rsidRPr="00B40049">
        <w:t>Among the authors previously discussed, one was identified as a friar and translator, another as an astrologer and geomancer, and the latter as a canon, medical doctor, and astrologer. If these attributions prove accurate, they highlight the diverse range of disciplines that found relevance in the study of geomancy within medieval culture. Such attributions also underscore its extensive diffusion across various scientific and social domains.</w:t>
      </w:r>
    </w:p>
    <w:p w14:paraId="733F2C0E" w14:textId="77777777" w:rsidR="008B64A3" w:rsidRDefault="008B64A3" w:rsidP="008B64A3"/>
    <w:p w14:paraId="5989F84A" w14:textId="49EA0C86" w:rsidR="008B64A3" w:rsidRPr="006E07BF" w:rsidRDefault="008B64A3" w:rsidP="006E07BF">
      <w:pPr>
        <w:pStyle w:val="Heading3"/>
        <w:ind w:firstLine="0"/>
        <w:rPr>
          <w:rFonts w:asciiTheme="majorBidi" w:hAnsiTheme="majorBidi"/>
          <w:b/>
          <w:bCs/>
          <w:color w:val="auto"/>
        </w:rPr>
      </w:pPr>
      <w:bookmarkStart w:id="35" w:name="_Toc165108637"/>
      <w:r w:rsidRPr="006E07BF">
        <w:rPr>
          <w:rFonts w:asciiTheme="majorBidi" w:hAnsiTheme="majorBidi"/>
          <w:b/>
          <w:bCs/>
          <w:color w:val="auto"/>
        </w:rPr>
        <w:t xml:space="preserve">Geomancy </w:t>
      </w:r>
      <w:r w:rsidR="008772F8">
        <w:rPr>
          <w:rFonts w:asciiTheme="majorBidi" w:hAnsiTheme="majorBidi"/>
          <w:b/>
          <w:bCs/>
          <w:color w:val="auto"/>
        </w:rPr>
        <w:t>discussed by</w:t>
      </w:r>
      <w:r w:rsidRPr="006E07BF">
        <w:rPr>
          <w:rFonts w:asciiTheme="majorBidi" w:hAnsiTheme="majorBidi"/>
          <w:b/>
          <w:bCs/>
          <w:color w:val="auto"/>
        </w:rPr>
        <w:t xml:space="preserve"> thirteenth-century intellectual elites</w:t>
      </w:r>
      <w:bookmarkEnd w:id="35"/>
    </w:p>
    <w:p w14:paraId="1D071B9B" w14:textId="77777777" w:rsidR="008B64A3" w:rsidRDefault="008B64A3" w:rsidP="008B64A3">
      <w:pPr>
        <w:ind w:firstLine="0"/>
        <w:rPr>
          <w:i/>
          <w:iCs/>
        </w:rPr>
      </w:pPr>
    </w:p>
    <w:p w14:paraId="34BAD24A" w14:textId="7C5095AF" w:rsidR="008B64A3" w:rsidRDefault="008B64A3" w:rsidP="008B64A3">
      <w:pPr>
        <w:pStyle w:val="ListBullet"/>
        <w:numPr>
          <w:ilvl w:val="0"/>
          <w:numId w:val="0"/>
        </w:numPr>
        <w:ind w:firstLine="567"/>
      </w:pPr>
      <w:r>
        <w:t xml:space="preserve">The significant presence and circulation of geomantic works in Late Medieval Europe is not the sole indicator of the prominence and widespread use of geomancy during this </w:t>
      </w:r>
      <w:r>
        <w:lastRenderedPageBreak/>
        <w:t xml:space="preserve">period. Another telling sign of its influence is </w:t>
      </w:r>
      <w:r w:rsidR="004D45A6">
        <w:t>the</w:t>
      </w:r>
      <w:r>
        <w:t xml:space="preserve"> </w:t>
      </w:r>
      <w:r w:rsidR="00A430F0">
        <w:t>presence</w:t>
      </w:r>
      <w:r w:rsidR="004D45A6">
        <w:t xml:space="preserve"> of geomancy</w:t>
      </w:r>
      <w:r>
        <w:t xml:space="preserve"> in the Scholastic debate concerning the legitimacy of divination. As briefly mentioned earlier in this chapter, while Hugo Sanctelliensis is believed to be one of the first to employ the term </w:t>
      </w:r>
      <w:r w:rsidRPr="00B40049">
        <w:rPr>
          <w:i/>
          <w:iCs/>
        </w:rPr>
        <w:t>geomantia</w:t>
      </w:r>
      <w:r>
        <w:t xml:space="preserve"> to describe the Arabic ‘science of the sand’, the Latin term had already been used to refer to a predictive method that relied on observing natural signs on the earth, such as earthquakes, to foresee the future. This usage can be found in early medieval encyclopaedic works, including Isidore of Seville’s </w:t>
      </w:r>
      <w:r w:rsidRPr="00B40049">
        <w:rPr>
          <w:i/>
          <w:iCs/>
        </w:rPr>
        <w:t>Etymologiae</w:t>
      </w:r>
      <w:r>
        <w:t xml:space="preserve"> from the </w:t>
      </w:r>
      <w:r w:rsidR="00F17C30">
        <w:t>seventh</w:t>
      </w:r>
      <w:r>
        <w:t xml:space="preserve"> century and Rabanus Maurus’ </w:t>
      </w:r>
      <w:r w:rsidRPr="00B40049">
        <w:rPr>
          <w:i/>
          <w:iCs/>
        </w:rPr>
        <w:t xml:space="preserve">De rerum naturis </w:t>
      </w:r>
      <w:r>
        <w:t xml:space="preserve">from the </w:t>
      </w:r>
      <w:r w:rsidR="00793F11">
        <w:t>eighth</w:t>
      </w:r>
      <w:r>
        <w:t xml:space="preserve"> century, alongside other elemental forms of divination such as aeromancy, pyromancy, and hydromancy. As</w:t>
      </w:r>
      <w:r w:rsidR="00111848">
        <w:t xml:space="preserve"> Alessandro</w:t>
      </w:r>
      <w:r>
        <w:t xml:space="preserve"> Palazzo has rightly observed, a shift can be detected in the categorisation of geomancy in encyclopaedic works compiled after the introduction of the ‘new geomancy’ in the </w:t>
      </w:r>
      <w:r w:rsidR="0087252B">
        <w:t xml:space="preserve">Latin </w:t>
      </w:r>
      <w:r>
        <w:t xml:space="preserve">world. An illustrative example is found in Dominicus Gundissalinus’ </w:t>
      </w:r>
      <w:r w:rsidRPr="00B40049">
        <w:rPr>
          <w:i/>
          <w:iCs/>
        </w:rPr>
        <w:t>De divisione philosophiae</w:t>
      </w:r>
      <w:r>
        <w:t>, composed between 1150 and 1160. In the following excerpt from the section dedicated to astro</w:t>
      </w:r>
      <w:r w:rsidR="001D7D18">
        <w:t>logy</w:t>
      </w:r>
      <w:r>
        <w:t>, Gundissalinus associated geomancy not only with elemental forms of divination but also with recently imported methods, such as chiromancy and scapulimancy. This repositioning within the encyclopaedic discourse signifies the evolving status and recognition of geomancy in relation to other divinatory practices during that period:</w:t>
      </w:r>
      <w:r>
        <w:rPr>
          <w:rStyle w:val="FootnoteReference"/>
        </w:rPr>
        <w:footnoteReference w:id="115"/>
      </w:r>
    </w:p>
    <w:p w14:paraId="7E223792" w14:textId="77777777" w:rsidR="008B64A3" w:rsidRDefault="008B64A3" w:rsidP="008B64A3">
      <w:pPr>
        <w:pStyle w:val="ListBullet"/>
        <w:numPr>
          <w:ilvl w:val="0"/>
          <w:numId w:val="0"/>
        </w:numPr>
        <w:ind w:left="567"/>
      </w:pPr>
    </w:p>
    <w:p w14:paraId="01BAE251" w14:textId="1AEE3066" w:rsidR="008B64A3" w:rsidRPr="00D73B7A" w:rsidRDefault="008B64A3" w:rsidP="008B64A3">
      <w:pPr>
        <w:pStyle w:val="ListBullet"/>
        <w:numPr>
          <w:ilvl w:val="0"/>
          <w:numId w:val="0"/>
        </w:numPr>
        <w:ind w:left="567"/>
        <w:rPr>
          <w:sz w:val="20"/>
          <w:szCs w:val="20"/>
        </w:rPr>
      </w:pPr>
      <w:r>
        <w:rPr>
          <w:sz w:val="20"/>
          <w:szCs w:val="20"/>
        </w:rPr>
        <w:t>[On astrology] Astrology (</w:t>
      </w:r>
      <w:r w:rsidRPr="00294A84">
        <w:rPr>
          <w:i/>
          <w:iCs/>
          <w:sz w:val="20"/>
          <w:szCs w:val="20"/>
        </w:rPr>
        <w:t>astronomia</w:t>
      </w:r>
      <w:r>
        <w:rPr>
          <w:sz w:val="20"/>
          <w:szCs w:val="20"/>
        </w:rPr>
        <w:t>)</w:t>
      </w:r>
      <w:r w:rsidRPr="00D73B7A">
        <w:rPr>
          <w:sz w:val="20"/>
          <w:szCs w:val="20"/>
        </w:rPr>
        <w:t xml:space="preserve"> is the science which describes the course and position of the stars according to the opinion of men for the knowledge of the times.</w:t>
      </w:r>
      <w:r>
        <w:rPr>
          <w:sz w:val="20"/>
          <w:szCs w:val="20"/>
        </w:rPr>
        <w:t xml:space="preserve"> </w:t>
      </w:r>
      <w:r w:rsidRPr="00D73B7A">
        <w:rPr>
          <w:sz w:val="20"/>
          <w:szCs w:val="20"/>
        </w:rPr>
        <w:t xml:space="preserve">It is a </w:t>
      </w:r>
      <w:r>
        <w:rPr>
          <w:sz w:val="20"/>
          <w:szCs w:val="20"/>
        </w:rPr>
        <w:t>species (</w:t>
      </w:r>
      <w:r w:rsidRPr="00F94A50">
        <w:rPr>
          <w:i/>
          <w:iCs/>
          <w:sz w:val="20"/>
          <w:szCs w:val="20"/>
        </w:rPr>
        <w:t>genus</w:t>
      </w:r>
      <w:r>
        <w:rPr>
          <w:sz w:val="20"/>
          <w:szCs w:val="20"/>
        </w:rPr>
        <w:t>)</w:t>
      </w:r>
      <w:r w:rsidRPr="00D73B7A">
        <w:rPr>
          <w:sz w:val="20"/>
          <w:szCs w:val="20"/>
        </w:rPr>
        <w:t>, because it is the science of judging according to the position of the planets and the</w:t>
      </w:r>
      <w:r w:rsidR="00B8342F">
        <w:rPr>
          <w:sz w:val="20"/>
          <w:szCs w:val="20"/>
        </w:rPr>
        <w:t xml:space="preserve"> zodiac</w:t>
      </w:r>
      <w:r w:rsidRPr="00D73B7A">
        <w:rPr>
          <w:sz w:val="20"/>
          <w:szCs w:val="20"/>
        </w:rPr>
        <w:t xml:space="preserve"> signs, as it should be. For since there are many sciences for judging the proposed question, such as geomancy, which is divination in the earth, hydromancy in water, aeromancy in the air, pyromancy in fire, palmistry in the hand, and many others, such as the science of divination by the flight and chatter of birds, or by the spatula of a ram and </w:t>
      </w:r>
      <w:r w:rsidRPr="00D73B7A">
        <w:rPr>
          <w:sz w:val="20"/>
          <w:szCs w:val="20"/>
        </w:rPr>
        <w:lastRenderedPageBreak/>
        <w:t xml:space="preserve">similar, this </w:t>
      </w:r>
      <w:bookmarkStart w:id="36" w:name="_Hlk124000897"/>
      <w:r w:rsidRPr="00D73B7A">
        <w:rPr>
          <w:sz w:val="20"/>
          <w:szCs w:val="20"/>
        </w:rPr>
        <w:t xml:space="preserve">is more worthy than the others, because it foretells </w:t>
      </w:r>
      <w:r>
        <w:rPr>
          <w:sz w:val="20"/>
          <w:szCs w:val="20"/>
        </w:rPr>
        <w:t xml:space="preserve">things that are to come on Earth </w:t>
      </w:r>
      <w:r w:rsidRPr="00D73B7A">
        <w:rPr>
          <w:sz w:val="20"/>
          <w:szCs w:val="20"/>
        </w:rPr>
        <w:t>from the disposition of the heavenly bodies</w:t>
      </w:r>
      <w:bookmarkEnd w:id="36"/>
      <w:r w:rsidRPr="00D73B7A">
        <w:rPr>
          <w:sz w:val="20"/>
          <w:szCs w:val="20"/>
        </w:rPr>
        <w:t>.</w:t>
      </w:r>
      <w:r>
        <w:rPr>
          <w:rStyle w:val="FootnoteReference"/>
          <w:sz w:val="20"/>
          <w:szCs w:val="20"/>
        </w:rPr>
        <w:footnoteReference w:id="116"/>
      </w:r>
    </w:p>
    <w:p w14:paraId="7988DDB7" w14:textId="77777777" w:rsidR="008B64A3" w:rsidRDefault="008B64A3" w:rsidP="008B64A3">
      <w:pPr>
        <w:pStyle w:val="ListBullet"/>
        <w:numPr>
          <w:ilvl w:val="0"/>
          <w:numId w:val="0"/>
        </w:numPr>
        <w:ind w:left="360" w:hanging="360"/>
        <w:rPr>
          <w:i/>
          <w:iCs/>
        </w:rPr>
      </w:pPr>
    </w:p>
    <w:p w14:paraId="12AEC0B4" w14:textId="0180EA54" w:rsidR="008B64A3" w:rsidRDefault="008B64A3" w:rsidP="008B64A3">
      <w:pPr>
        <w:pStyle w:val="ListBullet"/>
        <w:numPr>
          <w:ilvl w:val="0"/>
          <w:numId w:val="0"/>
        </w:numPr>
        <w:ind w:firstLine="720"/>
      </w:pPr>
      <w:r w:rsidRPr="00520152">
        <w:t xml:space="preserve">Further evidence of the widespread engagement with the new form of geomancy by influential </w:t>
      </w:r>
      <w:r>
        <w:t>intellectuals</w:t>
      </w:r>
      <w:r w:rsidRPr="00520152">
        <w:t xml:space="preserve"> of the Scholastic period can be found in Thomas Aquinas</w:t>
      </w:r>
      <w:r>
        <w:t>’</w:t>
      </w:r>
      <w:r w:rsidRPr="00520152">
        <w:t xml:space="preserve"> work, specifically in his treatise </w:t>
      </w:r>
      <w:r w:rsidRPr="00520152">
        <w:rPr>
          <w:i/>
          <w:iCs/>
        </w:rPr>
        <w:t>De Sortibus</w:t>
      </w:r>
      <w:r w:rsidRPr="00520152">
        <w:t>, which he wrote around 1270 AD</w:t>
      </w:r>
      <w:r>
        <w:t>.</w:t>
      </w:r>
      <w:r>
        <w:rPr>
          <w:rStyle w:val="FootnoteReference"/>
        </w:rPr>
        <w:footnoteReference w:id="117"/>
      </w:r>
      <w:r>
        <w:t xml:space="preserve"> Aquinas </w:t>
      </w:r>
      <w:r w:rsidRPr="00E01B16">
        <w:t xml:space="preserve">had previously explored the legitimacy and utility of divination </w:t>
      </w:r>
      <w:r>
        <w:t xml:space="preserve">in the </w:t>
      </w:r>
      <w:r w:rsidRPr="00D14439">
        <w:rPr>
          <w:i/>
          <w:iCs/>
        </w:rPr>
        <w:t>quaestio 95</w:t>
      </w:r>
      <w:r>
        <w:t xml:space="preserve"> of the </w:t>
      </w:r>
      <w:r w:rsidRPr="00D14439">
        <w:rPr>
          <w:i/>
          <w:iCs/>
        </w:rPr>
        <w:t>II</w:t>
      </w:r>
      <w:r w:rsidRPr="00D14439">
        <w:rPr>
          <w:i/>
          <w:iCs/>
          <w:vertAlign w:val="superscript"/>
        </w:rPr>
        <w:t>a</w:t>
      </w:r>
      <w:r w:rsidRPr="00D14439">
        <w:rPr>
          <w:i/>
          <w:iCs/>
        </w:rPr>
        <w:t xml:space="preserve"> II</w:t>
      </w:r>
      <w:r w:rsidRPr="00D14439">
        <w:rPr>
          <w:i/>
          <w:iCs/>
          <w:vertAlign w:val="superscript"/>
        </w:rPr>
        <w:t>ae</w:t>
      </w:r>
      <w:r>
        <w:t xml:space="preserve">, </w:t>
      </w:r>
      <w:r w:rsidRPr="00E01B16">
        <w:t xml:space="preserve">where he mentioned geomancy in the third article while cataloguing various types of divination </w:t>
      </w:r>
      <w:r>
        <w:t>(</w:t>
      </w:r>
      <w:r w:rsidRPr="00D14439">
        <w:rPr>
          <w:i/>
          <w:iCs/>
        </w:rPr>
        <w:t>Utrum sit determinare plures divinationis species</w:t>
      </w:r>
      <w:r>
        <w:t>).</w:t>
      </w:r>
      <w:r>
        <w:rPr>
          <w:rStyle w:val="FootnoteReference"/>
        </w:rPr>
        <w:footnoteReference w:id="118"/>
      </w:r>
      <w:r>
        <w:t xml:space="preserve"> </w:t>
      </w:r>
      <w:r w:rsidRPr="00E01B16">
        <w:t xml:space="preserve">However, it is in the concise treatise </w:t>
      </w:r>
      <w:r w:rsidRPr="00E01B16">
        <w:rPr>
          <w:i/>
          <w:iCs/>
        </w:rPr>
        <w:t>De Sortibus</w:t>
      </w:r>
      <w:r w:rsidRPr="00E01B16">
        <w:t xml:space="preserve"> that Aquinas provides a more comprehensive examination of the subject</w:t>
      </w:r>
      <w:r>
        <w:t>.</w:t>
      </w:r>
      <w:r>
        <w:rPr>
          <w:rStyle w:val="FootnoteReference"/>
        </w:rPr>
        <w:footnoteReference w:id="119"/>
      </w:r>
      <w:r>
        <w:t xml:space="preserve"> He discusses in </w:t>
      </w:r>
      <w:r w:rsidR="00417592">
        <w:t>the following</w:t>
      </w:r>
      <w:r>
        <w:t xml:space="preserve"> sequence the areas in which </w:t>
      </w:r>
      <w:r w:rsidR="00570EDC">
        <w:t>fate</w:t>
      </w:r>
      <w:r>
        <w:t xml:space="preserve"> (or the casting of lots) is investigated, </w:t>
      </w:r>
      <w:r w:rsidRPr="00E01B16">
        <w:t>their purpose, the different approaches to such inquiries, the effectiveness of these methods, and ultimately, their legitimacy</w:t>
      </w:r>
      <w:r>
        <w:t xml:space="preserve">. On the first point, Aquinas identifies the area of interest of </w:t>
      </w:r>
      <w:r w:rsidR="00F422B7">
        <w:t>fate</w:t>
      </w:r>
      <w:r>
        <w:t xml:space="preserve"> as those human events that are directly relevant to oneself, and that cannot be known without the casting of lots.</w:t>
      </w:r>
      <w:r>
        <w:rPr>
          <w:rStyle w:val="FootnoteReference"/>
        </w:rPr>
        <w:footnoteReference w:id="120"/>
      </w:r>
      <w:r>
        <w:t xml:space="preserve"> He then </w:t>
      </w:r>
      <w:r w:rsidR="00FE7D7D">
        <w:t>recognises</w:t>
      </w:r>
      <w:r>
        <w:t xml:space="preserve"> three cases in which the casting of lots can be useful: to decide how to share some goods (</w:t>
      </w:r>
      <w:r w:rsidRPr="004D3CCA">
        <w:rPr>
          <w:i/>
          <w:iCs/>
        </w:rPr>
        <w:t>sors divisoria</w:t>
      </w:r>
      <w:r>
        <w:t>), as a substitution for practical deliberations (</w:t>
      </w:r>
      <w:r w:rsidRPr="004D3CCA">
        <w:rPr>
          <w:i/>
          <w:iCs/>
        </w:rPr>
        <w:t>sors consultoria</w:t>
      </w:r>
      <w:r>
        <w:t xml:space="preserve">), and to gain </w:t>
      </w:r>
      <w:r>
        <w:lastRenderedPageBreak/>
        <w:t>knowledge of future events (</w:t>
      </w:r>
      <w:r w:rsidRPr="004D3CCA">
        <w:rPr>
          <w:i/>
          <w:iCs/>
        </w:rPr>
        <w:t>sors divinatoria</w:t>
      </w:r>
      <w:r>
        <w:t xml:space="preserve">). As for the various methods for casting lots, Aquinas differentiates between certain general categories. The first is that of those directly invoking God or demons (respectively prophets and necromancers); another way is to infer signs by considering external things (as practiced by astrologers and augurs). In this category Aquinas also includes those techniques in which it is observed what men say or do as signs of other things (as with omens and chiromancy). The third category is that of those who search for knowledge of hidden things from actions that they fulfil themselves and then interpret the outcome of these. It is in this section that the Dominican includes geomancy, revealing that he is indeed talking about the Arabic science of the sand, for the ancient forms of elemental predictions (aeromancy, pyromancy, hydromancy and geomancy) belong to the second category presented in the </w:t>
      </w:r>
      <w:r w:rsidRPr="000635A1">
        <w:rPr>
          <w:i/>
          <w:iCs/>
        </w:rPr>
        <w:t>De sortibus</w:t>
      </w:r>
      <w:r>
        <w:t>, that of techniques based on the observation of external signs. The ‘new geomancy’, however, does not base its prediction on external natural signs; the prognostication is man-made artificially through a specific process, and the geomancer produces himself the figures on which the prediction is based.</w:t>
      </w:r>
      <w:r>
        <w:rPr>
          <w:rStyle w:val="FootnoteReference"/>
        </w:rPr>
        <w:footnoteReference w:id="121"/>
      </w:r>
    </w:p>
    <w:p w14:paraId="55237050" w14:textId="719F0357" w:rsidR="008B64A3" w:rsidRDefault="008B64A3" w:rsidP="008B64A3">
      <w:pPr>
        <w:pStyle w:val="ListBullet"/>
        <w:numPr>
          <w:ilvl w:val="0"/>
          <w:numId w:val="0"/>
        </w:numPr>
        <w:ind w:firstLine="720"/>
      </w:pPr>
      <w:r>
        <w:t xml:space="preserve">Concerning the efficacy of these forms of prediction, in the </w:t>
      </w:r>
      <w:r w:rsidRPr="00DD781F">
        <w:rPr>
          <w:i/>
          <w:iCs/>
        </w:rPr>
        <w:t>De sortibus</w:t>
      </w:r>
      <w:r>
        <w:t xml:space="preserve"> Aquinas underlined the idea that what is immaterial cannot be moved by what is material, hence the celestial bodies cannot have a direct influence on the rational soul, this being immaterial. However, Aquinas noted that the intellect and the will are not alone in influencing human decisions: the sensitive part of the soul too, which resides in bodily organs, has an influence on human actions. Being material, the sensitive soul can therefore be impacted by celestial bodies.</w:t>
      </w:r>
      <w:r>
        <w:rPr>
          <w:rStyle w:val="FootnoteReference"/>
        </w:rPr>
        <w:footnoteReference w:id="122"/>
      </w:r>
      <w:r>
        <w:t xml:space="preserve"> In this regard, Aquinas </w:t>
      </w:r>
      <w:r w:rsidR="006E070E">
        <w:t>refers to</w:t>
      </w:r>
      <w:r>
        <w:t xml:space="preserve"> the famous saying from the Pseudo-Ptolemaic </w:t>
      </w:r>
      <w:r w:rsidRPr="001A5066">
        <w:rPr>
          <w:i/>
          <w:iCs/>
        </w:rPr>
        <w:t>Centiloquium</w:t>
      </w:r>
      <w:r>
        <w:t xml:space="preserve">, according to which only the wise man is able to dominate the stars, while the multitude of foolish people who let themselves be dominated by their passions cannot escape </w:t>
      </w:r>
      <w:r>
        <w:lastRenderedPageBreak/>
        <w:t>the influence of the celestial spheres.</w:t>
      </w:r>
      <w:r>
        <w:rPr>
          <w:rStyle w:val="FootnoteReference"/>
        </w:rPr>
        <w:footnoteReference w:id="123"/>
      </w:r>
      <w:r>
        <w:t xml:space="preserve"> Talking of the legitimacy of casting lots, the </w:t>
      </w:r>
      <w:r w:rsidRPr="00C62974">
        <w:rPr>
          <w:i/>
          <w:iCs/>
        </w:rPr>
        <w:t>De sortibus</w:t>
      </w:r>
      <w:r>
        <w:t xml:space="preserve"> does not condemn it completely, but reserves its criticism for vain and superstitious attempts to know the future. </w:t>
      </w:r>
      <w:r w:rsidRPr="00F1774C">
        <w:t>Whilst interrogating the stars</w:t>
      </w:r>
      <w:r w:rsidRPr="00241CFB">
        <w:t xml:space="preserve"> for the purpose of understanding natural phenomena is not considered superstitious, as previously explained due to the influence of stars on physical entities, any endeavour to employ divinatory methods, such as casting lots, to gain insight into events lacking a discernible cause</w:t>
      </w:r>
      <w:r w:rsidR="00656428">
        <w:t xml:space="preserve"> – </w:t>
      </w:r>
      <w:r w:rsidRPr="00241CFB">
        <w:t>whether natural, human, or divine</w:t>
      </w:r>
      <w:r w:rsidR="00656428">
        <w:t xml:space="preserve"> – </w:t>
      </w:r>
      <w:r w:rsidRPr="00241CFB">
        <w:t>should be categorically rejected as a superstition. Consequently, Aquinas upholds the practice of studying the stars for matters related to weather, agriculture, and navigation, while simultaneously condemning the use of astrology and divination to predict events concerning individual human lives. Geomancy, being founded on the notion of astral determinism, falls within this condemned category, as it is deemed both morally improper and fundamentally futile due to the inherently indeterminate nature of human actions.</w:t>
      </w:r>
      <w:r>
        <w:rPr>
          <w:rStyle w:val="FootnoteReference"/>
        </w:rPr>
        <w:footnoteReference w:id="124"/>
      </w:r>
    </w:p>
    <w:p w14:paraId="4B988C5F" w14:textId="011F590A" w:rsidR="008B64A3" w:rsidRDefault="008B64A3" w:rsidP="008B64A3">
      <w:pPr>
        <w:pStyle w:val="ListBullet"/>
        <w:numPr>
          <w:ilvl w:val="0"/>
          <w:numId w:val="0"/>
        </w:numPr>
        <w:ind w:firstLine="720"/>
      </w:pPr>
      <w:r>
        <w:t xml:space="preserve">References to geomancy are also found in several passages among the works of Aquinas’s teacher, Albert the Great (c.1200-1280 AD). In his treatises </w:t>
      </w:r>
      <w:r w:rsidRPr="00B029DE">
        <w:rPr>
          <w:i/>
          <w:iCs/>
        </w:rPr>
        <w:t>De mineralibus</w:t>
      </w:r>
      <w:r>
        <w:t xml:space="preserve">, Albert touched upon the problem of </w:t>
      </w:r>
      <w:r w:rsidR="00ED5320">
        <w:t>fate</w:t>
      </w:r>
      <w:r>
        <w:t xml:space="preserve"> and free will in relation to astrology, in the context of the natural and artificial carving of gems. Like Aquinas, Albert recognised that human actions </w:t>
      </w:r>
      <w:r>
        <w:lastRenderedPageBreak/>
        <w:t>can either be directed by the will, which is free, or by nature, which is controlled by the stars. Albert explained that if a figure is impressed on matter, either by nature or by man, some force of the configuration of the heavens is always poured into such a figure. This is because the configurations of the heavens are primary figures, and have precedence over all things made by nature and by art. Since what comes first in kind and order has an influence over what comes after, the configuration of the heavens has an influence over every other figure, ‘and therefore too – Albert continues – in the science of geomancy it is recommended that the figures made up of points be reduced to those [of constellations], for otherwise they are of no use’.</w:t>
      </w:r>
      <w:r>
        <w:rPr>
          <w:rStyle w:val="FootnoteReference"/>
        </w:rPr>
        <w:footnoteReference w:id="125"/>
      </w:r>
      <w:r>
        <w:t xml:space="preserve"> Thus in this context Albert </w:t>
      </w:r>
      <w:r w:rsidR="00656428">
        <w:t>does</w:t>
      </w:r>
      <w:r>
        <w:t xml:space="preserve"> not criticise nor condemn geomancy, </w:t>
      </w:r>
      <w:r w:rsidRPr="009D4961">
        <w:t xml:space="preserve">but rather </w:t>
      </w:r>
      <w:r w:rsidR="00656428">
        <w:t>warns</w:t>
      </w:r>
      <w:r w:rsidRPr="009D4961">
        <w:t xml:space="preserve"> that its validity depends on its relationship with constellations.</w:t>
      </w:r>
      <w:r>
        <w:t xml:space="preserve"> A more critical account is found in Albert’s </w:t>
      </w:r>
      <w:r w:rsidRPr="00544EF9">
        <w:rPr>
          <w:i/>
          <w:iCs/>
        </w:rPr>
        <w:t>Super Ethica commentum et quaestiones</w:t>
      </w:r>
      <w:r>
        <w:rPr>
          <w:i/>
          <w:iCs/>
        </w:rPr>
        <w:t xml:space="preserve">, </w:t>
      </w:r>
      <w:r>
        <w:t>in which, following Ptolemy, he condemn</w:t>
      </w:r>
      <w:r w:rsidR="00656428">
        <w:t>s</w:t>
      </w:r>
      <w:r>
        <w:t xml:space="preserve"> geomancy together with augurs as lacking any scientific foundation: </w:t>
      </w:r>
    </w:p>
    <w:p w14:paraId="364DF426" w14:textId="77777777" w:rsidR="008B64A3" w:rsidRDefault="008B64A3" w:rsidP="008B64A3">
      <w:pPr>
        <w:ind w:left="567" w:firstLine="0"/>
        <w:rPr>
          <w:sz w:val="20"/>
          <w:szCs w:val="20"/>
        </w:rPr>
      </w:pPr>
    </w:p>
    <w:p w14:paraId="679C3543" w14:textId="445A4FCB" w:rsidR="008B64A3" w:rsidRPr="00A11AC4" w:rsidRDefault="008B64A3" w:rsidP="008B64A3">
      <w:pPr>
        <w:ind w:left="567" w:firstLine="0"/>
        <w:rPr>
          <w:sz w:val="20"/>
          <w:szCs w:val="20"/>
        </w:rPr>
      </w:pPr>
      <w:r w:rsidRPr="00A11AC4">
        <w:rPr>
          <w:sz w:val="20"/>
          <w:szCs w:val="20"/>
        </w:rPr>
        <w:t xml:space="preserve">But if we speak of science from the point of view of science itself, then all perfect knowledge is good. But there are some which are more like </w:t>
      </w:r>
      <w:r>
        <w:rPr>
          <w:sz w:val="20"/>
          <w:szCs w:val="20"/>
        </w:rPr>
        <w:t xml:space="preserve">imitations of </w:t>
      </w:r>
      <w:r w:rsidRPr="00A11AC4">
        <w:rPr>
          <w:sz w:val="20"/>
          <w:szCs w:val="20"/>
        </w:rPr>
        <w:t xml:space="preserve">certain sciences, in which there is little or no reason, and the experiment is lacking, not on the part of the experimenter, but on the part of the thing itself, which is experimental, like the science of </w:t>
      </w:r>
      <w:r>
        <w:rPr>
          <w:sz w:val="20"/>
          <w:szCs w:val="20"/>
        </w:rPr>
        <w:t>augury</w:t>
      </w:r>
      <w:r w:rsidRPr="00A11AC4">
        <w:rPr>
          <w:sz w:val="20"/>
          <w:szCs w:val="20"/>
        </w:rPr>
        <w:t xml:space="preserve">, which has no more reason than that the bird moves to the movement of the sky, and likewise geomancy, </w:t>
      </w:r>
      <w:r>
        <w:rPr>
          <w:sz w:val="20"/>
          <w:szCs w:val="20"/>
        </w:rPr>
        <w:t>because the configurations of the heavens</w:t>
      </w:r>
      <w:r w:rsidRPr="00A11AC4">
        <w:rPr>
          <w:sz w:val="20"/>
          <w:szCs w:val="20"/>
        </w:rPr>
        <w:t xml:space="preserve"> </w:t>
      </w:r>
      <w:r w:rsidR="006B4AB7" w:rsidRPr="00A11AC4">
        <w:rPr>
          <w:sz w:val="20"/>
          <w:szCs w:val="20"/>
        </w:rPr>
        <w:t>move</w:t>
      </w:r>
      <w:r w:rsidRPr="00A11AC4">
        <w:rPr>
          <w:sz w:val="20"/>
          <w:szCs w:val="20"/>
        </w:rPr>
        <w:t xml:space="preserve"> the hand to make as many points as the </w:t>
      </w:r>
      <w:r>
        <w:rPr>
          <w:sz w:val="20"/>
          <w:szCs w:val="20"/>
        </w:rPr>
        <w:t>configuration</w:t>
      </w:r>
      <w:r w:rsidRPr="00A11AC4">
        <w:rPr>
          <w:sz w:val="20"/>
          <w:szCs w:val="20"/>
        </w:rPr>
        <w:t xml:space="preserve"> of the heavens</w:t>
      </w:r>
      <w:r>
        <w:rPr>
          <w:sz w:val="20"/>
          <w:szCs w:val="20"/>
        </w:rPr>
        <w:t xml:space="preserve"> presents</w:t>
      </w:r>
      <w:r w:rsidRPr="00A11AC4">
        <w:rPr>
          <w:sz w:val="20"/>
          <w:szCs w:val="20"/>
        </w:rPr>
        <w:t xml:space="preserve">. And </w:t>
      </w:r>
      <w:r w:rsidR="006B4AB7" w:rsidRPr="00A11AC4">
        <w:rPr>
          <w:sz w:val="20"/>
          <w:szCs w:val="20"/>
        </w:rPr>
        <w:t>therefore,</w:t>
      </w:r>
      <w:r w:rsidRPr="00A11AC4">
        <w:rPr>
          <w:sz w:val="20"/>
          <w:szCs w:val="20"/>
        </w:rPr>
        <w:t xml:space="preserve"> Ptolemy says, that he abhorred such knowledge because of the smallness of the demonstration of strength.</w:t>
      </w:r>
      <w:r w:rsidRPr="00A11AC4">
        <w:rPr>
          <w:rStyle w:val="FootnoteReference"/>
          <w:sz w:val="20"/>
          <w:szCs w:val="20"/>
        </w:rPr>
        <w:footnoteReference w:id="126"/>
      </w:r>
    </w:p>
    <w:p w14:paraId="6EB434E9" w14:textId="77777777" w:rsidR="008B64A3" w:rsidRDefault="008B64A3" w:rsidP="008B64A3">
      <w:pPr>
        <w:ind w:firstLine="0"/>
      </w:pPr>
    </w:p>
    <w:p w14:paraId="125ECC3A" w14:textId="77777777" w:rsidR="008B64A3" w:rsidRDefault="008B64A3" w:rsidP="008B64A3">
      <w:pPr>
        <w:ind w:firstLine="0"/>
      </w:pPr>
      <w:r>
        <w:lastRenderedPageBreak/>
        <w:t xml:space="preserve">Finally, in his work </w:t>
      </w:r>
      <w:r w:rsidRPr="00A11AC4">
        <w:rPr>
          <w:i/>
          <w:iCs/>
        </w:rPr>
        <w:t>Super Porphyrium De V universalibus</w:t>
      </w:r>
      <w:r>
        <w:t>, Albert mentions geomancy among the conjectural sciences, differentiating them from the sciences which are based on what is necessary: ‘In the real sciences, one proceeds in one way in those sciences which are concerned with what is probable, and in another way in those which are concerned with what is necessary and enduring, and still in another in those concerned with conjecture, [...] such as the second part of astronomy (</w:t>
      </w:r>
      <w:r w:rsidRPr="00FD70AB">
        <w:t>i.e.,</w:t>
      </w:r>
      <w:r>
        <w:t xml:space="preserve"> astrology) and geomancy.’</w:t>
      </w:r>
      <w:r>
        <w:rPr>
          <w:rStyle w:val="FootnoteReference"/>
        </w:rPr>
        <w:footnoteReference w:id="127"/>
      </w:r>
    </w:p>
    <w:p w14:paraId="59CD9107" w14:textId="2825147F" w:rsidR="008B64A3" w:rsidRDefault="008B64A3" w:rsidP="008B64A3">
      <w:pPr>
        <w:ind w:firstLine="0"/>
      </w:pPr>
      <w:r>
        <w:tab/>
        <w:t>Similarly,</w:t>
      </w:r>
      <w:r w:rsidR="00FD70AB">
        <w:t xml:space="preserve"> the Averroist philosopher</w:t>
      </w:r>
      <w:r>
        <w:t xml:space="preserve"> Siger of Brabant (1240-1280 AD) in his </w:t>
      </w:r>
      <w:r w:rsidRPr="009A227F">
        <w:rPr>
          <w:i/>
          <w:iCs/>
        </w:rPr>
        <w:t>Quaestiones in Metaphysicam</w:t>
      </w:r>
      <w:r>
        <w:rPr>
          <w:i/>
          <w:iCs/>
        </w:rPr>
        <w:t xml:space="preserve"> </w:t>
      </w:r>
      <w:r>
        <w:t>appealed to the authority of Ptolemy to define geomancy as a science without valid foundations.</w:t>
      </w:r>
      <w:r>
        <w:rPr>
          <w:rStyle w:val="FootnoteReference"/>
        </w:rPr>
        <w:footnoteReference w:id="128"/>
      </w:r>
      <w:r>
        <w:t xml:space="preserve"> Geomancy is also mentioned in the </w:t>
      </w:r>
      <w:r w:rsidRPr="00077A01">
        <w:rPr>
          <w:i/>
          <w:iCs/>
        </w:rPr>
        <w:t>Collationes in Hexaemeron</w:t>
      </w:r>
      <w:r>
        <w:t xml:space="preserve">, a series of lectures given in Paris by the Franciscan Bonaventure of Bagnoregio (1121-1274 AD), between Easter and Pentecost 1273. In this text, Bonaventure lists geomancy under the various forms of mathematics, as a discipline that originates from astrology, and that has to be considered dangerous: </w:t>
      </w:r>
    </w:p>
    <w:p w14:paraId="3E41B014" w14:textId="77777777" w:rsidR="008B64A3" w:rsidRDefault="008B64A3" w:rsidP="008B64A3">
      <w:pPr>
        <w:ind w:left="567" w:firstLine="0"/>
      </w:pPr>
    </w:p>
    <w:p w14:paraId="790CD6BD" w14:textId="57B3EB19" w:rsidR="008B64A3" w:rsidRDefault="008B64A3" w:rsidP="008B64A3">
      <w:pPr>
        <w:ind w:left="567" w:firstLine="0"/>
        <w:rPr>
          <w:sz w:val="20"/>
          <w:szCs w:val="20"/>
        </w:rPr>
      </w:pPr>
      <w:r w:rsidRPr="00C134DC">
        <w:rPr>
          <w:sz w:val="20"/>
          <w:szCs w:val="20"/>
        </w:rPr>
        <w:t>[Mathematic and the six sciences of quantity</w:t>
      </w:r>
      <w:r w:rsidR="002B1610">
        <w:rPr>
          <w:sz w:val="20"/>
          <w:szCs w:val="20"/>
        </w:rPr>
        <w:t>]</w:t>
      </w:r>
      <w:r w:rsidRPr="00C134DC">
        <w:rPr>
          <w:sz w:val="20"/>
          <w:szCs w:val="20"/>
        </w:rPr>
        <w:t xml:space="preserve"> consider numbers both according </w:t>
      </w:r>
      <w:r w:rsidR="00443A83">
        <w:rPr>
          <w:sz w:val="20"/>
          <w:szCs w:val="20"/>
        </w:rPr>
        <w:t xml:space="preserve">to </w:t>
      </w:r>
      <w:r w:rsidRPr="00C134DC">
        <w:rPr>
          <w:sz w:val="20"/>
          <w:szCs w:val="20"/>
        </w:rPr>
        <w:t>quantity</w:t>
      </w:r>
      <w:r w:rsidR="00D26FA5">
        <w:rPr>
          <w:sz w:val="20"/>
          <w:szCs w:val="20"/>
        </w:rPr>
        <w:t xml:space="preserve">, </w:t>
      </w:r>
      <w:r w:rsidRPr="00C134DC">
        <w:rPr>
          <w:sz w:val="20"/>
          <w:szCs w:val="20"/>
        </w:rPr>
        <w:t>both continuous and discontinuous</w:t>
      </w:r>
      <w:r w:rsidR="004C09B8">
        <w:rPr>
          <w:sz w:val="20"/>
          <w:szCs w:val="20"/>
        </w:rPr>
        <w:t>,</w:t>
      </w:r>
      <w:r w:rsidRPr="00C134DC">
        <w:rPr>
          <w:sz w:val="20"/>
          <w:szCs w:val="20"/>
        </w:rPr>
        <w:t xml:space="preserve"> and numeral and substantial differences, and we have astrology. And this is twofold: one is concerned with bodies regulated through movement; this is astronomy. The other one studies the influences of these, and this is called astrology, and this is partly safe, and partly dangerous. It </w:t>
      </w:r>
      <w:r w:rsidRPr="00C134DC">
        <w:rPr>
          <w:sz w:val="20"/>
          <w:szCs w:val="20"/>
        </w:rPr>
        <w:lastRenderedPageBreak/>
        <w:t>is dangerous due to the persuasions that derive from it; it is from this that are derived geomancy, or nigromancy, or the other forms of divination.</w:t>
      </w:r>
      <w:r>
        <w:rPr>
          <w:rStyle w:val="FootnoteReference"/>
          <w:sz w:val="20"/>
          <w:szCs w:val="20"/>
        </w:rPr>
        <w:footnoteReference w:id="129"/>
      </w:r>
    </w:p>
    <w:p w14:paraId="7C970AF1" w14:textId="77777777" w:rsidR="008B64A3" w:rsidRDefault="008B64A3" w:rsidP="008B64A3">
      <w:pPr>
        <w:ind w:left="567" w:firstLine="567"/>
        <w:rPr>
          <w:sz w:val="20"/>
          <w:szCs w:val="20"/>
        </w:rPr>
      </w:pPr>
    </w:p>
    <w:p w14:paraId="498BAA2C" w14:textId="22794F35" w:rsidR="008B64A3" w:rsidRPr="006E07BF" w:rsidRDefault="008B64A3" w:rsidP="006E07BF">
      <w:pPr>
        <w:pStyle w:val="Heading3"/>
        <w:ind w:firstLine="0"/>
        <w:rPr>
          <w:rFonts w:asciiTheme="majorBidi" w:hAnsiTheme="majorBidi"/>
          <w:b/>
          <w:bCs/>
          <w:color w:val="auto"/>
        </w:rPr>
      </w:pPr>
      <w:bookmarkStart w:id="38" w:name="_Toc165108638"/>
      <w:r w:rsidRPr="006E07BF">
        <w:rPr>
          <w:rFonts w:asciiTheme="majorBidi" w:hAnsiTheme="majorBidi"/>
          <w:b/>
          <w:bCs/>
          <w:color w:val="auto"/>
        </w:rPr>
        <w:t xml:space="preserve">Geomancy in </w:t>
      </w:r>
      <w:r w:rsidR="00466BD3">
        <w:rPr>
          <w:rFonts w:asciiTheme="majorBidi" w:hAnsiTheme="majorBidi"/>
          <w:b/>
          <w:bCs/>
          <w:color w:val="auto"/>
        </w:rPr>
        <w:t>l</w:t>
      </w:r>
      <w:r w:rsidRPr="006E07BF">
        <w:rPr>
          <w:rFonts w:asciiTheme="majorBidi" w:hAnsiTheme="majorBidi"/>
          <w:b/>
          <w:bCs/>
          <w:color w:val="auto"/>
        </w:rPr>
        <w:t>iterature</w:t>
      </w:r>
      <w:bookmarkEnd w:id="38"/>
    </w:p>
    <w:p w14:paraId="0E0C461C" w14:textId="77777777" w:rsidR="008B64A3" w:rsidRDefault="008B64A3" w:rsidP="008B64A3">
      <w:pPr>
        <w:ind w:firstLine="0"/>
        <w:rPr>
          <w:i/>
          <w:iCs/>
        </w:rPr>
      </w:pPr>
    </w:p>
    <w:p w14:paraId="07EA57C6" w14:textId="48128123" w:rsidR="008B64A3" w:rsidRPr="002C605E" w:rsidRDefault="008B64A3" w:rsidP="002C605E">
      <w:pPr>
        <w:ind w:firstLine="0"/>
        <w:rPr>
          <w:color w:val="FF0000"/>
        </w:rPr>
      </w:pPr>
      <w:r>
        <w:tab/>
      </w:r>
      <w:r w:rsidRPr="00E54727">
        <w:t>The widespread dissemination of geomancy throughout Europe is further evidenced by its incorporation into literary works from the thirteenth century onwards. Charmasson has conducted a comprehensive analysis of the various instances where geomancy emerges within medieval literature</w:t>
      </w:r>
      <w:r w:rsidR="00BA040B" w:rsidRPr="00E54727">
        <w:t xml:space="preserve">, across different literary genres, geographical areas and languages: geomancy is mentioned in the </w:t>
      </w:r>
      <w:r w:rsidR="00BA040B" w:rsidRPr="00E54727">
        <w:rPr>
          <w:i/>
          <w:iCs/>
        </w:rPr>
        <w:t xml:space="preserve">Chanson de la croisade albigeoise </w:t>
      </w:r>
      <w:r w:rsidR="00BA040B" w:rsidRPr="00E54727">
        <w:t xml:space="preserve">(The Song of the Albigensian Crusade), </w:t>
      </w:r>
      <w:r w:rsidR="00F43BED" w:rsidRPr="00E54727">
        <w:t xml:space="preserve">an Old Occitan epic poem written by </w:t>
      </w:r>
      <w:r w:rsidR="00FA455B" w:rsidRPr="00E54727">
        <w:t xml:space="preserve">William of Tudela in 1213; geomancy also features in the </w:t>
      </w:r>
      <w:r w:rsidR="002C605E" w:rsidRPr="00E54727">
        <w:t>C</w:t>
      </w:r>
      <w:r w:rsidR="00FA455B" w:rsidRPr="00E54727">
        <w:t xml:space="preserve">hronicle written by Rolandus Patavinus, written in Latin and narrating that geomancy had allowed the Paduan prisoners held by Ezzelino da Romano to predict that the city of Padua that Ezzelino besieged in 1256 would resist him; furthermore, evidence of an advanced knowledge of geomancy is found in the </w:t>
      </w:r>
      <w:r w:rsidR="002C605E" w:rsidRPr="00E54727">
        <w:rPr>
          <w:i/>
          <w:iCs/>
        </w:rPr>
        <w:t>Chronicles of Hainaut</w:t>
      </w:r>
      <w:r w:rsidR="002C605E" w:rsidRPr="00E54727">
        <w:t>, produced by Jacques de Guise around 1390-1396, containing in the first book four detailed geomantic consultations</w:t>
      </w:r>
      <w:r w:rsidRPr="00E54727">
        <w:t>.</w:t>
      </w:r>
      <w:r w:rsidR="000B2A5C" w:rsidRPr="00E54727">
        <w:rPr>
          <w:rStyle w:val="FootnoteReference"/>
        </w:rPr>
        <w:footnoteReference w:id="130"/>
      </w:r>
      <w:r>
        <w:t xml:space="preserve"> Of particular significance, both to modern scholars and medieval commentators, is the allusion to geomancy found in Dante Alighieri's renowned work, the </w:t>
      </w:r>
      <w:r w:rsidRPr="00594174">
        <w:rPr>
          <w:i/>
          <w:iCs/>
        </w:rPr>
        <w:t>Divina Commedia</w:t>
      </w:r>
      <w:r>
        <w:t xml:space="preserve"> (1265-1321 AD). Within the </w:t>
      </w:r>
      <w:r w:rsidRPr="00594174">
        <w:rPr>
          <w:i/>
          <w:iCs/>
        </w:rPr>
        <w:t>Purgatorio</w:t>
      </w:r>
      <w:r>
        <w:t xml:space="preserve">, specifically in </w:t>
      </w:r>
      <w:r w:rsidRPr="00594174">
        <w:rPr>
          <w:i/>
          <w:iCs/>
        </w:rPr>
        <w:t>Canto XIX</w:t>
      </w:r>
      <w:r>
        <w:t>, Dante vividly recounts one of his dreams:</w:t>
      </w:r>
    </w:p>
    <w:p w14:paraId="4435F1DD" w14:textId="77777777" w:rsidR="008B64A3" w:rsidRDefault="008B64A3" w:rsidP="008B64A3">
      <w:pPr>
        <w:ind w:firstLine="0"/>
      </w:pPr>
    </w:p>
    <w:p w14:paraId="648C8832" w14:textId="77777777" w:rsidR="008B64A3" w:rsidRPr="00986E08" w:rsidRDefault="008B64A3" w:rsidP="008B64A3">
      <w:pPr>
        <w:ind w:left="567" w:firstLine="0"/>
        <w:rPr>
          <w:sz w:val="20"/>
          <w:szCs w:val="20"/>
        </w:rPr>
      </w:pPr>
      <w:r w:rsidRPr="00986E08">
        <w:rPr>
          <w:sz w:val="20"/>
          <w:szCs w:val="20"/>
        </w:rPr>
        <w:lastRenderedPageBreak/>
        <w:t>In the hour when the heat of the day /</w:t>
      </w:r>
    </w:p>
    <w:p w14:paraId="7E51C8FE" w14:textId="77777777" w:rsidR="008B64A3" w:rsidRPr="00986E08" w:rsidRDefault="008B64A3" w:rsidP="008B64A3">
      <w:pPr>
        <w:ind w:left="567" w:firstLine="0"/>
        <w:rPr>
          <w:sz w:val="20"/>
          <w:szCs w:val="20"/>
        </w:rPr>
      </w:pPr>
      <w:r w:rsidRPr="00986E08">
        <w:rPr>
          <w:sz w:val="20"/>
          <w:szCs w:val="20"/>
        </w:rPr>
        <w:t>cooled by earth and sometimes by Saturn, /</w:t>
      </w:r>
    </w:p>
    <w:p w14:paraId="2298A885" w14:textId="77777777" w:rsidR="008B64A3" w:rsidRPr="00986E08" w:rsidRDefault="008B64A3" w:rsidP="008B64A3">
      <w:pPr>
        <w:ind w:left="567" w:firstLine="0"/>
        <w:rPr>
          <w:sz w:val="20"/>
          <w:szCs w:val="20"/>
        </w:rPr>
      </w:pPr>
      <w:r w:rsidRPr="00986E08">
        <w:rPr>
          <w:sz w:val="20"/>
          <w:szCs w:val="20"/>
        </w:rPr>
        <w:t xml:space="preserve"> can no longer temper the cold of the Moon, / </w:t>
      </w:r>
    </w:p>
    <w:p w14:paraId="5585ADB0" w14:textId="77777777" w:rsidR="008B64A3" w:rsidRPr="00986E08" w:rsidRDefault="008B64A3" w:rsidP="008B64A3">
      <w:pPr>
        <w:ind w:left="567" w:firstLine="0"/>
        <w:rPr>
          <w:sz w:val="20"/>
          <w:szCs w:val="20"/>
        </w:rPr>
      </w:pPr>
      <w:r w:rsidRPr="00986E08">
        <w:rPr>
          <w:sz w:val="20"/>
          <w:szCs w:val="20"/>
        </w:rPr>
        <w:t xml:space="preserve">when geomancers see their Fortuna Maior / </w:t>
      </w:r>
    </w:p>
    <w:p w14:paraId="04651BB2" w14:textId="77777777" w:rsidR="008B64A3" w:rsidRPr="00986E08" w:rsidRDefault="008B64A3" w:rsidP="008B64A3">
      <w:pPr>
        <w:ind w:left="567" w:firstLine="0"/>
        <w:rPr>
          <w:sz w:val="20"/>
          <w:szCs w:val="20"/>
        </w:rPr>
      </w:pPr>
      <w:r w:rsidRPr="00986E08">
        <w:rPr>
          <w:sz w:val="20"/>
          <w:szCs w:val="20"/>
        </w:rPr>
        <w:t xml:space="preserve">rise in the east before the dawn, / </w:t>
      </w:r>
    </w:p>
    <w:p w14:paraId="35E43E93" w14:textId="77777777" w:rsidR="008B64A3" w:rsidRPr="00986E08" w:rsidRDefault="008B64A3" w:rsidP="008B64A3">
      <w:pPr>
        <w:ind w:left="567" w:firstLine="0"/>
        <w:rPr>
          <w:sz w:val="20"/>
          <w:szCs w:val="20"/>
        </w:rPr>
      </w:pPr>
      <w:r w:rsidRPr="00986E08">
        <w:rPr>
          <w:sz w:val="20"/>
          <w:szCs w:val="20"/>
        </w:rPr>
        <w:t xml:space="preserve">which does not long stay dark for it / </w:t>
      </w:r>
    </w:p>
    <w:p w14:paraId="10416F1D" w14:textId="77777777" w:rsidR="008B64A3" w:rsidRDefault="008B64A3" w:rsidP="008B64A3">
      <w:pPr>
        <w:ind w:left="567" w:firstLine="0"/>
        <w:rPr>
          <w:sz w:val="20"/>
          <w:szCs w:val="20"/>
        </w:rPr>
      </w:pPr>
      <w:r w:rsidRPr="00986E08">
        <w:rPr>
          <w:sz w:val="20"/>
          <w:szCs w:val="20"/>
        </w:rPr>
        <w:t>there came to me in a dream a stammering woman</w:t>
      </w:r>
      <w:r>
        <w:rPr>
          <w:sz w:val="20"/>
          <w:szCs w:val="20"/>
        </w:rPr>
        <w:t>,</w:t>
      </w:r>
    </w:p>
    <w:p w14:paraId="3950599E" w14:textId="77777777" w:rsidR="008B64A3" w:rsidRDefault="008B64A3" w:rsidP="008B64A3">
      <w:pPr>
        <w:ind w:left="567" w:firstLine="0"/>
        <w:rPr>
          <w:sz w:val="20"/>
          <w:szCs w:val="20"/>
        </w:rPr>
      </w:pPr>
      <w:r>
        <w:rPr>
          <w:sz w:val="20"/>
          <w:szCs w:val="20"/>
        </w:rPr>
        <w:t>s</w:t>
      </w:r>
      <w:r w:rsidRPr="00986E08">
        <w:rPr>
          <w:sz w:val="20"/>
          <w:szCs w:val="20"/>
        </w:rPr>
        <w:t>quint in her eyes, and in her feet distorted,</w:t>
      </w:r>
    </w:p>
    <w:p w14:paraId="5A8AD112" w14:textId="77777777" w:rsidR="008B64A3" w:rsidRPr="00986E08" w:rsidRDefault="008B64A3" w:rsidP="008B64A3">
      <w:pPr>
        <w:ind w:left="567" w:firstLine="0"/>
        <w:rPr>
          <w:sz w:val="20"/>
          <w:szCs w:val="20"/>
        </w:rPr>
      </w:pPr>
      <w:r>
        <w:rPr>
          <w:sz w:val="20"/>
          <w:szCs w:val="20"/>
        </w:rPr>
        <w:t>w</w:t>
      </w:r>
      <w:r w:rsidRPr="00986E08">
        <w:rPr>
          <w:sz w:val="20"/>
          <w:szCs w:val="20"/>
        </w:rPr>
        <w:t>ith hands dissevered and of sallow hue</w:t>
      </w:r>
      <w:r>
        <w:rPr>
          <w:sz w:val="20"/>
          <w:szCs w:val="20"/>
        </w:rPr>
        <w:t>.</w:t>
      </w:r>
      <w:r>
        <w:rPr>
          <w:rStyle w:val="FootnoteReference"/>
          <w:sz w:val="20"/>
          <w:szCs w:val="20"/>
        </w:rPr>
        <w:footnoteReference w:id="131"/>
      </w:r>
    </w:p>
    <w:p w14:paraId="1A83951B" w14:textId="77777777" w:rsidR="008B64A3" w:rsidRDefault="008B64A3" w:rsidP="008B64A3">
      <w:pPr>
        <w:ind w:firstLine="0"/>
      </w:pPr>
    </w:p>
    <w:p w14:paraId="44FBE00F" w14:textId="08F401E9" w:rsidR="008B64A3" w:rsidRDefault="008B64A3" w:rsidP="008B64A3">
      <w:pPr>
        <w:ind w:firstLine="0"/>
      </w:pPr>
      <w:r w:rsidRPr="00594174">
        <w:t>The examination of such literary references provides us with invaluable insights into the cultural and intellectual milieu of the era, shedding light on the substantial role occupied by geomancy within the literary imagination of the time. The significance of this particular passage will be further expounded upon in subsequent sections of this thesis. Notably, in the context at hand, it is pertinent to observe that Dante employs a geomantic figure (</w:t>
      </w:r>
      <w:r w:rsidRPr="00295C60">
        <w:rPr>
          <w:i/>
          <w:iCs/>
        </w:rPr>
        <w:t>Fortuna ma</w:t>
      </w:r>
      <w:r w:rsidRPr="00A25BA5">
        <w:rPr>
          <w:i/>
          <w:iCs/>
        </w:rPr>
        <w:t>ior</w:t>
      </w:r>
      <w:r w:rsidRPr="00594174">
        <w:t>) to ascertain the specific time of day</w:t>
      </w:r>
      <w:r w:rsidR="00295C60">
        <w:t xml:space="preserve"> </w:t>
      </w:r>
      <w:r w:rsidR="00E82C9E">
        <w:t>–</w:t>
      </w:r>
      <w:r w:rsidR="00295C60">
        <w:t xml:space="preserve"> </w:t>
      </w:r>
      <w:r w:rsidRPr="00594174">
        <w:t>in this instance, dawn</w:t>
      </w:r>
      <w:r w:rsidR="00295C60">
        <w:t xml:space="preserve"> </w:t>
      </w:r>
      <w:r w:rsidR="00E82C9E">
        <w:t xml:space="preserve">– </w:t>
      </w:r>
      <w:r w:rsidRPr="00594174">
        <w:t>at which the dream unfolds. It is noteworthy that Dante</w:t>
      </w:r>
      <w:r w:rsidR="00295C60">
        <w:t>’</w:t>
      </w:r>
      <w:r w:rsidRPr="00594174">
        <w:t>s geomantic figure is not derived from terrestrial observations but rather from celestial observations, underscoring the medieval understanding of the interconnectedness between geomantic figures and specific astral configurations. Such associations highlight the prevalent belief during that period regarding the cosmic correspondences attributed to geomantic symbolism</w:t>
      </w:r>
      <w:r>
        <w:t>.</w:t>
      </w:r>
      <w:r>
        <w:rPr>
          <w:rStyle w:val="FootnoteReference"/>
        </w:rPr>
        <w:footnoteReference w:id="132"/>
      </w:r>
    </w:p>
    <w:p w14:paraId="0DCF8295" w14:textId="77777777" w:rsidR="008B64A3" w:rsidRDefault="008B64A3" w:rsidP="008B64A3">
      <w:pPr>
        <w:ind w:firstLine="0"/>
      </w:pPr>
      <w:r>
        <w:tab/>
        <w:t xml:space="preserve">Similarly, the figure </w:t>
      </w:r>
      <w:r w:rsidRPr="005E1B7A">
        <w:rPr>
          <w:i/>
          <w:iCs/>
        </w:rPr>
        <w:t>Fortuna maior</w:t>
      </w:r>
      <w:r>
        <w:t xml:space="preserve"> is mentioned by Geoffrey Chaucer (c.1340-1400 AD) in his </w:t>
      </w:r>
      <w:r w:rsidRPr="00694034">
        <w:rPr>
          <w:i/>
          <w:iCs/>
        </w:rPr>
        <w:t>Troilus and Criseyde</w:t>
      </w:r>
      <w:r>
        <w:t>:</w:t>
      </w:r>
    </w:p>
    <w:p w14:paraId="6CD14D84" w14:textId="77777777" w:rsidR="008B64A3" w:rsidRDefault="008B64A3" w:rsidP="008B64A3">
      <w:pPr>
        <w:ind w:firstLine="0"/>
      </w:pPr>
    </w:p>
    <w:p w14:paraId="3497B46B" w14:textId="34BC3BB9" w:rsidR="008B64A3" w:rsidRPr="00FB5DFF" w:rsidRDefault="008B64A3" w:rsidP="008B64A3">
      <w:pPr>
        <w:ind w:left="567" w:firstLine="0"/>
        <w:rPr>
          <w:sz w:val="20"/>
          <w:szCs w:val="20"/>
        </w:rPr>
      </w:pPr>
      <w:r w:rsidRPr="00FB5DFF">
        <w:rPr>
          <w:sz w:val="20"/>
          <w:szCs w:val="20"/>
        </w:rPr>
        <w:t>But wh</w:t>
      </w:r>
      <w:r w:rsidR="00CB1EF4">
        <w:rPr>
          <w:sz w:val="20"/>
          <w:szCs w:val="20"/>
        </w:rPr>
        <w:t>e</w:t>
      </w:r>
      <w:r w:rsidRPr="00FB5DFF">
        <w:rPr>
          <w:sz w:val="20"/>
          <w:szCs w:val="20"/>
        </w:rPr>
        <w:t>n the cok, comune astrologer,</w:t>
      </w:r>
    </w:p>
    <w:p w14:paraId="3AF14344" w14:textId="77777777" w:rsidR="008B64A3" w:rsidRPr="00FB5DFF" w:rsidRDefault="008B64A3" w:rsidP="008B64A3">
      <w:pPr>
        <w:ind w:left="567" w:firstLine="0"/>
        <w:rPr>
          <w:sz w:val="20"/>
          <w:szCs w:val="20"/>
        </w:rPr>
      </w:pPr>
      <w:r w:rsidRPr="00FB5DFF">
        <w:rPr>
          <w:sz w:val="20"/>
          <w:szCs w:val="20"/>
        </w:rPr>
        <w:t>Gan on his brest to bete, and after crowe,</w:t>
      </w:r>
    </w:p>
    <w:p w14:paraId="54AE4BBD" w14:textId="77777777" w:rsidR="008B64A3" w:rsidRPr="00FB5DFF" w:rsidRDefault="008B64A3" w:rsidP="008B64A3">
      <w:pPr>
        <w:ind w:left="567" w:firstLine="0"/>
        <w:rPr>
          <w:sz w:val="20"/>
          <w:szCs w:val="20"/>
        </w:rPr>
      </w:pPr>
      <w:r w:rsidRPr="00FB5DFF">
        <w:rPr>
          <w:sz w:val="20"/>
          <w:szCs w:val="20"/>
        </w:rPr>
        <w:t>And Lucifer, the dayes messanger,</w:t>
      </w:r>
    </w:p>
    <w:p w14:paraId="3D9C68CD" w14:textId="77777777" w:rsidR="008B64A3" w:rsidRPr="00FB5DFF" w:rsidRDefault="008B64A3" w:rsidP="008B64A3">
      <w:pPr>
        <w:ind w:left="567" w:firstLine="0"/>
        <w:rPr>
          <w:sz w:val="20"/>
          <w:szCs w:val="20"/>
        </w:rPr>
      </w:pPr>
      <w:r w:rsidRPr="00FB5DFF">
        <w:rPr>
          <w:sz w:val="20"/>
          <w:szCs w:val="20"/>
        </w:rPr>
        <w:t>Gan for to ryse, and out his bemes throwe;</w:t>
      </w:r>
    </w:p>
    <w:p w14:paraId="346D63D4" w14:textId="77777777" w:rsidR="008B64A3" w:rsidRPr="00FB5DFF" w:rsidRDefault="008B64A3" w:rsidP="008B64A3">
      <w:pPr>
        <w:ind w:left="567" w:firstLine="0"/>
        <w:rPr>
          <w:sz w:val="20"/>
          <w:szCs w:val="20"/>
        </w:rPr>
      </w:pPr>
      <w:r w:rsidRPr="00FB5DFF">
        <w:rPr>
          <w:sz w:val="20"/>
          <w:szCs w:val="20"/>
        </w:rPr>
        <w:t>And estward roos, to him that coulde it knowe,</w:t>
      </w:r>
    </w:p>
    <w:p w14:paraId="639B904F" w14:textId="77777777" w:rsidR="008B64A3" w:rsidRPr="00FB5DFF" w:rsidRDefault="008B64A3" w:rsidP="008B64A3">
      <w:pPr>
        <w:ind w:left="567" w:firstLine="0"/>
        <w:rPr>
          <w:sz w:val="20"/>
          <w:szCs w:val="20"/>
        </w:rPr>
      </w:pPr>
      <w:r w:rsidRPr="00FB5DFF">
        <w:rPr>
          <w:sz w:val="20"/>
          <w:szCs w:val="20"/>
        </w:rPr>
        <w:t>Fortuna maior, [than] anoon Criseyde,</w:t>
      </w:r>
    </w:p>
    <w:p w14:paraId="61FC0DCC" w14:textId="77777777" w:rsidR="008B64A3" w:rsidRDefault="008B64A3" w:rsidP="008B64A3">
      <w:pPr>
        <w:ind w:left="567" w:firstLine="0"/>
        <w:rPr>
          <w:sz w:val="20"/>
          <w:szCs w:val="20"/>
        </w:rPr>
      </w:pPr>
      <w:r w:rsidRPr="00FB5DFF">
        <w:rPr>
          <w:sz w:val="20"/>
          <w:szCs w:val="20"/>
        </w:rPr>
        <w:t>With herte sore, to Troilus thus seyde:-</w:t>
      </w:r>
      <w:r w:rsidRPr="00FB5DFF">
        <w:rPr>
          <w:rStyle w:val="FootnoteReference"/>
          <w:sz w:val="20"/>
          <w:szCs w:val="20"/>
        </w:rPr>
        <w:footnoteReference w:id="133"/>
      </w:r>
    </w:p>
    <w:p w14:paraId="1DAA48EB" w14:textId="77777777" w:rsidR="008B64A3" w:rsidRPr="00FB5DFF" w:rsidRDefault="008B64A3" w:rsidP="008B64A3">
      <w:pPr>
        <w:ind w:left="567" w:firstLine="0"/>
        <w:rPr>
          <w:sz w:val="20"/>
          <w:szCs w:val="20"/>
        </w:rPr>
      </w:pPr>
    </w:p>
    <w:p w14:paraId="28BC11E0" w14:textId="7B630FBA" w:rsidR="008B64A3" w:rsidRDefault="008B64A3" w:rsidP="008B64A3">
      <w:pPr>
        <w:ind w:firstLine="0"/>
      </w:pPr>
      <w:r w:rsidRPr="00AE56B2">
        <w:t xml:space="preserve">Numerous commentators have put forth various interpretations concerning the significance and symbolic role of the geomantic figure </w:t>
      </w:r>
      <w:r w:rsidRPr="00101043">
        <w:rPr>
          <w:i/>
          <w:iCs/>
        </w:rPr>
        <w:t>Fortuna maior</w:t>
      </w:r>
      <w:r w:rsidRPr="00AE56B2">
        <w:t xml:space="preserve"> within Chaucer</w:t>
      </w:r>
      <w:r w:rsidR="00CB1EF4">
        <w:t>’</w:t>
      </w:r>
      <w:r w:rsidRPr="00AE56B2">
        <w:t>s Troilus and Criseyde. Scholars have also noted the potential intertextual connection to Dante</w:t>
      </w:r>
      <w:r w:rsidR="00CB1EF4">
        <w:t>’</w:t>
      </w:r>
      <w:r w:rsidRPr="00AE56B2">
        <w:t xml:space="preserve">s passage in the </w:t>
      </w:r>
      <w:r w:rsidRPr="00CB1EF4">
        <w:rPr>
          <w:i/>
          <w:iCs/>
        </w:rPr>
        <w:t>Purgatorio</w:t>
      </w:r>
      <w:r w:rsidRPr="00AE56B2">
        <w:t xml:space="preserve">, leading them to draw upon interpretations formulated by commentators of the </w:t>
      </w:r>
      <w:r w:rsidRPr="007B2049">
        <w:rPr>
          <w:i/>
          <w:iCs/>
        </w:rPr>
        <w:t>Commedia</w:t>
      </w:r>
      <w:r w:rsidRPr="00AE56B2">
        <w:t>. Across these interpretations, the geomantic figure is consistently seen as representing a celestial entity, whether a planet or a constellation, thus underscoring the perceived correspondence between the heavens and the earthly realm, as exemplified by the sixteen geomantic figures. Notably, within Chaucer</w:t>
      </w:r>
      <w:r w:rsidR="00CB1EF4">
        <w:t>’</w:t>
      </w:r>
      <w:r w:rsidRPr="00AE56B2">
        <w:t xml:space="preserve">s Canterbury Tales, two other geomantic figures, </w:t>
      </w:r>
      <w:r w:rsidRPr="008A77A2">
        <w:rPr>
          <w:i/>
          <w:iCs/>
        </w:rPr>
        <w:t>Puella</w:t>
      </w:r>
      <w:r w:rsidRPr="00AE56B2">
        <w:t xml:space="preserve"> and </w:t>
      </w:r>
      <w:r w:rsidRPr="008A77A2">
        <w:rPr>
          <w:i/>
          <w:iCs/>
        </w:rPr>
        <w:t>Rubeus</w:t>
      </w:r>
      <w:r w:rsidRPr="00AE56B2">
        <w:t xml:space="preserve">, are mentioned and referred to as </w:t>
      </w:r>
      <w:r w:rsidR="008A77A2">
        <w:t>‘</w:t>
      </w:r>
      <w:r w:rsidRPr="00AE56B2">
        <w:t>figures of stars</w:t>
      </w:r>
      <w:r w:rsidR="008A77A2">
        <w:t>’</w:t>
      </w:r>
      <w:r w:rsidRPr="00AE56B2">
        <w:t xml:space="preserve"> within </w:t>
      </w:r>
      <w:r w:rsidR="00060914">
        <w:t>a</w:t>
      </w:r>
      <w:r w:rsidRPr="00AE56B2">
        <w:t xml:space="preserve"> passage</w:t>
      </w:r>
      <w:r w:rsidR="00060914">
        <w:t xml:space="preserve"> in </w:t>
      </w:r>
      <w:r w:rsidR="00060914" w:rsidRPr="00060914">
        <w:rPr>
          <w:i/>
          <w:iCs/>
        </w:rPr>
        <w:t>The Knight’s Tale</w:t>
      </w:r>
      <w:r w:rsidRPr="00AE56B2">
        <w:t>, indicating that Chaucer</w:t>
      </w:r>
      <w:r w:rsidR="008A77A2">
        <w:t>’</w:t>
      </w:r>
      <w:r w:rsidRPr="00AE56B2">
        <w:t>s engagement with geomancy extends beyond a mere reference to Dante and suggests his own familiarity with the geomantic science</w:t>
      </w:r>
      <w:r>
        <w:t>:</w:t>
      </w:r>
    </w:p>
    <w:p w14:paraId="5206822F" w14:textId="77777777" w:rsidR="008B64A3" w:rsidRDefault="008B64A3" w:rsidP="008B64A3">
      <w:pPr>
        <w:ind w:firstLine="0"/>
      </w:pPr>
    </w:p>
    <w:p w14:paraId="5EBD2DAC" w14:textId="77777777" w:rsidR="008B64A3" w:rsidRPr="00F15001" w:rsidRDefault="008B64A3" w:rsidP="008B64A3">
      <w:pPr>
        <w:ind w:left="567" w:firstLine="0"/>
        <w:rPr>
          <w:sz w:val="20"/>
          <w:szCs w:val="20"/>
        </w:rPr>
      </w:pPr>
      <w:r w:rsidRPr="00F15001">
        <w:rPr>
          <w:sz w:val="20"/>
          <w:szCs w:val="20"/>
        </w:rPr>
        <w:t>The statue of Mars up-on a carte stood,</w:t>
      </w:r>
    </w:p>
    <w:p w14:paraId="1A8E0F34" w14:textId="77777777" w:rsidR="008B64A3" w:rsidRPr="00F15001" w:rsidRDefault="008B64A3" w:rsidP="008B64A3">
      <w:pPr>
        <w:ind w:left="567" w:firstLine="0"/>
        <w:rPr>
          <w:sz w:val="20"/>
          <w:szCs w:val="20"/>
        </w:rPr>
      </w:pPr>
      <w:r w:rsidRPr="00F15001">
        <w:rPr>
          <w:sz w:val="20"/>
          <w:szCs w:val="20"/>
        </w:rPr>
        <w:t>Armed, and loked grim as he were wood;</w:t>
      </w:r>
    </w:p>
    <w:p w14:paraId="56EA110F" w14:textId="77777777" w:rsidR="008B64A3" w:rsidRPr="00F15001" w:rsidRDefault="008B64A3" w:rsidP="008B64A3">
      <w:pPr>
        <w:ind w:left="567" w:firstLine="0"/>
        <w:rPr>
          <w:sz w:val="20"/>
          <w:szCs w:val="20"/>
        </w:rPr>
      </w:pPr>
      <w:r w:rsidRPr="00F15001">
        <w:rPr>
          <w:sz w:val="20"/>
          <w:szCs w:val="20"/>
        </w:rPr>
        <w:t xml:space="preserve">And over his heed ther shynen two figures </w:t>
      </w:r>
    </w:p>
    <w:p w14:paraId="6C9D5E1D" w14:textId="77777777" w:rsidR="008B64A3" w:rsidRPr="00F15001" w:rsidRDefault="008B64A3" w:rsidP="008B64A3">
      <w:pPr>
        <w:ind w:left="567" w:firstLine="0"/>
        <w:rPr>
          <w:sz w:val="20"/>
          <w:szCs w:val="20"/>
        </w:rPr>
      </w:pPr>
      <w:r w:rsidRPr="00F15001">
        <w:rPr>
          <w:sz w:val="20"/>
          <w:szCs w:val="20"/>
        </w:rPr>
        <w:t>Of sterres, that been cleped in scriptures,</w:t>
      </w:r>
    </w:p>
    <w:p w14:paraId="6C306D6D" w14:textId="77777777" w:rsidR="008B64A3" w:rsidRPr="00F15001" w:rsidRDefault="008B64A3" w:rsidP="008B64A3">
      <w:pPr>
        <w:ind w:left="567" w:firstLine="0"/>
        <w:rPr>
          <w:sz w:val="20"/>
          <w:szCs w:val="20"/>
        </w:rPr>
      </w:pPr>
      <w:r w:rsidRPr="00F15001">
        <w:rPr>
          <w:sz w:val="20"/>
          <w:szCs w:val="20"/>
        </w:rPr>
        <w:lastRenderedPageBreak/>
        <w:t>That oon Puella, that other Rubeus.</w:t>
      </w:r>
      <w:r w:rsidRPr="00F15001">
        <w:rPr>
          <w:rStyle w:val="FootnoteReference"/>
          <w:sz w:val="20"/>
          <w:szCs w:val="20"/>
        </w:rPr>
        <w:footnoteReference w:id="134"/>
      </w:r>
    </w:p>
    <w:p w14:paraId="18E2E836" w14:textId="77777777" w:rsidR="008B64A3" w:rsidRDefault="008B64A3" w:rsidP="008B64A3">
      <w:pPr>
        <w:ind w:firstLine="0"/>
      </w:pPr>
    </w:p>
    <w:p w14:paraId="53F30B99" w14:textId="083E925D" w:rsidR="008B64A3" w:rsidRDefault="008B64A3" w:rsidP="008B64A3">
      <w:pPr>
        <w:ind w:firstLine="567"/>
      </w:pPr>
      <w:r>
        <w:t xml:space="preserve">Furthermore, Charmasson has reported a passage from the </w:t>
      </w:r>
      <w:r w:rsidRPr="00001499">
        <w:rPr>
          <w:i/>
          <w:iCs/>
        </w:rPr>
        <w:t>Tesoro</w:t>
      </w:r>
      <w:r>
        <w:t xml:space="preserve"> of Brunetto Latini (c. 1220-c. 1294 AD), </w:t>
      </w:r>
      <w:r w:rsidR="001926AA">
        <w:t>teacher</w:t>
      </w:r>
      <w:r>
        <w:t xml:space="preserve"> and friend of Dante Alighieri,</w:t>
      </w:r>
      <w:r>
        <w:rPr>
          <w:rStyle w:val="FootnoteReference"/>
        </w:rPr>
        <w:footnoteReference w:id="135"/>
      </w:r>
      <w:r>
        <w:t xml:space="preserve"> that seems to be referring to geomancy, though the poem mistakenly </w:t>
      </w:r>
      <w:r w:rsidR="00200881">
        <w:t>names</w:t>
      </w:r>
      <w:r>
        <w:t xml:space="preserve"> it ‘geometry’. The passage is inserted in the narrations of legendary episodes from the life of Alexand</w:t>
      </w:r>
      <w:r w:rsidR="00021C52">
        <w:t>re</w:t>
      </w:r>
      <w:r>
        <w:t xml:space="preserve"> the Great, it narrates of a queen that wished for the death of Alexandre and schemed for his assassination, after having divined through geomancy that he would become her enemy:</w:t>
      </w:r>
      <w:r>
        <w:rPr>
          <w:rStyle w:val="FootnoteReference"/>
        </w:rPr>
        <w:footnoteReference w:id="136"/>
      </w:r>
      <w:r>
        <w:t xml:space="preserve"> </w:t>
      </w:r>
    </w:p>
    <w:p w14:paraId="2E10DE53" w14:textId="77777777" w:rsidR="008B64A3" w:rsidRDefault="008B64A3" w:rsidP="008B64A3">
      <w:pPr>
        <w:ind w:firstLine="567"/>
      </w:pPr>
    </w:p>
    <w:p w14:paraId="582DE5A6" w14:textId="4AFFDFC7" w:rsidR="008B64A3" w:rsidRPr="00EE75C1" w:rsidRDefault="008B64A3" w:rsidP="008B64A3">
      <w:pPr>
        <w:ind w:left="567" w:firstLine="0"/>
        <w:rPr>
          <w:sz w:val="20"/>
          <w:szCs w:val="20"/>
        </w:rPr>
      </w:pPr>
      <w:r w:rsidRPr="00EE75C1">
        <w:rPr>
          <w:sz w:val="20"/>
          <w:szCs w:val="20"/>
        </w:rPr>
        <w:t>The queen was very wise</w:t>
      </w:r>
      <w:r w:rsidR="00E82C9E">
        <w:rPr>
          <w:sz w:val="20"/>
          <w:szCs w:val="20"/>
        </w:rPr>
        <w:t xml:space="preserve"> </w:t>
      </w:r>
      <w:r w:rsidRPr="00EE75C1">
        <w:rPr>
          <w:sz w:val="20"/>
          <w:szCs w:val="20"/>
        </w:rPr>
        <w:t>/ and was able to cast lots through her geometry</w:t>
      </w:r>
      <w:r w:rsidR="006E5C71">
        <w:rPr>
          <w:sz w:val="20"/>
          <w:szCs w:val="20"/>
        </w:rPr>
        <w:t xml:space="preserve"> (</w:t>
      </w:r>
      <w:r w:rsidR="006E5C71" w:rsidRPr="003B2614">
        <w:rPr>
          <w:i/>
          <w:iCs/>
          <w:sz w:val="20"/>
          <w:szCs w:val="20"/>
        </w:rPr>
        <w:t>sic</w:t>
      </w:r>
      <w:r w:rsidR="006E5C71">
        <w:rPr>
          <w:sz w:val="20"/>
          <w:szCs w:val="20"/>
        </w:rPr>
        <w:t>. geomancy)</w:t>
      </w:r>
      <w:r w:rsidRPr="00EE75C1">
        <w:rPr>
          <w:sz w:val="20"/>
          <w:szCs w:val="20"/>
        </w:rPr>
        <w:t>.</w:t>
      </w:r>
      <w:r w:rsidR="00E82C9E">
        <w:rPr>
          <w:sz w:val="20"/>
          <w:szCs w:val="20"/>
        </w:rPr>
        <w:t xml:space="preserve"> </w:t>
      </w:r>
      <w:r w:rsidRPr="00EE75C1">
        <w:rPr>
          <w:sz w:val="20"/>
          <w:szCs w:val="20"/>
        </w:rPr>
        <w:t>/ Through one of her spies she knew that Alexander was born. She was a sorceress, and from the lots she knew</w:t>
      </w:r>
      <w:r w:rsidR="00E82C9E">
        <w:rPr>
          <w:sz w:val="20"/>
          <w:szCs w:val="20"/>
        </w:rPr>
        <w:t xml:space="preserve"> </w:t>
      </w:r>
      <w:r w:rsidRPr="00EE75C1">
        <w:rPr>
          <w:sz w:val="20"/>
          <w:szCs w:val="20"/>
        </w:rPr>
        <w:t>/ That from Olympias someone named Alexander would be born</w:t>
      </w:r>
      <w:r w:rsidR="00E82C9E">
        <w:rPr>
          <w:sz w:val="20"/>
          <w:szCs w:val="20"/>
        </w:rPr>
        <w:t xml:space="preserve"> </w:t>
      </w:r>
      <w:r w:rsidRPr="00EE75C1">
        <w:rPr>
          <w:sz w:val="20"/>
          <w:szCs w:val="20"/>
        </w:rPr>
        <w:t>/ That would move great war against her</w:t>
      </w:r>
      <w:r w:rsidR="00E82C9E">
        <w:rPr>
          <w:sz w:val="20"/>
          <w:szCs w:val="20"/>
        </w:rPr>
        <w:t xml:space="preserve"> </w:t>
      </w:r>
      <w:r w:rsidRPr="00EE75C1">
        <w:rPr>
          <w:sz w:val="20"/>
          <w:szCs w:val="20"/>
        </w:rPr>
        <w:t>/ And finally deprive her of her land.</w:t>
      </w:r>
      <w:r w:rsidR="00E82C9E">
        <w:rPr>
          <w:sz w:val="20"/>
          <w:szCs w:val="20"/>
        </w:rPr>
        <w:t xml:space="preserve"> </w:t>
      </w:r>
      <w:r w:rsidRPr="00EE75C1">
        <w:rPr>
          <w:sz w:val="20"/>
          <w:szCs w:val="20"/>
        </w:rPr>
        <w:t>/ She thought of making the geometry (</w:t>
      </w:r>
      <w:r w:rsidRPr="003B2614">
        <w:rPr>
          <w:i/>
          <w:iCs/>
          <w:sz w:val="20"/>
          <w:szCs w:val="20"/>
        </w:rPr>
        <w:t>sic.</w:t>
      </w:r>
      <w:r w:rsidRPr="00EE75C1">
        <w:rPr>
          <w:sz w:val="20"/>
          <w:szCs w:val="20"/>
        </w:rPr>
        <w:t xml:space="preserve"> </w:t>
      </w:r>
      <w:r w:rsidRPr="006E5C71">
        <w:rPr>
          <w:sz w:val="20"/>
          <w:szCs w:val="20"/>
        </w:rPr>
        <w:t>geomancy</w:t>
      </w:r>
      <w:r w:rsidRPr="00EE75C1">
        <w:rPr>
          <w:sz w:val="20"/>
          <w:szCs w:val="20"/>
        </w:rPr>
        <w:t>) fail</w:t>
      </w:r>
      <w:r w:rsidR="00E82C9E">
        <w:rPr>
          <w:sz w:val="20"/>
          <w:szCs w:val="20"/>
        </w:rPr>
        <w:t xml:space="preserve"> </w:t>
      </w:r>
      <w:r w:rsidRPr="00EE75C1">
        <w:rPr>
          <w:sz w:val="20"/>
          <w:szCs w:val="20"/>
        </w:rPr>
        <w:t>/ And decided in her mind to make him die.</w:t>
      </w:r>
      <w:r w:rsidRPr="00EE75C1">
        <w:rPr>
          <w:rStyle w:val="FootnoteReference"/>
          <w:sz w:val="20"/>
          <w:szCs w:val="20"/>
        </w:rPr>
        <w:footnoteReference w:id="137"/>
      </w:r>
    </w:p>
    <w:p w14:paraId="73D006CA" w14:textId="77777777" w:rsidR="008B64A3" w:rsidRDefault="008B64A3" w:rsidP="008B64A3">
      <w:pPr>
        <w:ind w:firstLine="567"/>
      </w:pPr>
    </w:p>
    <w:p w14:paraId="0EA16C65" w14:textId="43F3193C" w:rsidR="008B64A3" w:rsidRDefault="008B64A3" w:rsidP="008B64A3">
      <w:pPr>
        <w:ind w:firstLine="567"/>
      </w:pPr>
      <w:r w:rsidRPr="008B74E9">
        <w:t xml:space="preserve">This passage </w:t>
      </w:r>
      <w:r>
        <w:t>clearly deals with</w:t>
      </w:r>
      <w:r w:rsidRPr="008B74E9">
        <w:t xml:space="preserve"> the anticipation of future events, and the resulting forecast aligns closely with the kind of information commonly sought in texts related to geomancy and, more broadly, in divinatory literature. Consequently, it appears to lend support to Charmasson</w:t>
      </w:r>
      <w:r w:rsidR="00C053BD">
        <w:t>’</w:t>
      </w:r>
      <w:r w:rsidRPr="008B74E9">
        <w:t xml:space="preserve">s argument that the term </w:t>
      </w:r>
      <w:r>
        <w:t>‘</w:t>
      </w:r>
      <w:r w:rsidRPr="008B74E9">
        <w:t>geometry</w:t>
      </w:r>
      <w:r>
        <w:t>’</w:t>
      </w:r>
      <w:r w:rsidRPr="008B74E9">
        <w:t xml:space="preserve"> was erroneously used instead of </w:t>
      </w:r>
      <w:r>
        <w:t>‘</w:t>
      </w:r>
      <w:r w:rsidRPr="008B74E9">
        <w:t>geomancy</w:t>
      </w:r>
      <w:r w:rsidR="004429CA">
        <w:t>.</w:t>
      </w:r>
      <w:r>
        <w:t>’</w:t>
      </w:r>
      <w:r>
        <w:rPr>
          <w:rStyle w:val="FootnoteReference"/>
        </w:rPr>
        <w:footnoteReference w:id="138"/>
      </w:r>
      <w:r w:rsidRPr="008B74E9">
        <w:t xml:space="preserve"> The presence of these references to the practice of divination using sand, </w:t>
      </w:r>
      <w:r w:rsidRPr="008B74E9">
        <w:lastRenderedPageBreak/>
        <w:t xml:space="preserve">known as geomancy, in prominent literary works from the thirteenth and fourteenth centuries attests to the widespread familiarity with both the terminology associated with geomantic figures and the practice of geomancy itself during the late medieval era. Without this familiarity, the aforementioned references would have been incomprehensible to the intended audience of these works. Additionally, the mention of geomancy by Dante and Chaucer underscores the status that geomancy enjoyed among the various divinatory methods prevalent in Medieval Europe. </w:t>
      </w:r>
      <w:r>
        <w:t>As it will be demonstrated in the following chapters, geomancy</w:t>
      </w:r>
      <w:r w:rsidRPr="008B74E9">
        <w:t xml:space="preserve"> stood as a notable counterpart to astrology, serving as a concise form of astrology (</w:t>
      </w:r>
      <w:r w:rsidRPr="0061615D">
        <w:rPr>
          <w:i/>
          <w:iCs/>
        </w:rPr>
        <w:t>astrologia brevis</w:t>
      </w:r>
      <w:r w:rsidRPr="008B74E9">
        <w:t>), which, although it involved markings made on the ground, ultimately concerned itself with celestial configurations.</w:t>
      </w:r>
    </w:p>
    <w:p w14:paraId="61C81FA7" w14:textId="77777777" w:rsidR="008B64A3" w:rsidRPr="003946E9" w:rsidRDefault="008B64A3" w:rsidP="008B64A3">
      <w:pPr>
        <w:ind w:firstLine="567"/>
      </w:pPr>
    </w:p>
    <w:p w14:paraId="55733603" w14:textId="0314E433" w:rsidR="008B64A3" w:rsidRPr="006E07BF" w:rsidRDefault="008B64A3" w:rsidP="006E07BF">
      <w:pPr>
        <w:pStyle w:val="Heading2"/>
        <w:ind w:firstLine="0"/>
        <w:rPr>
          <w:rFonts w:asciiTheme="majorBidi" w:hAnsiTheme="majorBidi"/>
          <w:color w:val="auto"/>
          <w:sz w:val="20"/>
          <w:szCs w:val="20"/>
        </w:rPr>
      </w:pPr>
      <w:bookmarkStart w:id="41" w:name="_Toc165108639"/>
      <w:r w:rsidRPr="006E07BF">
        <w:rPr>
          <w:rFonts w:asciiTheme="majorBidi" w:hAnsiTheme="majorBidi"/>
          <w:color w:val="auto"/>
          <w:sz w:val="20"/>
          <w:szCs w:val="20"/>
        </w:rPr>
        <w:t>I.</w:t>
      </w:r>
      <w:r w:rsidR="00AB2645">
        <w:rPr>
          <w:rFonts w:asciiTheme="majorBidi" w:hAnsiTheme="majorBidi"/>
          <w:color w:val="auto"/>
          <w:sz w:val="20"/>
          <w:szCs w:val="20"/>
        </w:rPr>
        <w:t>4</w:t>
      </w:r>
      <w:r w:rsidRPr="006E07BF">
        <w:rPr>
          <w:rFonts w:asciiTheme="majorBidi" w:hAnsiTheme="majorBidi"/>
          <w:color w:val="auto"/>
          <w:sz w:val="20"/>
          <w:szCs w:val="20"/>
        </w:rPr>
        <w:t xml:space="preserve"> GEOMANCY CONDEMNED</w:t>
      </w:r>
      <w:bookmarkEnd w:id="41"/>
    </w:p>
    <w:p w14:paraId="3FEC03F5" w14:textId="77777777" w:rsidR="008B64A3" w:rsidRPr="004D6239" w:rsidRDefault="008B64A3" w:rsidP="008B64A3">
      <w:pPr>
        <w:rPr>
          <w:sz w:val="20"/>
          <w:szCs w:val="20"/>
        </w:rPr>
      </w:pPr>
    </w:p>
    <w:p w14:paraId="5C6092F0" w14:textId="5009B04E" w:rsidR="008B64A3" w:rsidRDefault="008B64A3" w:rsidP="008B64A3">
      <w:pPr>
        <w:ind w:firstLine="0"/>
      </w:pPr>
      <w:r>
        <w:tab/>
      </w:r>
      <w:r w:rsidRPr="00E54727">
        <w:t>The rapid dissemination of geomancy across various strata of medieval society was met with a sequence of condemnations due to the resistance it faced from ecclesiastical authorities of the era.</w:t>
      </w:r>
      <w:r w:rsidR="006370FD" w:rsidRPr="00E54727">
        <w:rPr>
          <w:rStyle w:val="FootnoteReference"/>
        </w:rPr>
        <w:t xml:space="preserve"> </w:t>
      </w:r>
      <w:r w:rsidR="006370FD" w:rsidRPr="00E54727">
        <w:rPr>
          <w:rStyle w:val="FootnoteReference"/>
        </w:rPr>
        <w:footnoteReference w:id="139"/>
      </w:r>
      <w:r w:rsidRPr="00E54727">
        <w:t xml:space="preserve"> This fourth section will highlight the most notable condemnations that targeted geoma</w:t>
      </w:r>
      <w:r w:rsidR="001C6F90" w:rsidRPr="00E54727">
        <w:t>ncy</w:t>
      </w:r>
      <w:r w:rsidRPr="00E54727">
        <w:t>, along with an examination of anti-divinatory texts wherein geomancy, along with other forms of divination and magic, faced criticism.</w:t>
      </w:r>
      <w:r w:rsidRPr="00020315">
        <w:t xml:space="preserve"> </w:t>
      </w:r>
      <w:r w:rsidR="00911276">
        <w:t>One of the most significant</w:t>
      </w:r>
      <w:r w:rsidRPr="00020315">
        <w:t xml:space="preserve"> condemnation</w:t>
      </w:r>
      <w:r w:rsidR="00911276">
        <w:t>s</w:t>
      </w:r>
      <w:r w:rsidRPr="00020315">
        <w:t xml:space="preserve"> took place in 1277 under the authority of the bishop of Paris</w:t>
      </w:r>
      <w:r>
        <w:t xml:space="preserve">, </w:t>
      </w:r>
      <w:r w:rsidRPr="00020315">
        <w:t>Étienne Tempier. This condemnation comprised a collection of 219 propositions sourced from diverse works authored by scholars from the faculty of arts. Furthermore, two specific books were explicitly censured: Andreas Capellanus</w:t>
      </w:r>
      <w:r>
        <w:t>’</w:t>
      </w:r>
      <w:r w:rsidRPr="00020315">
        <w:t xml:space="preserve"> </w:t>
      </w:r>
      <w:r w:rsidRPr="002A7E10">
        <w:rPr>
          <w:i/>
          <w:iCs/>
        </w:rPr>
        <w:t>De amore</w:t>
      </w:r>
      <w:r w:rsidRPr="00020315">
        <w:t xml:space="preserve"> and the geomantic work known by its incipit </w:t>
      </w:r>
      <w:r w:rsidRPr="002A7E10">
        <w:rPr>
          <w:i/>
          <w:iCs/>
        </w:rPr>
        <w:t>Estimaverunt Indi</w:t>
      </w:r>
      <w:r w:rsidRPr="00020315">
        <w:t xml:space="preserve">, </w:t>
      </w:r>
      <w:r>
        <w:t>previously mentioned</w:t>
      </w:r>
      <w:r w:rsidRPr="00020315">
        <w:t xml:space="preserve"> in this chapter. Additionally, </w:t>
      </w:r>
      <w:r w:rsidRPr="00020315">
        <w:lastRenderedPageBreak/>
        <w:t xml:space="preserve">various rolls and books pertaining to nigromancy, enchantments, and invocations to demons, although less specifically identified, were also included within the ambit of </w:t>
      </w:r>
      <w:r w:rsidR="001C6F90">
        <w:t xml:space="preserve">this </w:t>
      </w:r>
      <w:r w:rsidRPr="00020315">
        <w:t>condemnation</w:t>
      </w:r>
      <w:r>
        <w:t>.</w:t>
      </w:r>
      <w:r>
        <w:rPr>
          <w:rStyle w:val="FootnoteReference"/>
        </w:rPr>
        <w:footnoteReference w:id="140"/>
      </w:r>
      <w:r>
        <w:t xml:space="preserve"> </w:t>
      </w:r>
      <w:r w:rsidRPr="000F6C4B">
        <w:t xml:space="preserve">According to Palazzo, the inclusion of a treatise on geomancy, specifically the </w:t>
      </w:r>
      <w:r w:rsidRPr="000F6C4B">
        <w:rPr>
          <w:i/>
          <w:iCs/>
        </w:rPr>
        <w:t>Estimaverunt Indi</w:t>
      </w:r>
      <w:r w:rsidRPr="000F6C4B">
        <w:t>, in the condemnation of 1277 can be attributed to multiple factors. Firstly, the pastoral motive of the bishop played a significant role. He contextuali</w:t>
      </w:r>
      <w:r>
        <w:t>s</w:t>
      </w:r>
      <w:r w:rsidRPr="000F6C4B">
        <w:t>ed geomancy within a broader condemnation that encompassed doctrines such as divination</w:t>
      </w:r>
      <w:r w:rsidR="00873B12">
        <w:t>,</w:t>
      </w:r>
      <w:r w:rsidRPr="000F6C4B">
        <w:t xml:space="preserve"> astral fatalism</w:t>
      </w:r>
      <w:r w:rsidR="00873B12">
        <w:t xml:space="preserve"> and </w:t>
      </w:r>
      <w:r w:rsidR="00873B12" w:rsidRPr="000F6C4B">
        <w:t>necromancy</w:t>
      </w:r>
      <w:r w:rsidR="00873B12">
        <w:t xml:space="preserve"> (a magical </w:t>
      </w:r>
      <w:r w:rsidR="00873B12" w:rsidRPr="00873B12">
        <w:t xml:space="preserve">practice involving communication with </w:t>
      </w:r>
      <w:r w:rsidR="006B55CF">
        <w:t>demons</w:t>
      </w:r>
      <w:r w:rsidR="00873B12">
        <w:t>)</w:t>
      </w:r>
      <w:r w:rsidRPr="000F6C4B">
        <w:t xml:space="preserve"> all of which were perceived as posing a threat to the Christian faith. Secondly, geomancy</w:t>
      </w:r>
      <w:r>
        <w:t>’</w:t>
      </w:r>
      <w:r w:rsidRPr="000F6C4B">
        <w:t xml:space="preserve">s distinctiveness among various forms of divination made it an obvious target for criticism. Moreover, the documented existence of a copy of the </w:t>
      </w:r>
      <w:r w:rsidRPr="000F6C4B">
        <w:rPr>
          <w:i/>
          <w:iCs/>
        </w:rPr>
        <w:t>Estimaverunt Indi</w:t>
      </w:r>
      <w:r w:rsidRPr="000F6C4B">
        <w:t xml:space="preserve"> in Paris during that period lent credibility to this text, which bore notable Islamic associations, thereby rendering it heretical in the context of Christianity. The prevailing religious and ideological animosity towards the Islamic religion following the second Council of Lyon in 1274 provided a suitable backdrop for the rejection of a doctrine that openly </w:t>
      </w:r>
      <w:r>
        <w:t>exhibited</w:t>
      </w:r>
      <w:r w:rsidRPr="000F6C4B">
        <w:t xml:space="preserve"> its Islamic origins.</w:t>
      </w:r>
      <w:r>
        <w:rPr>
          <w:rStyle w:val="FootnoteReference"/>
        </w:rPr>
        <w:footnoteReference w:id="141"/>
      </w:r>
      <w:r>
        <w:t xml:space="preserve"> </w:t>
      </w:r>
    </w:p>
    <w:p w14:paraId="7FF1DF38" w14:textId="70EAA778" w:rsidR="008B64A3" w:rsidRDefault="008B64A3" w:rsidP="008B64A3">
      <w:r>
        <w:t xml:space="preserve">References to geomancy can also be traced among the 219 propositions condemned by Tempier, concerning the concept of </w:t>
      </w:r>
      <w:r w:rsidR="0036799F">
        <w:t>fate</w:t>
      </w:r>
      <w:r>
        <w:t>, astral determinism and astral power,</w:t>
      </w:r>
      <w:r>
        <w:rPr>
          <w:rStyle w:val="FootnoteReference"/>
        </w:rPr>
        <w:footnoteReference w:id="142"/>
      </w:r>
      <w:r>
        <w:t xml:space="preserve"> but particularly relevant is the article 167 (178)  that condemns the opinion: ‘</w:t>
      </w:r>
      <w:r w:rsidRPr="0027304F">
        <w:t>That the intentions and changes of intention of men are known by certain signs, and whether those intentions are to be accomplished; and that by means of such figures</w:t>
      </w:r>
      <w:r>
        <w:t xml:space="preserve"> are known</w:t>
      </w:r>
      <w:r w:rsidRPr="0027304F">
        <w:t xml:space="preserve"> the </w:t>
      </w:r>
      <w:r w:rsidR="00635873">
        <w:t>fate</w:t>
      </w:r>
      <w:r w:rsidRPr="0027304F">
        <w:t xml:space="preserve"> of </w:t>
      </w:r>
      <w:r>
        <w:t>pilgrims</w:t>
      </w:r>
      <w:r w:rsidRPr="0027304F">
        <w:t xml:space="preserve">, the captivity of men, the release of the captives, </w:t>
      </w:r>
      <w:r w:rsidRPr="00A7096C">
        <w:t xml:space="preserve">and whether the future &lt;men&gt; will be wise or </w:t>
      </w:r>
      <w:r w:rsidRPr="00A7096C">
        <w:lastRenderedPageBreak/>
        <w:t>will be robbers.</w:t>
      </w:r>
      <w:r>
        <w:t>’</w:t>
      </w:r>
      <w:r w:rsidRPr="00A7096C">
        <w:rPr>
          <w:rStyle w:val="FootnoteReference"/>
        </w:rPr>
        <w:footnoteReference w:id="143"/>
      </w:r>
      <w:r>
        <w:t xml:space="preserve"> Scholars have interpreted this passage in different ways, arguing that this article may refer to the occult sciences,</w:t>
      </w:r>
      <w:r>
        <w:rPr>
          <w:rStyle w:val="FootnoteReference"/>
        </w:rPr>
        <w:footnoteReference w:id="144"/>
      </w:r>
      <w:r>
        <w:t xml:space="preserve"> to astrology</w:t>
      </w:r>
      <w:r>
        <w:rPr>
          <w:rStyle w:val="FootnoteReference"/>
        </w:rPr>
        <w:footnoteReference w:id="145"/>
      </w:r>
      <w:r>
        <w:t xml:space="preserve"> or more generally any form of divination.</w:t>
      </w:r>
      <w:r>
        <w:rPr>
          <w:rStyle w:val="FootnoteReference"/>
        </w:rPr>
        <w:footnoteReference w:id="146"/>
      </w:r>
      <w:r>
        <w:t xml:space="preserve"> Others, among which Luca Bianchi,</w:t>
      </w:r>
      <w:r>
        <w:rPr>
          <w:rStyle w:val="FootnoteReference"/>
        </w:rPr>
        <w:footnoteReference w:id="147"/>
      </w:r>
      <w:r>
        <w:t xml:space="preserve"> Jean-Patrice Boudet</w:t>
      </w:r>
      <w:r>
        <w:rPr>
          <w:rStyle w:val="FootnoteReference"/>
        </w:rPr>
        <w:footnoteReference w:id="148"/>
      </w:r>
      <w:r>
        <w:t xml:space="preserve"> and Palazzo,</w:t>
      </w:r>
      <w:r>
        <w:rPr>
          <w:rStyle w:val="FootnoteReference"/>
        </w:rPr>
        <w:footnoteReference w:id="149"/>
      </w:r>
      <w:r>
        <w:t xml:space="preserve"> have argued that the passage is indeed referring specifically to geomancy, and that the </w:t>
      </w:r>
      <w:r w:rsidRPr="003D2B7C">
        <w:rPr>
          <w:i/>
          <w:iCs/>
        </w:rPr>
        <w:t>figura</w:t>
      </w:r>
      <w:r>
        <w:rPr>
          <w:i/>
          <w:iCs/>
        </w:rPr>
        <w:t>e</w:t>
      </w:r>
      <w:r>
        <w:t xml:space="preserve"> mentioned in the article are in fact the sixteen configurations of </w:t>
      </w:r>
      <w:r w:rsidR="002F2BE4">
        <w:t>points</w:t>
      </w:r>
      <w:r>
        <w:t xml:space="preserve"> of the geomantic chart. </w:t>
      </w:r>
      <w:r w:rsidRPr="00C06562">
        <w:t>Furthermore, as the subsequent chapters of this thesis will demonstrate, the notion of intention (</w:t>
      </w:r>
      <w:r w:rsidRPr="00C06562">
        <w:rPr>
          <w:i/>
          <w:iCs/>
        </w:rPr>
        <w:t>intentio</w:t>
      </w:r>
      <w:r w:rsidRPr="00C06562">
        <w:t xml:space="preserve">) holds paramount significance within the realm of geomantic practice. Notably, one of the contentious aspects surrounding geomancy pertains to its capacity to encompass not merely the anticipation of future occurrences but also a form </w:t>
      </w:r>
      <w:r w:rsidRPr="00D5658F">
        <w:t>of knowledge</w:t>
      </w:r>
      <w:r w:rsidRPr="00BA2731">
        <w:rPr>
          <w:color w:val="FF0000"/>
        </w:rPr>
        <w:t xml:space="preserve"> </w:t>
      </w:r>
      <w:r w:rsidR="00D5658F">
        <w:t>able to unravel</w:t>
      </w:r>
      <w:r w:rsidRPr="00C06562">
        <w:t xml:space="preserve"> concealed intentions and desires of the human</w:t>
      </w:r>
      <w:r w:rsidRPr="00BA2731">
        <w:rPr>
          <w:color w:val="FF0000"/>
        </w:rPr>
        <w:t xml:space="preserve"> </w:t>
      </w:r>
      <w:r w:rsidR="00D5658F" w:rsidRPr="00D5658F">
        <w:t>soul</w:t>
      </w:r>
      <w:r w:rsidRPr="00D5658F">
        <w:t>.</w:t>
      </w:r>
      <w:r w:rsidRPr="00C06562">
        <w:t xml:space="preserve"> In this regard, as noted by Eugenio Garin, geomancy exhibits a </w:t>
      </w:r>
      <w:r>
        <w:t>re</w:t>
      </w:r>
      <w:r w:rsidRPr="00C06562">
        <w:t>semblance to astrological interrogations, as both disciplines are preoccupied with divining the future through astral influences and with probing the profound depths of the human soul</w:t>
      </w:r>
      <w:r w:rsidR="005C07B8">
        <w:t xml:space="preserve"> – </w:t>
      </w:r>
      <w:r w:rsidRPr="00C06562">
        <w:t>an ability traditionally believed to be exclusive to the divine realm</w:t>
      </w:r>
      <w:r>
        <w:t>.</w:t>
      </w:r>
      <w:r>
        <w:rPr>
          <w:rStyle w:val="FootnoteReference"/>
        </w:rPr>
        <w:footnoteReference w:id="150"/>
      </w:r>
    </w:p>
    <w:p w14:paraId="7D0D65F8" w14:textId="1E68EE06" w:rsidR="008B64A3" w:rsidRDefault="008B64A3" w:rsidP="008B64A3">
      <w:r w:rsidRPr="006B7537">
        <w:t xml:space="preserve">In 1290, geomancy faced yet another condemnation. This time, the censure emanated from a joint effort involving the bishop of Paris, the archbishop of Sens, and the Dominican Inquisitor, acting upon the counsel of scholars in theology and experts in canon law. The decree explicitly denounced </w:t>
      </w:r>
      <w:r>
        <w:t>“</w:t>
      </w:r>
      <w:r w:rsidRPr="006B7537">
        <w:t>all books on divination and lots,</w:t>
      </w:r>
      <w:r>
        <w:t>”</w:t>
      </w:r>
      <w:r w:rsidRPr="006B7537">
        <w:t xml:space="preserve"> encompassing not only </w:t>
      </w:r>
      <w:r w:rsidRPr="006B7537">
        <w:lastRenderedPageBreak/>
        <w:t xml:space="preserve">volumes on necromancy, geomancy, pyromancy, hydromancy, chiromancy, but also works pertaining to astral magic. Unlike the previous condemnation </w:t>
      </w:r>
      <w:r w:rsidR="008D06F9">
        <w:t>promulgated</w:t>
      </w:r>
      <w:r w:rsidRPr="006B7537">
        <w:t xml:space="preserve"> by Tempier, the 1290 censure displayed a remarkable precision by enumerating the specific texts to be proscribed. It is noteworthy, however, that the condemnation </w:t>
      </w:r>
      <w:r w:rsidR="008D06F9">
        <w:t>of 1277</w:t>
      </w:r>
      <w:r w:rsidR="00CE1A54">
        <w:t xml:space="preserve"> </w:t>
      </w:r>
      <w:r w:rsidRPr="006B7537">
        <w:t>accorded particular significance to geomancy, as it singularly identified this mystical art as the subject of explicit condemnation. As discerned by Palazzo, the act of condemning a particular tract on geomancy underscores a sense of urgency and concern that is conspicuously absent in relation to the dissemination of other divinatory practices</w:t>
      </w:r>
      <w:r>
        <w:t>.</w:t>
      </w:r>
      <w:r>
        <w:rPr>
          <w:rStyle w:val="FootnoteReference"/>
        </w:rPr>
        <w:footnoteReference w:id="151"/>
      </w:r>
      <w:r>
        <w:t xml:space="preserve"> This notice, although negative, reveals once more the great extent and </w:t>
      </w:r>
      <w:r w:rsidR="00803DAC">
        <w:t>speed</w:t>
      </w:r>
      <w:r>
        <w:t xml:space="preserve"> with which geomancy was spreading in medieval Europe. Another edict against geomancy and the other divinatory arts was published in 1318 by </w:t>
      </w:r>
      <w:bookmarkStart w:id="42" w:name="_Hlk141082515"/>
      <w:r>
        <w:t>Pope John XXII</w:t>
      </w:r>
      <w:bookmarkEnd w:id="42"/>
      <w:r>
        <w:t>, under whose pontificate many condemnations and actions were taken against magic and divination.</w:t>
      </w:r>
      <w:r>
        <w:rPr>
          <w:rStyle w:val="FootnoteReference"/>
        </w:rPr>
        <w:footnoteReference w:id="152"/>
      </w:r>
      <w:r w:rsidRPr="006B7537">
        <w:t xml:space="preserve"> The punishment in question was aimed at various individuals within the pontifical court who were accused of engaging in practices such as necromancy, geomancy, and other forms of magical arts, all of which were declared as diabolical by the Pope</w:t>
      </w:r>
      <w:r>
        <w:t>:</w:t>
      </w:r>
      <w:r>
        <w:rPr>
          <w:rStyle w:val="FootnoteReference"/>
        </w:rPr>
        <w:footnoteReference w:id="153"/>
      </w:r>
      <w:r>
        <w:t xml:space="preserve"> </w:t>
      </w:r>
    </w:p>
    <w:p w14:paraId="060DDA67" w14:textId="77777777" w:rsidR="008B64A3" w:rsidRDefault="008B64A3" w:rsidP="008B64A3"/>
    <w:p w14:paraId="5C8045E8" w14:textId="16FE6477" w:rsidR="008B64A3" w:rsidRDefault="003B4E1B" w:rsidP="008B64A3">
      <w:pPr>
        <w:ind w:left="567" w:firstLine="0"/>
        <w:rPr>
          <w:sz w:val="20"/>
          <w:szCs w:val="20"/>
        </w:rPr>
      </w:pPr>
      <w:r>
        <w:rPr>
          <w:sz w:val="20"/>
          <w:szCs w:val="20"/>
        </w:rPr>
        <w:t>An</w:t>
      </w:r>
      <w:r w:rsidRPr="0040336C">
        <w:rPr>
          <w:sz w:val="20"/>
          <w:szCs w:val="20"/>
        </w:rPr>
        <w:t xml:space="preserve"> assertion</w:t>
      </w:r>
      <w:r>
        <w:rPr>
          <w:sz w:val="20"/>
          <w:szCs w:val="20"/>
        </w:rPr>
        <w:t xml:space="preserve"> </w:t>
      </w:r>
      <w:r w:rsidRPr="0040336C">
        <w:rPr>
          <w:sz w:val="20"/>
          <w:szCs w:val="20"/>
        </w:rPr>
        <w:t>worthy of belief</w:t>
      </w:r>
      <w:r>
        <w:rPr>
          <w:sz w:val="20"/>
          <w:szCs w:val="20"/>
        </w:rPr>
        <w:t xml:space="preserve"> has recently brought to our hearing also a certain preface (?) of the sounds of popular rumour, that</w:t>
      </w:r>
      <w:r w:rsidRPr="0040336C">
        <w:rPr>
          <w:sz w:val="20"/>
          <w:szCs w:val="20"/>
        </w:rPr>
        <w:t xml:space="preserve"> John of </w:t>
      </w:r>
      <w:r>
        <w:rPr>
          <w:sz w:val="20"/>
          <w:szCs w:val="20"/>
        </w:rPr>
        <w:t>Limoges</w:t>
      </w:r>
      <w:r w:rsidRPr="0040336C">
        <w:rPr>
          <w:sz w:val="20"/>
          <w:szCs w:val="20"/>
        </w:rPr>
        <w:t xml:space="preserve">, James of Brabant, the physician John of Amantus, [...] the archbishop of the diocese of Lyons, and some others residing in our court, refusing to soberly follow the doctrine of the apostle, but being too intoxicated with vanity, desiring to be carried away by reprehensible ventures, have entangled themselves in nigromancy, geomancy, and many other magical arts; and by condemning them with all utter execrations </w:t>
      </w:r>
      <w:r w:rsidR="00C067A2">
        <w:rPr>
          <w:sz w:val="20"/>
          <w:szCs w:val="20"/>
        </w:rPr>
        <w:t>[</w:t>
      </w:r>
      <w:r w:rsidRPr="0040336C">
        <w:rPr>
          <w:sz w:val="20"/>
          <w:szCs w:val="20"/>
        </w:rPr>
        <w:t>...</w:t>
      </w:r>
      <w:r w:rsidR="00C067A2">
        <w:rPr>
          <w:sz w:val="20"/>
          <w:szCs w:val="20"/>
        </w:rPr>
        <w:t>]</w:t>
      </w:r>
      <w:r w:rsidRPr="0040336C">
        <w:rPr>
          <w:sz w:val="20"/>
          <w:szCs w:val="20"/>
        </w:rPr>
        <w:t xml:space="preserve"> frequently, placing themselves in a circle, they have called on evil spirits, so that through them they might plot against the salvation of men, or by killing them with the violence of song, or shortening their lives by the violence of </w:t>
      </w:r>
      <w:r>
        <w:rPr>
          <w:sz w:val="20"/>
          <w:szCs w:val="20"/>
        </w:rPr>
        <w:t>illness</w:t>
      </w:r>
      <w:r w:rsidRPr="0040336C">
        <w:rPr>
          <w:sz w:val="20"/>
          <w:szCs w:val="20"/>
        </w:rPr>
        <w:t xml:space="preserve">; sometimes they </w:t>
      </w:r>
      <w:r w:rsidRPr="0040336C">
        <w:rPr>
          <w:sz w:val="20"/>
          <w:szCs w:val="20"/>
        </w:rPr>
        <w:lastRenderedPageBreak/>
        <w:t>enclosed the demons in mirrors, circles, or rings, so as to keep them, they inquired about the past and the futur</w:t>
      </w:r>
      <w:r>
        <w:rPr>
          <w:sz w:val="20"/>
          <w:szCs w:val="20"/>
        </w:rPr>
        <w:t>e.</w:t>
      </w:r>
      <w:r w:rsidRPr="0040336C">
        <w:rPr>
          <w:sz w:val="20"/>
          <w:szCs w:val="20"/>
        </w:rPr>
        <w:t xml:space="preserve"> </w:t>
      </w:r>
      <w:r>
        <w:rPr>
          <w:sz w:val="20"/>
          <w:szCs w:val="20"/>
        </w:rPr>
        <w:t>T</w:t>
      </w:r>
      <w:r w:rsidRPr="0040336C">
        <w:rPr>
          <w:sz w:val="20"/>
          <w:szCs w:val="20"/>
        </w:rPr>
        <w:t xml:space="preserve">he future itself, which only God can foretell, was foretold from their consultations, and they meddled with divination and sorcery, and sometimes they </w:t>
      </w:r>
      <w:r>
        <w:rPr>
          <w:sz w:val="20"/>
          <w:szCs w:val="20"/>
        </w:rPr>
        <w:t xml:space="preserve">wrongly </w:t>
      </w:r>
      <w:r w:rsidRPr="0040336C">
        <w:rPr>
          <w:sz w:val="20"/>
          <w:szCs w:val="20"/>
        </w:rPr>
        <w:t xml:space="preserve">use </w:t>
      </w:r>
      <w:r>
        <w:rPr>
          <w:sz w:val="20"/>
          <w:szCs w:val="20"/>
        </w:rPr>
        <w:t>witches</w:t>
      </w:r>
      <w:r w:rsidR="008B64A3" w:rsidRPr="0040336C">
        <w:rPr>
          <w:sz w:val="20"/>
          <w:szCs w:val="20"/>
        </w:rPr>
        <w:t>.</w:t>
      </w:r>
      <w:r w:rsidR="008B64A3">
        <w:rPr>
          <w:rStyle w:val="FootnoteReference"/>
          <w:sz w:val="20"/>
          <w:szCs w:val="20"/>
        </w:rPr>
        <w:footnoteReference w:id="154"/>
      </w:r>
    </w:p>
    <w:p w14:paraId="4006C0BB" w14:textId="77777777" w:rsidR="008B64A3" w:rsidRDefault="008B64A3" w:rsidP="008B64A3">
      <w:pPr>
        <w:ind w:firstLine="0"/>
        <w:rPr>
          <w:sz w:val="20"/>
          <w:szCs w:val="20"/>
        </w:rPr>
      </w:pPr>
    </w:p>
    <w:p w14:paraId="5E1C8B8A" w14:textId="77777777" w:rsidR="008B64A3" w:rsidRDefault="008B64A3" w:rsidP="008B64A3">
      <w:pPr>
        <w:ind w:firstLine="0"/>
      </w:pPr>
      <w:r w:rsidRPr="0013646B">
        <w:t>As observed by Charmasson, the denunciation of geomancy, evident in both this censure and the majority of anti-divinatory literature, is not confined solely to its association with pyromancy, hydromancy, and aeromancy, but further extends to encompass incantations, augury, necromancy, invocations, and other magical arts that find disapproval within the Christian faith</w:t>
      </w:r>
      <w:r>
        <w:t>.</w:t>
      </w:r>
      <w:r>
        <w:rPr>
          <w:rStyle w:val="FootnoteReference"/>
        </w:rPr>
        <w:footnoteReference w:id="155"/>
      </w:r>
      <w:r>
        <w:t xml:space="preserve"> Another example is the </w:t>
      </w:r>
      <w:r w:rsidRPr="00822094">
        <w:rPr>
          <w:i/>
          <w:iCs/>
        </w:rPr>
        <w:t>Expositio theorice planetarum</w:t>
      </w:r>
      <w:r>
        <w:t xml:space="preserve">, written by Thaddeus of Parma in the same year as the edict of </w:t>
      </w:r>
      <w:r w:rsidRPr="0013646B">
        <w:t xml:space="preserve"> Pope John XXII</w:t>
      </w:r>
      <w:r>
        <w:t xml:space="preserve">. </w:t>
      </w:r>
      <w:r w:rsidRPr="0013646B">
        <w:t>This work, conceived as a series of lectures for medical students at the University of Bologna, proffers a systematic classification of diverse occult disciplines. Within its pages, Tha</w:t>
      </w:r>
      <w:r>
        <w:t>d</w:t>
      </w:r>
      <w:r w:rsidRPr="0013646B">
        <w:t>deus meticulously differentiates between licit mathematical pursuits, such as astronomy, and illicit forms of mathematics, wherein he places geomancy alongside aeromancy, pyromancy, hydromancy, theurgy, necromancy, augury, chiromancy, scapulimancy, among others</w:t>
      </w:r>
      <w:r>
        <w:t>.</w:t>
      </w:r>
      <w:r>
        <w:rPr>
          <w:rStyle w:val="FootnoteReference"/>
        </w:rPr>
        <w:footnoteReference w:id="156"/>
      </w:r>
    </w:p>
    <w:p w14:paraId="08222386" w14:textId="4123DBAD" w:rsidR="008B64A3" w:rsidRDefault="008B64A3" w:rsidP="008B64A3">
      <w:pPr>
        <w:ind w:firstLine="0"/>
      </w:pPr>
      <w:r>
        <w:tab/>
      </w:r>
      <w:r w:rsidRPr="00C32A8D">
        <w:t xml:space="preserve">Nicole Oresme (1323-1382 AD), a preeminent theologian, mathematician, and philosopher of the late Scholastic era, emerges as yet another influential figure who actively </w:t>
      </w:r>
      <w:r w:rsidR="003B4E1B">
        <w:t>criticised</w:t>
      </w:r>
      <w:r w:rsidRPr="00C32A8D">
        <w:t xml:space="preserve"> the domains of magic and astrology. During his tenure as the chancellor at the court </w:t>
      </w:r>
      <w:r w:rsidRPr="00C32A8D">
        <w:lastRenderedPageBreak/>
        <w:t xml:space="preserve">of Charles V, Oresme penned the </w:t>
      </w:r>
      <w:bookmarkStart w:id="43" w:name="_Hlk141867028"/>
      <w:r w:rsidRPr="00C32A8D">
        <w:rPr>
          <w:i/>
          <w:iCs/>
        </w:rPr>
        <w:t>Livre de divinacions</w:t>
      </w:r>
      <w:r w:rsidRPr="00C32A8D">
        <w:t xml:space="preserve"> </w:t>
      </w:r>
      <w:bookmarkEnd w:id="43"/>
      <w:r w:rsidRPr="00C32A8D">
        <w:t>around 1356, marking it as the first known treatise explicitly aimed at dissuading a prince from partaking in the practices of divinatory arts</w:t>
      </w:r>
      <w:r>
        <w:t>.</w:t>
      </w:r>
      <w:r>
        <w:rPr>
          <w:rStyle w:val="FootnoteReference"/>
        </w:rPr>
        <w:footnoteReference w:id="157"/>
      </w:r>
      <w:r>
        <w:t xml:space="preserve"> </w:t>
      </w:r>
      <w:r w:rsidRPr="00C32A8D">
        <w:t>Exhibiting a quintessentially Scholastic structure, the treatise showcases the author</w:t>
      </w:r>
      <w:r w:rsidR="00C92204">
        <w:t>’</w:t>
      </w:r>
      <w:r w:rsidRPr="00C32A8D">
        <w:t>s artful presentation of arguments both in favo</w:t>
      </w:r>
      <w:r>
        <w:t>u</w:t>
      </w:r>
      <w:r w:rsidRPr="00C32A8D">
        <w:t>r of and against the utili</w:t>
      </w:r>
      <w:r>
        <w:t>s</w:t>
      </w:r>
      <w:r w:rsidRPr="00C32A8D">
        <w:t>ation of divinatory arts, culminating in a concluding chapter that provides a comprehensive summary and final deliberations.</w:t>
      </w:r>
      <w:r>
        <w:rPr>
          <w:rStyle w:val="FootnoteReference"/>
        </w:rPr>
        <w:footnoteReference w:id="158"/>
      </w:r>
      <w:r>
        <w:t xml:space="preserve"> </w:t>
      </w:r>
      <w:r w:rsidRPr="00C32A8D">
        <w:t xml:space="preserve">Notably, Oresme initiates the discussion of geomancy in the prologue of the </w:t>
      </w:r>
      <w:r w:rsidRPr="00C32A8D">
        <w:rPr>
          <w:i/>
          <w:iCs/>
        </w:rPr>
        <w:t>Livre</w:t>
      </w:r>
      <w:r w:rsidRPr="00C32A8D">
        <w:t>, wherein he candidly delineates his objectives and intentions for the work:</w:t>
      </w:r>
    </w:p>
    <w:p w14:paraId="20B97EDC" w14:textId="77777777" w:rsidR="008B64A3" w:rsidRDefault="008B64A3" w:rsidP="008B64A3">
      <w:pPr>
        <w:ind w:firstLine="0"/>
      </w:pPr>
    </w:p>
    <w:p w14:paraId="074473B9" w14:textId="0EB72424" w:rsidR="008B64A3" w:rsidRDefault="008B64A3" w:rsidP="008B64A3">
      <w:pPr>
        <w:ind w:left="567" w:firstLine="0"/>
        <w:rPr>
          <w:sz w:val="20"/>
          <w:szCs w:val="20"/>
        </w:rPr>
      </w:pPr>
      <w:r w:rsidRPr="007D5FE4">
        <w:rPr>
          <w:sz w:val="20"/>
          <w:szCs w:val="20"/>
        </w:rPr>
        <w:t xml:space="preserve">It is my aim, with God’s help, to show in this little book, from experience, from human reason, and from authority, that it is foolish, wicked, and </w:t>
      </w:r>
      <w:r>
        <w:rPr>
          <w:sz w:val="20"/>
          <w:szCs w:val="20"/>
        </w:rPr>
        <w:t xml:space="preserve">even </w:t>
      </w:r>
      <w:r w:rsidRPr="007D5FE4">
        <w:rPr>
          <w:sz w:val="20"/>
          <w:szCs w:val="20"/>
        </w:rPr>
        <w:t>dangerous in this life, to set one’s mind to know or search out hidden matters or the hazards and fortunes of the future, whether by astrology, geomancy, nigromancy, or any other such arts, if they can correctly be called arts; and, further, that such things are most dangerous to those of high estate, such as princes and lords to whom appertains the government of the commonwealth. Hence I have written this little book in French so that the laymen may understand it</w:t>
      </w:r>
      <w:r w:rsidR="003B4E1B">
        <w:rPr>
          <w:sz w:val="20"/>
          <w:szCs w:val="20"/>
        </w:rPr>
        <w:t>,</w:t>
      </w:r>
      <w:r w:rsidRPr="007D5FE4">
        <w:rPr>
          <w:sz w:val="20"/>
          <w:szCs w:val="20"/>
        </w:rPr>
        <w:t xml:space="preserve"> for I have heard that many of them are overmuch given to such stupidities.</w:t>
      </w:r>
      <w:r>
        <w:rPr>
          <w:rStyle w:val="FootnoteReference"/>
          <w:sz w:val="20"/>
          <w:szCs w:val="20"/>
        </w:rPr>
        <w:footnoteReference w:id="159"/>
      </w:r>
    </w:p>
    <w:p w14:paraId="681843B7" w14:textId="77777777" w:rsidR="008B64A3" w:rsidRDefault="008B64A3" w:rsidP="008B64A3">
      <w:pPr>
        <w:ind w:firstLine="0"/>
        <w:rPr>
          <w:sz w:val="20"/>
          <w:szCs w:val="20"/>
        </w:rPr>
      </w:pPr>
    </w:p>
    <w:p w14:paraId="05EAB693" w14:textId="77777777" w:rsidR="008B64A3" w:rsidRDefault="008B64A3" w:rsidP="008B64A3">
      <w:pPr>
        <w:ind w:firstLine="0"/>
      </w:pPr>
      <w:r>
        <w:t>M</w:t>
      </w:r>
      <w:r w:rsidRPr="00AC275E">
        <w:t xml:space="preserve">oreover, within the inaugural chapter of the </w:t>
      </w:r>
      <w:r w:rsidRPr="00AC275E">
        <w:rPr>
          <w:i/>
          <w:iCs/>
        </w:rPr>
        <w:t>Livre</w:t>
      </w:r>
      <w:r w:rsidRPr="00AC275E">
        <w:t>, Oresme categori</w:t>
      </w:r>
      <w:r>
        <w:t>s</w:t>
      </w:r>
      <w:r w:rsidRPr="00AC275E">
        <w:t>es astrology into six distinct segments, with the final category encompassing geomancy, once more conjoined with necromancy. Resolutely, Oresme denounces these practices as mere vanities, unequivocally asserting their lack of legitimacy as authentic sciences</w:t>
      </w:r>
      <w:r>
        <w:t>.</w:t>
      </w:r>
      <w:r>
        <w:rPr>
          <w:rStyle w:val="FootnoteReference"/>
        </w:rPr>
        <w:footnoteReference w:id="160"/>
      </w:r>
    </w:p>
    <w:p w14:paraId="186AD8E1" w14:textId="77777777" w:rsidR="008B64A3" w:rsidRDefault="008B64A3" w:rsidP="008B64A3">
      <w:pPr>
        <w:ind w:firstLine="0"/>
      </w:pPr>
      <w:r>
        <w:tab/>
        <w:t xml:space="preserve"> </w:t>
      </w:r>
      <w:r w:rsidRPr="003E4848">
        <w:t xml:space="preserve">Moving forward a few centuries, in 1605, the Roman Inquisition in Malta conducted a trial against Sellem Bin Al-Sheikh Mansur, accused of practicing and teaching geomancy, </w:t>
      </w:r>
      <w:r w:rsidRPr="003E4848">
        <w:lastRenderedPageBreak/>
        <w:t>necromancy, and other forms of learned magic.</w:t>
      </w:r>
      <w:r>
        <w:rPr>
          <w:rStyle w:val="FootnoteReference"/>
        </w:rPr>
        <w:footnoteReference w:id="161"/>
      </w:r>
      <w:r>
        <w:t xml:space="preserve"> Sellem was a Muslim slave from Cairo, employed as a rower on the galleys of the Knights of the Order of St John. At the age of around forty he injured himself and was thus no longer fit for rowing. After that, he supported himself in Malta by performing and teaching divination and magic.</w:t>
      </w:r>
      <w:r>
        <w:rPr>
          <w:rStyle w:val="FootnoteReference"/>
        </w:rPr>
        <w:footnoteReference w:id="162"/>
      </w:r>
      <w:r>
        <w:t xml:space="preserve">  The witnesses at the trial assert that Sellem had performed for them a number of services such as love magic, gambling charms, healing enchantments and divination to find stolen objects. One witness in particular, named Vittorio Cassar, testifies that Sellem had taught him the Arabic language and divination by geomancy:</w:t>
      </w:r>
    </w:p>
    <w:p w14:paraId="560F0169" w14:textId="77777777" w:rsidR="008B64A3" w:rsidRDefault="008B64A3" w:rsidP="008B64A3">
      <w:pPr>
        <w:ind w:firstLine="0"/>
      </w:pPr>
    </w:p>
    <w:p w14:paraId="18B5F289" w14:textId="77777777" w:rsidR="008B64A3" w:rsidRPr="00E913B0" w:rsidRDefault="008B64A3" w:rsidP="008B64A3">
      <w:pPr>
        <w:ind w:left="567" w:firstLine="0"/>
        <w:rPr>
          <w:sz w:val="20"/>
          <w:szCs w:val="20"/>
        </w:rPr>
      </w:pPr>
      <w:r w:rsidRPr="00E913B0">
        <w:rPr>
          <w:sz w:val="20"/>
          <w:szCs w:val="20"/>
        </w:rPr>
        <w:t xml:space="preserve">I am acquainted with and have experience of a Moor named Sellem, who is a slave of the Order and who is usually [to be found] in the slaves’ prison because he is maimed in the legs, meaning that he cannot walk except with [the aid of] two crutches. This is because some years ago this Moor taught me to read and write Arabic, and during the [period of] Carnival this Moor offered to teach me a type of divination that uses points and celestial signs in order to gain knowledge of future things, relevant both to me and to others, and so I started to learn it. </w:t>
      </w:r>
      <w:r>
        <w:rPr>
          <w:rStyle w:val="FootnoteReference"/>
          <w:sz w:val="20"/>
          <w:szCs w:val="20"/>
        </w:rPr>
        <w:footnoteReference w:id="163"/>
      </w:r>
    </w:p>
    <w:p w14:paraId="17263FFF" w14:textId="77777777" w:rsidR="008B64A3" w:rsidRDefault="008B64A3" w:rsidP="008B64A3">
      <w:pPr>
        <w:ind w:firstLine="0"/>
      </w:pPr>
    </w:p>
    <w:p w14:paraId="7979F94D" w14:textId="248F2C78" w:rsidR="008B64A3" w:rsidRPr="005E5E5F" w:rsidRDefault="008B64A3" w:rsidP="005E5E5F">
      <w:pPr>
        <w:ind w:firstLine="0"/>
      </w:pPr>
      <w:r>
        <w:t>Cassari also claimed that Sellem offered to teach him necromancy but that he declined</w:t>
      </w:r>
      <w:r w:rsidR="00026CBA">
        <w:t>,</w:t>
      </w:r>
      <w:r>
        <w:t xml:space="preserve"> knowing that it was an illicit art. He also presents the Inquisition with some written evidence of what he affirmed in his deposition, including a collection of papers written in his hands containing the teachings on geomancy imparted by Sellem.</w:t>
      </w:r>
      <w:r>
        <w:rPr>
          <w:rStyle w:val="FootnoteReference"/>
        </w:rPr>
        <w:footnoteReference w:id="164"/>
      </w:r>
      <w:r>
        <w:t xml:space="preserve"> In this document, several passage</w:t>
      </w:r>
      <w:r w:rsidR="00AE37B3">
        <w:t>s</w:t>
      </w:r>
      <w:r>
        <w:t xml:space="preserve"> refer to the importance in </w:t>
      </w:r>
      <w:r w:rsidR="00085056">
        <w:t>the</w:t>
      </w:r>
      <w:r>
        <w:t xml:space="preserve"> practice </w:t>
      </w:r>
      <w:r w:rsidR="00085056">
        <w:t xml:space="preserve">of geomancy </w:t>
      </w:r>
      <w:r>
        <w:t>to discover the question hidden in the mind of the querent</w:t>
      </w:r>
      <w:r w:rsidR="00AE37B3">
        <w:t>.</w:t>
      </w:r>
      <w:r>
        <w:t xml:space="preserve"> </w:t>
      </w:r>
      <w:r w:rsidR="00AE37B3">
        <w:t xml:space="preserve">When </w:t>
      </w:r>
      <w:r>
        <w:t xml:space="preserve">talking about the domiciles in the geomantic chart, the notes </w:t>
      </w:r>
      <w:r>
        <w:lastRenderedPageBreak/>
        <w:t xml:space="preserve">proffer “The first is the </w:t>
      </w:r>
      <w:r w:rsidR="00AE37B3">
        <w:t>fate</w:t>
      </w:r>
      <w:r>
        <w:t>, the second is the testification on the question that you ask and what it is […] the fourth &lt;is&gt; predicting the thought.”  And again referring to the fourth geomantic figure “ the fourth &lt;for&gt; predicting the thought or concept of the soul.”</w:t>
      </w:r>
      <w:r w:rsidRPr="00AB0239">
        <w:rPr>
          <w:rStyle w:val="FootnoteReference"/>
        </w:rPr>
        <w:t xml:space="preserve"> </w:t>
      </w:r>
      <w:r>
        <w:rPr>
          <w:rStyle w:val="FootnoteReference"/>
        </w:rPr>
        <w:footnoteReference w:id="165"/>
      </w:r>
      <w:r>
        <w:t xml:space="preserve"> Another passage clearly indicates that through “geomancy, that is true and without fallacy, one can foretell all the good and bad fortune that can befall and predict the concept of the soul of the querent, and predicted together will be obtained his thoughts.”</w:t>
      </w:r>
      <w:r>
        <w:rPr>
          <w:rStyle w:val="FootnoteReference"/>
        </w:rPr>
        <w:footnoteReference w:id="166"/>
      </w:r>
      <w:r>
        <w:t xml:space="preserve">During the course of the trial proceedings, Sellem openly acknowledged his engagement in the practice of certain magical arts, albeit in his view these were mere charlatanism. He also denied having performed necromancy, </w:t>
      </w:r>
      <w:r w:rsidR="00671BB2">
        <w:t>but</w:t>
      </w:r>
      <w:r>
        <w:t xml:space="preserve"> admitted having performed geomancy. Sellem describes himself as an astrologer, saying that what in his country was called </w:t>
      </w:r>
      <w:r w:rsidRPr="00845104">
        <w:rPr>
          <w:i/>
          <w:iCs/>
        </w:rPr>
        <w:t>khaṭṭ al-raml</w:t>
      </w:r>
      <w:r>
        <w:t xml:space="preserve"> (</w:t>
      </w:r>
      <w:r w:rsidR="00A11FD3">
        <w:t>‘</w:t>
      </w:r>
      <w:r>
        <w:t>geomancy</w:t>
      </w:r>
      <w:r w:rsidR="00A11FD3">
        <w:t>’</w:t>
      </w:r>
      <w:r>
        <w:t>), in t</w:t>
      </w:r>
      <w:r w:rsidR="00917C09">
        <w:t xml:space="preserve">he Latin-speaking world </w:t>
      </w:r>
      <w:r>
        <w:t xml:space="preserve">is known as </w:t>
      </w:r>
      <w:r w:rsidR="00774265">
        <w:t>astrology</w:t>
      </w:r>
      <w:r>
        <w:t>, and informs the judges that he learnt this craft from his parents, and that everyone in his family used to practice it.</w:t>
      </w:r>
      <w:r>
        <w:rPr>
          <w:rStyle w:val="FootnoteReference"/>
        </w:rPr>
        <w:footnoteReference w:id="167"/>
      </w:r>
      <w:r>
        <w:t xml:space="preserve"> Liana Saif has suggested that, since geomancy and astrology were never formally prohibited in Islamic domains during the Middle Ages and the Early Modern Era, Sellem might have emphasised his being a geomancer in order to defend himself from the accusations of having practiced illicit arts.</w:t>
      </w:r>
      <w:r>
        <w:rPr>
          <w:rStyle w:val="FootnoteReference"/>
        </w:rPr>
        <w:footnoteReference w:id="168"/>
      </w:r>
      <w:r>
        <w:t xml:space="preserve"> But despite the link that geomancy still in 1605 claimed to have with astrology, in the accusations of Vittorio Cassar </w:t>
      </w:r>
      <w:r w:rsidR="00757D7C">
        <w:t xml:space="preserve">geomancy </w:t>
      </w:r>
      <w:r w:rsidR="00630289">
        <w:t xml:space="preserve">is </w:t>
      </w:r>
      <w:r w:rsidR="00757D7C">
        <w:t>once again</w:t>
      </w:r>
      <w:r>
        <w:t xml:space="preserve"> juxtaposed to necromancy, a recurring fact that was already attested in the condemnations of 1277, 1290, 1318. These accounts consistently position geomancy alongside malefic magic practices such as necromancy, rather than juxtaposing it to natural forms of prediction like astrology. </w:t>
      </w:r>
    </w:p>
    <w:p w14:paraId="575E0638" w14:textId="01015294" w:rsidR="008B64A3" w:rsidRPr="0045655E" w:rsidRDefault="005E5E5F" w:rsidP="008B64A3">
      <w:pPr>
        <w:ind w:firstLine="567"/>
      </w:pPr>
      <w:r>
        <w:lastRenderedPageBreak/>
        <w:t>Moreover, o</w:t>
      </w:r>
      <w:r w:rsidR="008B64A3" w:rsidRPr="00E913B0">
        <w:t xml:space="preserve">ne key point of the controversy regarding the practice of geomancy, evident in both the 1277 and 1605 condemnations, revolved around its asserted ability to foresee future events and </w:t>
      </w:r>
      <w:r w:rsidR="00036C29">
        <w:t>to</w:t>
      </w:r>
      <w:r w:rsidR="008B64A3" w:rsidRPr="00E913B0">
        <w:t xml:space="preserve"> unveil hidden intentions and desires within the human soul.</w:t>
      </w:r>
      <w:r w:rsidR="008B64A3">
        <w:t xml:space="preserve"> The investigation of the intentions of the querent is the focal point of interest of the geomantic treatise titled </w:t>
      </w:r>
      <w:r w:rsidR="008B64A3" w:rsidRPr="00E913B0">
        <w:rPr>
          <w:i/>
          <w:iCs/>
        </w:rPr>
        <w:t>Liber arenalis scientiae</w:t>
      </w:r>
      <w:r w:rsidR="008B64A3">
        <w:t xml:space="preserve">, used as the main case study for </w:t>
      </w:r>
      <w:r w:rsidR="00461D5F">
        <w:t>this</w:t>
      </w:r>
      <w:r w:rsidR="008B64A3">
        <w:t xml:space="preserve"> research</w:t>
      </w:r>
      <w:r w:rsidR="00461D5F">
        <w:t xml:space="preserve"> project</w:t>
      </w:r>
      <w:r w:rsidR="008B64A3">
        <w:t xml:space="preserve">. Having provided with this chapter a historical overview of the entrance of the geomantic technique in the </w:t>
      </w:r>
      <w:r w:rsidR="0087252B">
        <w:t>Latin Europe</w:t>
      </w:r>
      <w:r w:rsidR="008B64A3">
        <w:t>, its reception in the late medieval period</w:t>
      </w:r>
      <w:r w:rsidR="006E1403">
        <w:t>,</w:t>
      </w:r>
      <w:r w:rsidR="008B64A3">
        <w:t xml:space="preserve"> and having explained the basic principles and rules of its practice, the following chapter will </w:t>
      </w:r>
      <w:r w:rsidR="00EE4B17">
        <w:t>present</w:t>
      </w:r>
      <w:r w:rsidR="008B64A3">
        <w:t xml:space="preserve"> an in-depth examination of Plato of Tivoli’s </w:t>
      </w:r>
      <w:r w:rsidR="008B64A3" w:rsidRPr="00E913B0">
        <w:rPr>
          <w:i/>
          <w:iCs/>
        </w:rPr>
        <w:t>Liber arenalis scientiae</w:t>
      </w:r>
      <w:r w:rsidR="008B64A3">
        <w:t>, that will offer the opportunity to delve into the medieval debate on the epistemic status of geomancy.</w:t>
      </w:r>
    </w:p>
    <w:p w14:paraId="5032AAD8" w14:textId="42D0F583" w:rsidR="00244FB6" w:rsidRDefault="009A18AF" w:rsidP="009A18AF">
      <w:r>
        <w:br w:type="page"/>
      </w:r>
    </w:p>
    <w:p w14:paraId="31279C95" w14:textId="77777777" w:rsidR="00244FB6" w:rsidRPr="006E07BF" w:rsidRDefault="00244FB6" w:rsidP="006E07BF">
      <w:pPr>
        <w:pStyle w:val="Heading1"/>
        <w:ind w:firstLine="0"/>
        <w:rPr>
          <w:rFonts w:asciiTheme="majorBidi" w:hAnsiTheme="majorBidi"/>
          <w:color w:val="auto"/>
          <w:sz w:val="24"/>
          <w:szCs w:val="24"/>
        </w:rPr>
      </w:pPr>
      <w:bookmarkStart w:id="46" w:name="_Toc165108640"/>
      <w:r w:rsidRPr="006E07BF">
        <w:rPr>
          <w:rFonts w:asciiTheme="majorBidi" w:hAnsiTheme="majorBidi"/>
          <w:color w:val="auto"/>
          <w:sz w:val="24"/>
          <w:szCs w:val="24"/>
        </w:rPr>
        <w:lastRenderedPageBreak/>
        <w:t>II. THE BOOK OF THE SCIENCE OF THE SAND</w:t>
      </w:r>
      <w:bookmarkEnd w:id="46"/>
    </w:p>
    <w:p w14:paraId="57AEDAB7" w14:textId="77777777" w:rsidR="00244FB6" w:rsidRDefault="00244FB6" w:rsidP="00244FB6">
      <w:pPr>
        <w:ind w:firstLine="0"/>
      </w:pPr>
    </w:p>
    <w:p w14:paraId="6A098F78" w14:textId="63C2FB14" w:rsidR="00244FB6" w:rsidRPr="006E07BF" w:rsidRDefault="00244FB6" w:rsidP="006E07BF">
      <w:pPr>
        <w:pStyle w:val="Heading2"/>
        <w:ind w:firstLine="0"/>
        <w:rPr>
          <w:rFonts w:asciiTheme="majorBidi" w:hAnsiTheme="majorBidi"/>
          <w:color w:val="auto"/>
          <w:sz w:val="20"/>
          <w:szCs w:val="20"/>
        </w:rPr>
      </w:pPr>
      <w:bookmarkStart w:id="47" w:name="_Toc165108641"/>
      <w:r w:rsidRPr="006E07BF">
        <w:rPr>
          <w:rFonts w:asciiTheme="majorBidi" w:hAnsiTheme="majorBidi"/>
          <w:color w:val="auto"/>
          <w:sz w:val="20"/>
          <w:szCs w:val="20"/>
        </w:rPr>
        <w:t>II.</w:t>
      </w:r>
      <w:r w:rsidR="00E57673">
        <w:rPr>
          <w:rFonts w:asciiTheme="majorBidi" w:hAnsiTheme="majorBidi"/>
          <w:color w:val="auto"/>
          <w:sz w:val="20"/>
          <w:szCs w:val="20"/>
        </w:rPr>
        <w:t>1</w:t>
      </w:r>
      <w:r w:rsidRPr="006E07BF">
        <w:rPr>
          <w:rFonts w:asciiTheme="majorBidi" w:hAnsiTheme="majorBidi"/>
          <w:color w:val="auto"/>
          <w:sz w:val="20"/>
          <w:szCs w:val="20"/>
        </w:rPr>
        <w:t xml:space="preserve"> </w:t>
      </w:r>
      <w:r w:rsidRPr="006E07BF">
        <w:rPr>
          <w:rFonts w:asciiTheme="majorBidi" w:hAnsiTheme="majorBidi"/>
          <w:i/>
          <w:iCs/>
          <w:color w:val="auto"/>
          <w:sz w:val="20"/>
          <w:szCs w:val="20"/>
        </w:rPr>
        <w:t>LIBER ARENALIS SCIENTIAE</w:t>
      </w:r>
      <w:r w:rsidRPr="006E07BF">
        <w:rPr>
          <w:rFonts w:asciiTheme="majorBidi" w:hAnsiTheme="majorBidi"/>
          <w:color w:val="auto"/>
          <w:sz w:val="20"/>
          <w:szCs w:val="20"/>
        </w:rPr>
        <w:t>: TRANSLATION OR COMPILATION?</w:t>
      </w:r>
      <w:bookmarkEnd w:id="47"/>
    </w:p>
    <w:p w14:paraId="0BD1EB81" w14:textId="77777777" w:rsidR="00244FB6" w:rsidRPr="0047714D" w:rsidRDefault="00244FB6" w:rsidP="00244FB6">
      <w:pPr>
        <w:ind w:firstLine="0"/>
        <w:rPr>
          <w:sz w:val="20"/>
          <w:szCs w:val="20"/>
        </w:rPr>
      </w:pPr>
    </w:p>
    <w:p w14:paraId="0F445F7A" w14:textId="0863746F" w:rsidR="00244FB6" w:rsidRDefault="0082062C" w:rsidP="0082062C">
      <w:pPr>
        <w:ind w:firstLine="0"/>
      </w:pPr>
      <w:r>
        <w:t xml:space="preserve"> In his recent article ‘Origins, Development and Decline of the Western Geomantic Tradition,’ </w:t>
      </w:r>
      <w:r w:rsidR="00244FB6">
        <w:t>Alessandro Palazzo</w:t>
      </w:r>
      <w:r>
        <w:t xml:space="preserve"> has argued that </w:t>
      </w:r>
      <w:r w:rsidR="00244FB6">
        <w:t xml:space="preserve">the many geomantic sources produced between the twelfth and the seventeenth centuries in Europe formed a cohesive body of work. Despite their diverse literary genres, creation within varying historical and cultural contexts, and different intended purposes, all elements of the articulated geomantic literature — such as Arabo-Latin translations, Latin treatises, writings in vernacular languages, and indirect references found in philosophical, theological, and literary works — shared a recognition of their </w:t>
      </w:r>
      <w:r w:rsidR="00C71E61">
        <w:t>common</w:t>
      </w:r>
      <w:r w:rsidR="00244FB6">
        <w:t xml:space="preserve"> ancestry. This awareness connect</w:t>
      </w:r>
      <w:r w:rsidR="00132DFE">
        <w:t>ed</w:t>
      </w:r>
      <w:r w:rsidR="00244FB6">
        <w:t xml:space="preserve"> them as part of a unified family, transcending differences in chronology, form, and context. The narrative regarding their origins formed the essence of the geomantic tradition. Translators, authors, and readers viewed geomantic texts, whether translated from Arabic or Hebrew, originally written in Latin, or expressed in vernacular languages, not merely as individual accomplishments, but as contributions to a cross-cultural collective endeavour. Geomancy served not only as an operational method for predicting future events but also as a repository of wisdom with Islamic or </w:t>
      </w:r>
      <w:r w:rsidR="00B81656">
        <w:t>H</w:t>
      </w:r>
      <w:r w:rsidR="00244FB6">
        <w:t xml:space="preserve">ermetic roots. Therefore, compiling a geomantic treatise meant more than offering practical guidance on divination and uncovering the unknown; it also involved the restoration of a form of wisdom rooted in a mythical past </w:t>
      </w:r>
      <w:r w:rsidR="007D79B7">
        <w:t>and</w:t>
      </w:r>
      <w:r w:rsidR="00244FB6">
        <w:t xml:space="preserve"> supernaturally transmitted to humanity. </w:t>
      </w:r>
      <w:r w:rsidR="006A302A">
        <w:t>In this perspective</w:t>
      </w:r>
      <w:r w:rsidR="00244FB6">
        <w:t xml:space="preserve">, the concept of a shared geomantic tradition, to which individual geomantic texts were thought to belong, played a pivotal role in the remarkable success of geomancy in Europe, lasting until the end of the </w:t>
      </w:r>
      <w:r w:rsidR="00DD3D06">
        <w:t>seventeenth</w:t>
      </w:r>
      <w:r w:rsidR="00244FB6">
        <w:t xml:space="preserve"> century.</w:t>
      </w:r>
      <w:r w:rsidR="00244FB6">
        <w:rPr>
          <w:rStyle w:val="FootnoteReference"/>
        </w:rPr>
        <w:footnoteReference w:id="169"/>
      </w:r>
    </w:p>
    <w:p w14:paraId="58A15ED8" w14:textId="77777777" w:rsidR="001A7420" w:rsidRDefault="00422EFC" w:rsidP="00244FB6">
      <w:r>
        <w:lastRenderedPageBreak/>
        <w:t>This</w:t>
      </w:r>
      <w:r w:rsidR="00244FB6" w:rsidRPr="001B203F">
        <w:t xml:space="preserve"> comprehensive geomantic tradition is reflected in the way texts were transmitted. This transmission is not limited to complete treatises and translations alone; it also encompasses numerous geomantic collections that rearrange, combine, and merge parts and excerpts from individual works.</w:t>
      </w:r>
      <w:r w:rsidR="00244FB6">
        <w:rPr>
          <w:rStyle w:val="FootnoteReference"/>
        </w:rPr>
        <w:footnoteReference w:id="170"/>
      </w:r>
      <w:r w:rsidR="00244FB6" w:rsidRPr="001B203F">
        <w:t xml:space="preserve"> This implies that geomantic writings were not perceived as self-contained entities or individual accomplishments. Instead, they were considered integral components of a collaborative endeavour, representing a higher form of wisdom and knowledge acquisition. </w:t>
      </w:r>
      <w:r w:rsidR="00953D45">
        <w:t>T</w:t>
      </w:r>
      <w:r w:rsidR="00244FB6" w:rsidRPr="001B203F">
        <w:t>he fact that many quoted texts are often anonymous, lacking clear authorship, makes it challenging to discern distinct textual units within geomantic anthologies or manuscripts.</w:t>
      </w:r>
      <w:r w:rsidR="00244FB6">
        <w:rPr>
          <w:rStyle w:val="FootnoteReference"/>
        </w:rPr>
        <w:footnoteReference w:id="171"/>
      </w:r>
      <w:r w:rsidR="00244FB6">
        <w:t xml:space="preserve"> </w:t>
      </w:r>
      <w:r w:rsidR="0082062C">
        <w:t>Therefore, another element</w:t>
      </w:r>
      <w:r w:rsidR="00244FB6">
        <w:t xml:space="preserve"> </w:t>
      </w:r>
      <w:r w:rsidR="00244FB6" w:rsidRPr="00F10366">
        <w:t xml:space="preserve">that played a role in the formation of a unified geomantic tradition was intertextuality. Early Latin translations of geomantic texts were extensively referenced, either directly or indirectly, in later works, both in Latin and </w:t>
      </w:r>
      <w:r w:rsidR="003F4D82">
        <w:t>vernacular</w:t>
      </w:r>
      <w:r w:rsidR="00244FB6" w:rsidRPr="00F10366">
        <w:t xml:space="preserve"> languages. </w:t>
      </w:r>
      <w:r w:rsidR="00244FB6">
        <w:t>In this perspective, the</w:t>
      </w:r>
      <w:r w:rsidR="00244FB6" w:rsidRPr="00F10366">
        <w:t xml:space="preserve"> body of </w:t>
      </w:r>
      <w:r w:rsidR="00890245">
        <w:t>European</w:t>
      </w:r>
      <w:r w:rsidR="00244FB6" w:rsidRPr="00F10366">
        <w:t xml:space="preserve"> geomantic literature can be seen as an ongoing and unbroken process of revisiting and reinterpreting the textual content found in early medieval treatises</w:t>
      </w:r>
      <w:r w:rsidR="00244FB6">
        <w:t>.</w:t>
      </w:r>
      <w:r w:rsidR="00244FB6">
        <w:rPr>
          <w:rStyle w:val="FootnoteReference"/>
        </w:rPr>
        <w:footnoteReference w:id="172"/>
      </w:r>
    </w:p>
    <w:p w14:paraId="4D0F73DB" w14:textId="6C32E14F" w:rsidR="00244FB6" w:rsidRDefault="00244FB6" w:rsidP="00C16305">
      <w:r>
        <w:t xml:space="preserve"> </w:t>
      </w:r>
      <w:r w:rsidR="00C16305" w:rsidRPr="00C16305">
        <w:t xml:space="preserve">It is in this context that this thesis aims to position the transmission of </w:t>
      </w:r>
      <w:r w:rsidR="00C16305" w:rsidRPr="00C16305">
        <w:rPr>
          <w:i/>
          <w:iCs/>
        </w:rPr>
        <w:t>the Liber arenalis scientiae.</w:t>
      </w:r>
      <w:r w:rsidR="00C16305" w:rsidRPr="00C16305">
        <w:t xml:space="preserve"> Through a textual analysis of this geomantic work attributed to Plato of Tivoli, based on its first critical edition, presented in Appendix 3, this chapter argues that while there might have been an original geomantic work translated by Plato in the early twelfth century, this original is now lost and what has survived in the fourteenth and fifteenth-century manuscripts utilised for the edition is a highly reworked geomantic anthology which draws on a variety of geomantic sources. The </w:t>
      </w:r>
      <w:r w:rsidR="00C16305" w:rsidRPr="00C16305">
        <w:rPr>
          <w:i/>
          <w:iCs/>
        </w:rPr>
        <w:t>Liber arenalis scientiae</w:t>
      </w:r>
      <w:r w:rsidR="00C16305" w:rsidRPr="00C16305">
        <w:t xml:space="preserve"> thus represents an eminent example of the complex intertextuality that characterised the body of European geomantic literature. As this study will demonstrate, the compiler of the </w:t>
      </w:r>
      <w:r w:rsidR="00C16305" w:rsidRPr="00C16305">
        <w:rPr>
          <w:i/>
          <w:iCs/>
        </w:rPr>
        <w:t xml:space="preserve">Liber </w:t>
      </w:r>
      <w:r w:rsidR="00C16305" w:rsidRPr="00C16305">
        <w:rPr>
          <w:i/>
          <w:iCs/>
        </w:rPr>
        <w:lastRenderedPageBreak/>
        <w:t>arenalis scientiae</w:t>
      </w:r>
      <w:r w:rsidR="00C16305" w:rsidRPr="00C16305">
        <w:t xml:space="preserve"> does not simply combine different materials but re-elaborates them to fit the specific purpose of the work. Moreover, this text as contained in its longer and more comprehensive form in the fourteenth-century manuscript from Magdalene College in Cambridge not only works as an independent text but also as an essential part of the codex in which it is contained, a miscellany of geomantic works, each covering a distinct aspect of the geomantic technique, thus making this codex a comprehensive source for mastering this art. Building on Palazzo’s theory, this study offers a case study of the intertextuality characterising the composition and transmission of geomantic works in Europe, while also arguing for the importance of considering single treatises not as isolated units but in relationship to the texts they are often adjacent to, whether they are geomantic or not. By contributing to the existing studies on the intertextuality of geomantic texts and by offering the first critical edition and analysis of the </w:t>
      </w:r>
      <w:r w:rsidR="00C16305" w:rsidRPr="00C16305">
        <w:rPr>
          <w:i/>
          <w:iCs/>
        </w:rPr>
        <w:t>Liber arenalis scientiae</w:t>
      </w:r>
      <w:r w:rsidR="00C16305" w:rsidRPr="00C16305">
        <w:t>, this study contributes to the ongoing efforts to cast light on the diffusion of geomancy in the European milieu, while the peculiar matters discussed in Plato’s work open new avenues of research in the role that geomancy played in late medieval Europe and contributes to account for its controversial character.</w:t>
      </w:r>
    </w:p>
    <w:p w14:paraId="43155B38" w14:textId="77777777" w:rsidR="0064538C" w:rsidRDefault="0064538C" w:rsidP="00244FB6"/>
    <w:p w14:paraId="64DC7CA9" w14:textId="27FC8AE3" w:rsidR="00244FB6" w:rsidRDefault="00244FB6" w:rsidP="00D34CFF">
      <w:r>
        <w:t>Five manuscripts</w:t>
      </w:r>
      <w:r w:rsidR="00C65320">
        <w:t>,</w:t>
      </w:r>
      <w:r>
        <w:t xml:space="preserve"> dated from the fourteenth to the eighteenth century</w:t>
      </w:r>
      <w:r w:rsidR="00C65320">
        <w:t>,</w:t>
      </w:r>
      <w:r>
        <w:t xml:space="preserve"> attribute the translation of a geomantic treatise to the Italian </w:t>
      </w:r>
      <w:r w:rsidR="00BA1FD0">
        <w:t>t</w:t>
      </w:r>
      <w:r>
        <w:t>ranslator Plato of Tivoli</w:t>
      </w:r>
      <w:r w:rsidR="00E73605">
        <w:t>, these are the manuscripts Cambridge, Magdalen</w:t>
      </w:r>
      <w:r w:rsidR="006B0695">
        <w:t>e</w:t>
      </w:r>
      <w:r w:rsidR="00E73605">
        <w:t xml:space="preserve"> Coll., F.4.27, c. XIV, ff. 120r-125r; Augsburg, Staats- und Stadtbibl</w:t>
      </w:r>
      <w:r w:rsidR="008D15CD">
        <w:t>iothek</w:t>
      </w:r>
      <w:r w:rsidR="00E73605">
        <w:t>, 2° Cod. 211, c. XV, ff. 1v-4v; Oxford, B</w:t>
      </w:r>
      <w:r w:rsidR="006B0695">
        <w:t xml:space="preserve">odleian </w:t>
      </w:r>
      <w:r w:rsidR="00E73605">
        <w:t>L</w:t>
      </w:r>
      <w:r w:rsidR="006B0695">
        <w:t>ibrary</w:t>
      </w:r>
      <w:r w:rsidR="00E73605">
        <w:t xml:space="preserve">, Rawlinson D.1227, c. XIV, ff. 38r-40v; </w:t>
      </w:r>
      <w:r w:rsidR="00E73605" w:rsidRPr="00E73605">
        <w:t>London, British Library, Arundel Ms. 66</w:t>
      </w:r>
      <w:r w:rsidR="00E73605">
        <w:t>,</w:t>
      </w:r>
      <w:r w:rsidR="00F42EDF">
        <w:t xml:space="preserve"> c.XV,</w:t>
      </w:r>
      <w:r w:rsidR="00E73605">
        <w:t xml:space="preserve"> ff. 269r-277r</w:t>
      </w:r>
      <w:r w:rsidR="008D15CD">
        <w:t>;</w:t>
      </w:r>
      <w:r w:rsidR="008D15CD" w:rsidRPr="008D15CD">
        <w:t xml:space="preserve"> Munich, BSB, Clm 11998</w:t>
      </w:r>
      <w:r w:rsidR="008D15CD">
        <w:t>, c. XVIII, pp. 417-500.</w:t>
      </w:r>
      <w:r w:rsidR="00E73605">
        <w:t xml:space="preserve">  Amon</w:t>
      </w:r>
      <w:r>
        <w:t xml:space="preserve">g these, the manuscript British Library, Arundel 66, dating from the fifteenth century, argues that the </w:t>
      </w:r>
      <w:r w:rsidRPr="0018554E">
        <w:rPr>
          <w:i/>
          <w:iCs/>
        </w:rPr>
        <w:t>Liber arenalis scientiae</w:t>
      </w:r>
      <w:r>
        <w:t xml:space="preserve"> is a translation from Hebrew: “In the name of our Lord Jesus Christ, here begins the </w:t>
      </w:r>
      <w:r>
        <w:lastRenderedPageBreak/>
        <w:t>book of the science of the sand on geomantic judgements, produced by Alpharino son of Abraham the Jew, and translated from the Hebrew language into Latin by Plato.”</w:t>
      </w:r>
      <w:r>
        <w:rPr>
          <w:rStyle w:val="FootnoteReference"/>
        </w:rPr>
        <w:footnoteReference w:id="173"/>
      </w:r>
      <w:r>
        <w:t xml:space="preserve"> </w:t>
      </w:r>
      <w:r w:rsidR="00AB54B3" w:rsidRPr="00AB54B3">
        <w:t xml:space="preserve">This could be an echo of the fact that Plato collaborated with the Hebrew scholar </w:t>
      </w:r>
      <w:r w:rsidR="00AB54B3" w:rsidRPr="00402A31">
        <w:t>Abraham bar Hiyya</w:t>
      </w:r>
      <w:r w:rsidR="00AB54B3" w:rsidRPr="00AB54B3">
        <w:t>, and possibly translated his L</w:t>
      </w:r>
      <w:r w:rsidR="00AB54B3" w:rsidRPr="00AB54B3">
        <w:rPr>
          <w:i/>
          <w:iCs/>
        </w:rPr>
        <w:t>iber Embadorum</w:t>
      </w:r>
      <w:r w:rsidR="00AB54B3" w:rsidRPr="00AB54B3">
        <w:t xml:space="preserve"> (on trigonometry) from Hebrew into Latin.</w:t>
      </w:r>
      <w:r w:rsidR="00AB54B3">
        <w:t xml:space="preserve"> Moreover, g</w:t>
      </w:r>
      <w:r w:rsidR="00AB54B3" w:rsidRPr="00402A31">
        <w:t>eomancy had a prominent Jewish tradition in the Middle Ages.</w:t>
      </w:r>
      <w:r w:rsidR="00AB54B3" w:rsidRPr="00402A31">
        <w:rPr>
          <w:rStyle w:val="FootnoteReference"/>
        </w:rPr>
        <w:footnoteReference w:id="174"/>
      </w:r>
      <w:r w:rsidR="00AB54B3" w:rsidRPr="00402A31">
        <w:t xml:space="preserve"> </w:t>
      </w:r>
      <w:r>
        <w:t>Differently, the other four manuscripts attribute an Arabic origin to the text: “Here begins the book of the science of the sand, produced by A</w:t>
      </w:r>
      <w:r w:rsidRPr="00942235">
        <w:t xml:space="preserve">lfarino </w:t>
      </w:r>
      <w:r>
        <w:t>A</w:t>
      </w:r>
      <w:r w:rsidRPr="00942235">
        <w:t>bizarch</w:t>
      </w:r>
      <w:r>
        <w:t xml:space="preserve"> and translated by Plato of Tivoli from Arabic into Latin”</w:t>
      </w:r>
      <w:r w:rsidR="00D34CFF">
        <w:t xml:space="preserve"> (see Table 1).</w:t>
      </w:r>
      <w:r>
        <w:rPr>
          <w:rStyle w:val="FootnoteReference"/>
        </w:rPr>
        <w:footnoteReference w:id="175"/>
      </w:r>
      <w:r>
        <w:t xml:space="preserve"> It is </w:t>
      </w:r>
      <w:r w:rsidR="00DA7E5E">
        <w:t>clear</w:t>
      </w:r>
      <w:r>
        <w:t xml:space="preserve"> that the text that has survived in these manuscripts is</w:t>
      </w:r>
      <w:r w:rsidR="00DA7E5E">
        <w:t xml:space="preserve"> not</w:t>
      </w:r>
      <w:r>
        <w:t xml:space="preserve"> the original translation mad</w:t>
      </w:r>
      <w:r w:rsidR="00DA7E5E">
        <w:t>e</w:t>
      </w:r>
      <w:r>
        <w:t xml:space="preserve"> by Plato of Tivoli, at least not in its entirety. What is extant is in fact a geomantic anthology with a modular structure that gravitates around a single theme, rather than giving an exhaustive explanation of the geomantic technique. The manuscript </w:t>
      </w:r>
      <w:bookmarkStart w:id="49" w:name="_Hlk149560539"/>
      <w:r w:rsidRPr="00D675E9">
        <w:t>Munich, BSB, Clm 11998</w:t>
      </w:r>
      <w:bookmarkEnd w:id="49"/>
      <w:r>
        <w:t>, dating from the eighteenth century, is not considered in this study. As already demonstrated by Charmasson, this text is a compilation of geomantic questions</w:t>
      </w:r>
      <w:r w:rsidRPr="00053098">
        <w:t xml:space="preserve"> </w:t>
      </w:r>
      <w:r>
        <w:t>(</w:t>
      </w:r>
      <w:r w:rsidRPr="00053098">
        <w:rPr>
          <w:i/>
          <w:iCs/>
        </w:rPr>
        <w:t>Quaestiones geomantiae</w:t>
      </w:r>
      <w:r>
        <w:t xml:space="preserve">) shaped on the </w:t>
      </w:r>
      <w:r w:rsidRPr="00675C2B">
        <w:rPr>
          <w:i/>
          <w:iCs/>
        </w:rPr>
        <w:t xml:space="preserve">Si quis per artem geomanticam </w:t>
      </w:r>
      <w:r>
        <w:t>attributed to</w:t>
      </w:r>
      <w:r w:rsidRPr="00675C2B">
        <w:t xml:space="preserve"> Gerard of Cremona</w:t>
      </w:r>
      <w:r>
        <w:t xml:space="preserve"> and does not share similarities with the four manuscripts containing the </w:t>
      </w:r>
      <w:r w:rsidRPr="005A33D8">
        <w:rPr>
          <w:i/>
          <w:iCs/>
        </w:rPr>
        <w:t>Liber arenalis scientiae</w:t>
      </w:r>
      <w:r>
        <w:t>.</w:t>
      </w:r>
      <w:r>
        <w:rPr>
          <w:rStyle w:val="FootnoteReference"/>
        </w:rPr>
        <w:footnoteReference w:id="176"/>
      </w:r>
      <w:r>
        <w:t xml:space="preserve"> Similarly, </w:t>
      </w:r>
      <w:r w:rsidR="001E340B">
        <w:t xml:space="preserve">the manuscript </w:t>
      </w:r>
      <w:r>
        <w:lastRenderedPageBreak/>
        <w:t>London, BL, Arundel 66 after the incipit contains</w:t>
      </w:r>
      <w:r w:rsidRPr="003F4511">
        <w:t xml:space="preserve"> </w:t>
      </w:r>
      <w:r>
        <w:t xml:space="preserve">a description of the figures and of geomantic triplets, </w:t>
      </w:r>
      <w:r w:rsidRPr="003F4511">
        <w:t>based on the ms. Paris, BN, lat. 7354, ff. 17.37, containing the</w:t>
      </w:r>
      <w:r>
        <w:t xml:space="preserve"> </w:t>
      </w:r>
      <w:r w:rsidRPr="003F4511">
        <w:rPr>
          <w:i/>
          <w:iCs/>
        </w:rPr>
        <w:t>Ars Geomantiae</w:t>
      </w:r>
      <w:r w:rsidRPr="003F4511">
        <w:t xml:space="preserve"> </w:t>
      </w:r>
      <w:r>
        <w:t>by</w:t>
      </w:r>
      <w:r w:rsidRPr="003F4511">
        <w:t xml:space="preserve"> Hugo Sanctelliensis</w:t>
      </w:r>
      <w:r>
        <w:t xml:space="preserve">, and has thus also been excluded from the edition of the </w:t>
      </w:r>
      <w:r w:rsidRPr="00122574">
        <w:rPr>
          <w:i/>
          <w:iCs/>
        </w:rPr>
        <w:t>Liber arenalis scientiae</w:t>
      </w:r>
      <w:r>
        <w:t xml:space="preserve">. The other three manuscripts, dating from the fourteenth and fifteenth centuries, have in common a first part, dedicated to the description of the geomantic figures. After that part, </w:t>
      </w:r>
      <w:r w:rsidRPr="004D117D">
        <w:t>Cambridge, Magdalene Coll., F.4.27</w:t>
      </w:r>
      <w:r>
        <w:t xml:space="preserve"> contains another five chapters, which are absent in the other manuscripts. In </w:t>
      </w:r>
      <w:r w:rsidRPr="00974DAF">
        <w:t>Oxford, Bodleian Library, Rawlinson D.1227</w:t>
      </w:r>
      <w:r>
        <w:t xml:space="preserve"> the first section </w:t>
      </w:r>
      <w:r w:rsidR="001C25F6">
        <w:t xml:space="preserve">is </w:t>
      </w:r>
      <w:r>
        <w:t>follow</w:t>
      </w:r>
      <w:r w:rsidR="001C25F6">
        <w:t>ed by</w:t>
      </w:r>
      <w:r>
        <w:t xml:space="preserve"> a description of geomantic triplets, while </w:t>
      </w:r>
      <w:r w:rsidRPr="00BB6378">
        <w:t>Augsburg, Staats- und Stadtbibl</w:t>
      </w:r>
      <w:r>
        <w:t>iothek</w:t>
      </w:r>
      <w:r w:rsidRPr="00BB6378">
        <w:t>, 2° Cod. 211</w:t>
      </w:r>
      <w:r>
        <w:t xml:space="preserve"> only contains some geomantic tables.</w:t>
      </w:r>
    </w:p>
    <w:p w14:paraId="79A75301" w14:textId="77777777" w:rsidR="00244FB6" w:rsidRDefault="00244FB6" w:rsidP="00244FB6">
      <w:pPr>
        <w:ind w:firstLine="0"/>
      </w:pPr>
    </w:p>
    <w:p w14:paraId="232857FC" w14:textId="25659417" w:rsidR="00244FB6" w:rsidRPr="006E07BF" w:rsidRDefault="00244FB6" w:rsidP="006E07BF">
      <w:pPr>
        <w:pStyle w:val="Heading3"/>
        <w:ind w:firstLine="0"/>
        <w:rPr>
          <w:rFonts w:asciiTheme="majorBidi" w:hAnsiTheme="majorBidi"/>
          <w:b/>
          <w:bCs/>
          <w:color w:val="auto"/>
        </w:rPr>
      </w:pPr>
      <w:bookmarkStart w:id="50" w:name="_Toc165108642"/>
      <w:r w:rsidRPr="006E07BF">
        <w:rPr>
          <w:rFonts w:asciiTheme="majorBidi" w:hAnsiTheme="majorBidi"/>
          <w:b/>
          <w:bCs/>
          <w:color w:val="auto"/>
        </w:rPr>
        <w:t xml:space="preserve">The </w:t>
      </w:r>
      <w:r w:rsidR="000A333A">
        <w:rPr>
          <w:rFonts w:asciiTheme="majorBidi" w:hAnsiTheme="majorBidi"/>
          <w:b/>
          <w:bCs/>
          <w:color w:val="auto"/>
        </w:rPr>
        <w:t>t</w:t>
      </w:r>
      <w:r w:rsidRPr="006E07BF">
        <w:rPr>
          <w:rFonts w:asciiTheme="majorBidi" w:hAnsiTheme="majorBidi"/>
          <w:b/>
          <w:bCs/>
          <w:color w:val="auto"/>
        </w:rPr>
        <w:t>ranslation</w:t>
      </w:r>
      <w:bookmarkEnd w:id="50"/>
    </w:p>
    <w:p w14:paraId="07F91401" w14:textId="77777777" w:rsidR="00EE75EF" w:rsidRDefault="00EE75EF" w:rsidP="00244FB6">
      <w:pPr>
        <w:ind w:firstLine="0"/>
        <w:rPr>
          <w:b/>
          <w:bCs/>
        </w:rPr>
      </w:pPr>
    </w:p>
    <w:p w14:paraId="4F1EA3BE" w14:textId="45176B63" w:rsidR="00572AA8" w:rsidRPr="00402A31" w:rsidRDefault="00244FB6" w:rsidP="00572AA8">
      <w:r>
        <w:t>The section of text shared by the manuscripts Cambridge, Oxford and Augsburg is possibly part of a translation from Arabic made by Plato of Tivoli.</w:t>
      </w:r>
      <w:r w:rsidRPr="00D918C6">
        <w:t xml:space="preserve"> </w:t>
      </w:r>
      <w:r w:rsidRPr="00402A31">
        <w:t xml:space="preserve">This assumption is </w:t>
      </w:r>
      <w:r>
        <w:t>supported not only by the fact that the three extant manuscripts attribute to Plato a translation from Arabic rather than Hebrew, but also by the many Arabic features that the text presents</w:t>
      </w:r>
      <w:r w:rsidRPr="00402A31">
        <w:t xml:space="preserve">. </w:t>
      </w:r>
      <w:r>
        <w:t>The opening formulation shared by the three manuscripts in their incipit,</w:t>
      </w:r>
      <w:r w:rsidRPr="00402A31">
        <w:t xml:space="preserve"> </w:t>
      </w:r>
      <w:r w:rsidRPr="00AF3701">
        <w:t>‘</w:t>
      </w:r>
      <w:r w:rsidRPr="00402A31">
        <w:rPr>
          <w:i/>
          <w:iCs/>
        </w:rPr>
        <w:t>In nomine domini misericordis et pii</w:t>
      </w:r>
      <w:r w:rsidRPr="00AF3701">
        <w:t xml:space="preserve">’, </w:t>
      </w:r>
      <w:r w:rsidRPr="00402A31">
        <w:t>is the translation of the</w:t>
      </w:r>
      <w:r>
        <w:t xml:space="preserve"> Arabic</w:t>
      </w:r>
      <w:r w:rsidRPr="00402A31">
        <w:t xml:space="preserve"> </w:t>
      </w:r>
      <w:r w:rsidR="001C25F6" w:rsidRPr="00402A31">
        <w:t>‘bismallah ar-ra</w:t>
      </w:r>
      <w:r w:rsidR="001C25F6">
        <w:rPr>
          <w:lang w:val="en-US"/>
        </w:rPr>
        <w:t>ḥ</w:t>
      </w:r>
      <w:r w:rsidR="001C25F6" w:rsidRPr="00402A31">
        <w:t>mān ar-ra</w:t>
      </w:r>
      <w:r w:rsidR="001C25F6">
        <w:rPr>
          <w:lang w:val="en-US"/>
        </w:rPr>
        <w:t>ḥ</w:t>
      </w:r>
      <w:r w:rsidR="001C25F6" w:rsidRPr="00402A31">
        <w:t xml:space="preserve">īm </w:t>
      </w:r>
      <w:r w:rsidRPr="00402A31">
        <w:t>(</w:t>
      </w:r>
      <w:r w:rsidRPr="00402A31">
        <w:rPr>
          <w:rtl/>
        </w:rPr>
        <w:t>بسم الله الرحمن الرحيم</w:t>
      </w:r>
      <w:r w:rsidRPr="00402A31">
        <w:t>)</w:t>
      </w:r>
      <w:r>
        <w:t>, thus suggesting that this is indeed a translation from Arabic</w:t>
      </w:r>
      <w:r w:rsidRPr="00402A31">
        <w:t xml:space="preserve">. </w:t>
      </w:r>
      <w:r>
        <w:t>Moreover, the names of</w:t>
      </w:r>
      <w:r w:rsidRPr="00402A31">
        <w:t xml:space="preserve"> the sixteen geomantic figures</w:t>
      </w:r>
      <w:r>
        <w:t xml:space="preserve">, that are presented with different Latin variations in the other sections of the </w:t>
      </w:r>
      <w:r w:rsidRPr="00366497">
        <w:rPr>
          <w:i/>
          <w:iCs/>
        </w:rPr>
        <w:t>Liber arenalis scientiae</w:t>
      </w:r>
      <w:r>
        <w:t>, in this first section</w:t>
      </w:r>
      <w:r w:rsidR="00AF3701">
        <w:t xml:space="preserve"> </w:t>
      </w:r>
      <w:r>
        <w:t xml:space="preserve">have been transliterated rather than translated, and are thus mostly unintelligible. </w:t>
      </w:r>
      <w:r w:rsidRPr="00402A31">
        <w:t xml:space="preserve"> This is not a common feature in Latin geomantic treatises</w:t>
      </w:r>
      <w:r>
        <w:t xml:space="preserve">, where the catalogue of sixteen geomantic figures </w:t>
      </w:r>
      <w:r w:rsidR="006A6926">
        <w:t>usually presents</w:t>
      </w:r>
      <w:r>
        <w:t xml:space="preserve"> </w:t>
      </w:r>
      <w:r w:rsidR="006056AE">
        <w:t xml:space="preserve">a </w:t>
      </w:r>
      <w:r>
        <w:t>Latin nomenclature</w:t>
      </w:r>
      <w:r w:rsidRPr="00402A31">
        <w:t xml:space="preserve">. </w:t>
      </w:r>
      <w:r>
        <w:t xml:space="preserve">That of the </w:t>
      </w:r>
      <w:r w:rsidRPr="00106E54">
        <w:rPr>
          <w:i/>
          <w:iCs/>
        </w:rPr>
        <w:t>Liber arenalis scientiae</w:t>
      </w:r>
      <w:r>
        <w:t xml:space="preserve"> is thus an interesting case, because </w:t>
      </w:r>
      <w:r>
        <w:lastRenderedPageBreak/>
        <w:t>u</w:t>
      </w:r>
      <w:r w:rsidRPr="00402A31">
        <w:t xml:space="preserve">nlike </w:t>
      </w:r>
      <w:r>
        <w:t xml:space="preserve">with </w:t>
      </w:r>
      <w:r w:rsidRPr="00402A31">
        <w:t>other doctrines inherited from the Islamic world, such as that of the mansions of the moon, where most of the time the translators were not able to understand the meaning of the names of the mansions</w:t>
      </w:r>
      <w:r>
        <w:t xml:space="preserve"> that consequently</w:t>
      </w:r>
      <w:r w:rsidRPr="00402A31">
        <w:t xml:space="preserve"> were just transliterated,</w:t>
      </w:r>
      <w:r w:rsidRPr="00402A31">
        <w:rPr>
          <w:rStyle w:val="FootnoteReference"/>
        </w:rPr>
        <w:footnoteReference w:id="177"/>
      </w:r>
      <w:r w:rsidRPr="00402A31">
        <w:t xml:space="preserve"> the names of the geomantic figures </w:t>
      </w:r>
      <w:r>
        <w:t>were translated very early on in the Latin tradition. What adds to the strangeness of the names of the geomantic figures in Plato’s work is that they do not</w:t>
      </w:r>
      <w:r w:rsidR="00AB47CC">
        <w:t xml:space="preserve"> always</w:t>
      </w:r>
      <w:r>
        <w:t xml:space="preserve"> appear to be transliteration</w:t>
      </w:r>
      <w:r w:rsidR="00916650">
        <w:t>s</w:t>
      </w:r>
      <w:r>
        <w:t xml:space="preserve"> from the Arabic names of the figures, nor share many similarities with the Berber names (Table 2).</w:t>
      </w:r>
      <w:r w:rsidRPr="00402A31">
        <w:t xml:space="preserve"> </w:t>
      </w:r>
      <w:r>
        <w:t>Moreover</w:t>
      </w:r>
      <w:r w:rsidRPr="00402A31">
        <w:t xml:space="preserve">, expressions such as </w:t>
      </w:r>
      <w:r w:rsidRPr="00402A31">
        <w:rPr>
          <w:i/>
          <w:iCs/>
        </w:rPr>
        <w:t>‘annuente te deo’</w:t>
      </w:r>
      <w:r>
        <w:rPr>
          <w:i/>
          <w:iCs/>
        </w:rPr>
        <w:t>,</w:t>
      </w:r>
      <w:r w:rsidRPr="00402A31">
        <w:t xml:space="preserve"> ‘</w:t>
      </w:r>
      <w:r w:rsidRPr="00402A31">
        <w:rPr>
          <w:i/>
          <w:iCs/>
        </w:rPr>
        <w:t>deo volente’</w:t>
      </w:r>
      <w:r>
        <w:t>,</w:t>
      </w:r>
      <w:r w:rsidRPr="00402A31">
        <w:t xml:space="preserve"> </w:t>
      </w:r>
      <w:r w:rsidRPr="00402A31">
        <w:rPr>
          <w:i/>
          <w:iCs/>
        </w:rPr>
        <w:t>‘nisi deo placuerit’</w:t>
      </w:r>
      <w:r>
        <w:t xml:space="preserve"> and</w:t>
      </w:r>
      <w:r w:rsidRPr="00402A31">
        <w:t xml:space="preserve"> </w:t>
      </w:r>
      <w:r w:rsidRPr="00402A31">
        <w:rPr>
          <w:i/>
          <w:iCs/>
        </w:rPr>
        <w:t>‘si deo placuerit’</w:t>
      </w:r>
      <w:r>
        <w:t xml:space="preserve"> found in this first section of the </w:t>
      </w:r>
      <w:r w:rsidRPr="008466EC">
        <w:rPr>
          <w:i/>
          <w:iCs/>
        </w:rPr>
        <w:t>Liber arenalis scientiae</w:t>
      </w:r>
      <w:r>
        <w:t xml:space="preserve"> </w:t>
      </w:r>
      <w:r w:rsidRPr="00402A31">
        <w:t xml:space="preserve">are also standard expressions </w:t>
      </w:r>
      <w:r>
        <w:t>usually</w:t>
      </w:r>
      <w:r w:rsidRPr="00402A31">
        <w:t xml:space="preserve"> found in translations from Arabic.</w:t>
      </w:r>
      <w:r w:rsidR="00572AA8" w:rsidRPr="00572AA8">
        <w:t xml:space="preserve"> </w:t>
      </w:r>
      <w:r w:rsidR="00572AA8">
        <w:t>Furthermore, a</w:t>
      </w:r>
      <w:r w:rsidR="00572AA8" w:rsidRPr="00402A31">
        <w:t>n interesting mention that helps to locate the text is the expression ‘</w:t>
      </w:r>
      <w:r w:rsidR="00572AA8" w:rsidRPr="00402A31">
        <w:rPr>
          <w:i/>
          <w:iCs/>
        </w:rPr>
        <w:t>morabidos vel nummos</w:t>
      </w:r>
      <w:r w:rsidR="00572AA8">
        <w:rPr>
          <w:i/>
          <w:iCs/>
        </w:rPr>
        <w:t>.</w:t>
      </w:r>
      <w:r w:rsidR="00572AA8" w:rsidRPr="00572AA8">
        <w:t>’</w:t>
      </w:r>
      <w:r w:rsidR="00011343">
        <w:rPr>
          <w:rStyle w:val="FootnoteReference"/>
        </w:rPr>
        <w:footnoteReference w:id="178"/>
      </w:r>
      <w:r w:rsidR="00572AA8" w:rsidRPr="00572AA8">
        <w:t xml:space="preserve"> </w:t>
      </w:r>
      <w:r w:rsidR="00572AA8" w:rsidRPr="00402A31">
        <w:t>The morabits, or maravedi, were a Spanish-Arabic coin used between the eleventh and the fourteenth century, named after the dynasty of the Amoravids.</w:t>
      </w:r>
      <w:r w:rsidR="00572AA8" w:rsidRPr="00402A31">
        <w:rPr>
          <w:rStyle w:val="FootnoteReference"/>
        </w:rPr>
        <w:footnoteReference w:id="179"/>
      </w:r>
      <w:r w:rsidR="00572AA8" w:rsidRPr="00402A31">
        <w:t xml:space="preserve"> They were later copied by Christian rulers such as Ferdinand II of León and Alfonso VIII of Castile.</w:t>
      </w:r>
      <w:r w:rsidR="00572AA8" w:rsidRPr="00402A31">
        <w:rPr>
          <w:rStyle w:val="FootnoteReference"/>
        </w:rPr>
        <w:footnoteReference w:id="180"/>
      </w:r>
      <w:r w:rsidR="00572AA8" w:rsidRPr="00402A31">
        <w:t xml:space="preserve"> </w:t>
      </w:r>
      <w:r w:rsidR="00011343" w:rsidRPr="00011343">
        <w:t xml:space="preserve">This </w:t>
      </w:r>
      <w:r w:rsidR="00011343">
        <w:t xml:space="preserve">mention of the morabits </w:t>
      </w:r>
      <w:r w:rsidR="00011343" w:rsidRPr="00011343">
        <w:t xml:space="preserve">is found in the first chapter of the </w:t>
      </w:r>
      <w:r w:rsidR="00011343" w:rsidRPr="00011343">
        <w:rPr>
          <w:i/>
          <w:iCs/>
        </w:rPr>
        <w:t>Liber arenalis scientiae</w:t>
      </w:r>
      <w:r w:rsidR="00011343" w:rsidRPr="00011343">
        <w:t>, only preserved in the Cambridge codex</w:t>
      </w:r>
      <w:r w:rsidR="00011343">
        <w:t>, and thus suggests that the second section of text as well could derive from a translation from Arabic.</w:t>
      </w:r>
      <w:r w:rsidR="00011343" w:rsidRPr="00011343">
        <w:t xml:space="preserve"> </w:t>
      </w:r>
      <w:r w:rsidR="00572AA8" w:rsidRPr="00402A31">
        <w:t xml:space="preserve">The fact that the text mentions it first and then adds the general </w:t>
      </w:r>
      <w:r w:rsidR="00572AA8" w:rsidRPr="00402A31">
        <w:rPr>
          <w:i/>
          <w:iCs/>
        </w:rPr>
        <w:t>‘vel nummos’</w:t>
      </w:r>
      <w:r w:rsidR="00572AA8" w:rsidRPr="00402A31">
        <w:t xml:space="preserve"> may indicate the shift of this text into a different tradition, maybe that of fourteenth-century England when the Cambridge manuscript was copied, where the maravedi were not a common currency and would not have been known to the reader. </w:t>
      </w:r>
    </w:p>
    <w:p w14:paraId="5DC41385" w14:textId="657C9F71" w:rsidR="00244FB6" w:rsidRDefault="00244FB6" w:rsidP="00244FB6">
      <w:pPr>
        <w:ind w:firstLine="708"/>
      </w:pPr>
    </w:p>
    <w:p w14:paraId="462DBF44" w14:textId="77777777" w:rsidR="00244FB6" w:rsidRPr="00C40B90" w:rsidRDefault="00244FB6" w:rsidP="00244FB6">
      <w:pPr>
        <w:pStyle w:val="NormalWeb"/>
        <w:rPr>
          <w:rFonts w:asciiTheme="majorBidi" w:hAnsiTheme="majorBidi" w:cstheme="majorBidi"/>
          <w:sz w:val="20"/>
          <w:szCs w:val="20"/>
        </w:rPr>
      </w:pPr>
      <w:bookmarkStart w:id="51" w:name="_Hlk146205188"/>
      <w:r w:rsidRPr="00C40B90">
        <w:rPr>
          <w:b/>
          <w:bCs/>
        </w:rPr>
        <w:t>Table 1.</w:t>
      </w:r>
      <w:r>
        <w:t xml:space="preserve"> </w:t>
      </w:r>
      <w:r w:rsidRPr="00402A31">
        <w:rPr>
          <w:rFonts w:asciiTheme="majorBidi" w:hAnsiTheme="majorBidi" w:cstheme="majorBidi"/>
        </w:rPr>
        <w:t xml:space="preserve">Incipit of the </w:t>
      </w:r>
      <w:r w:rsidRPr="00402A31">
        <w:rPr>
          <w:rFonts w:asciiTheme="majorBidi" w:hAnsiTheme="majorBidi" w:cstheme="majorBidi"/>
          <w:i/>
          <w:iCs/>
        </w:rPr>
        <w:t>Liber arenalis</w:t>
      </w:r>
      <w:r w:rsidRPr="00402A31">
        <w:rPr>
          <w:rFonts w:asciiTheme="majorBidi" w:hAnsiTheme="majorBidi" w:cstheme="majorBidi"/>
        </w:rPr>
        <w:t xml:space="preserve"> in the Cambridge, Oxford, Augsburg and London manuscripts.</w:t>
      </w:r>
      <w:r w:rsidRPr="00402A31">
        <w:rPr>
          <w:rStyle w:val="HeaderChar"/>
          <w:rFonts w:asciiTheme="majorBidi" w:eastAsiaTheme="majorEastAsia" w:hAnsiTheme="majorBidi" w:cstheme="majorBidi"/>
        </w:rPr>
        <w:t xml:space="preserve"> </w:t>
      </w:r>
    </w:p>
    <w:tbl>
      <w:tblPr>
        <w:tblStyle w:val="TableGrid"/>
        <w:tblW w:w="0" w:type="auto"/>
        <w:tblLook w:val="04A0" w:firstRow="1" w:lastRow="0" w:firstColumn="1" w:lastColumn="0" w:noHBand="0" w:noVBand="1"/>
      </w:tblPr>
      <w:tblGrid>
        <w:gridCol w:w="2123"/>
        <w:gridCol w:w="2123"/>
        <w:gridCol w:w="2124"/>
        <w:gridCol w:w="2124"/>
      </w:tblGrid>
      <w:tr w:rsidR="00244FB6" w:rsidRPr="00402A31" w14:paraId="655AADEB" w14:textId="77777777" w:rsidTr="00A61EEF">
        <w:tc>
          <w:tcPr>
            <w:tcW w:w="2123" w:type="dxa"/>
          </w:tcPr>
          <w:p w14:paraId="640F6765" w14:textId="77777777" w:rsidR="00244FB6" w:rsidRPr="00994E15" w:rsidRDefault="00244FB6" w:rsidP="00A61EEF">
            <w:pPr>
              <w:ind w:firstLine="0"/>
              <w:rPr>
                <w:rFonts w:cstheme="majorBidi"/>
                <w:i/>
                <w:iCs/>
                <w:sz w:val="20"/>
                <w:szCs w:val="20"/>
              </w:rPr>
            </w:pPr>
            <w:r w:rsidRPr="00994E15">
              <w:rPr>
                <w:rFonts w:cstheme="majorBidi"/>
                <w:i/>
                <w:iCs/>
                <w:sz w:val="20"/>
                <w:szCs w:val="20"/>
              </w:rPr>
              <w:t>C</w:t>
            </w:r>
            <w:r>
              <w:rPr>
                <w:rFonts w:cstheme="majorBidi"/>
                <w:i/>
                <w:iCs/>
                <w:sz w:val="20"/>
                <w:szCs w:val="20"/>
              </w:rPr>
              <w:t>ambridge</w:t>
            </w:r>
          </w:p>
        </w:tc>
        <w:tc>
          <w:tcPr>
            <w:tcW w:w="2123" w:type="dxa"/>
          </w:tcPr>
          <w:p w14:paraId="3DFE89C6" w14:textId="77777777" w:rsidR="00244FB6" w:rsidRPr="00994E15" w:rsidRDefault="00244FB6" w:rsidP="00A61EEF">
            <w:pPr>
              <w:ind w:firstLine="0"/>
              <w:rPr>
                <w:rFonts w:cstheme="majorBidi"/>
                <w:i/>
                <w:iCs/>
                <w:sz w:val="20"/>
                <w:szCs w:val="20"/>
              </w:rPr>
            </w:pPr>
            <w:r w:rsidRPr="00994E15">
              <w:rPr>
                <w:rFonts w:cstheme="majorBidi"/>
                <w:i/>
                <w:iCs/>
                <w:sz w:val="20"/>
                <w:szCs w:val="20"/>
              </w:rPr>
              <w:t>O</w:t>
            </w:r>
            <w:r>
              <w:rPr>
                <w:rFonts w:cstheme="majorBidi"/>
                <w:i/>
                <w:iCs/>
                <w:sz w:val="20"/>
                <w:szCs w:val="20"/>
              </w:rPr>
              <w:t>xford</w:t>
            </w:r>
          </w:p>
        </w:tc>
        <w:tc>
          <w:tcPr>
            <w:tcW w:w="2124" w:type="dxa"/>
          </w:tcPr>
          <w:p w14:paraId="68F842F9" w14:textId="77777777" w:rsidR="00244FB6" w:rsidRPr="00994E15" w:rsidRDefault="00244FB6" w:rsidP="00A61EEF">
            <w:pPr>
              <w:ind w:firstLine="0"/>
              <w:rPr>
                <w:rFonts w:cstheme="majorBidi"/>
                <w:i/>
                <w:iCs/>
                <w:sz w:val="20"/>
                <w:szCs w:val="20"/>
              </w:rPr>
            </w:pPr>
            <w:r w:rsidRPr="00994E15">
              <w:rPr>
                <w:rFonts w:cstheme="majorBidi"/>
                <w:i/>
                <w:iCs/>
                <w:sz w:val="20"/>
                <w:szCs w:val="20"/>
              </w:rPr>
              <w:t>A</w:t>
            </w:r>
            <w:r>
              <w:rPr>
                <w:rFonts w:cstheme="majorBidi"/>
                <w:i/>
                <w:iCs/>
                <w:sz w:val="20"/>
                <w:szCs w:val="20"/>
              </w:rPr>
              <w:t>ugsburg</w:t>
            </w:r>
          </w:p>
        </w:tc>
        <w:tc>
          <w:tcPr>
            <w:tcW w:w="2124" w:type="dxa"/>
          </w:tcPr>
          <w:p w14:paraId="172E46B1" w14:textId="77777777" w:rsidR="00244FB6" w:rsidRPr="00994E15" w:rsidRDefault="00244FB6" w:rsidP="00A61EEF">
            <w:pPr>
              <w:ind w:firstLine="0"/>
              <w:rPr>
                <w:rFonts w:cstheme="majorBidi"/>
                <w:i/>
                <w:iCs/>
                <w:sz w:val="20"/>
                <w:szCs w:val="20"/>
              </w:rPr>
            </w:pPr>
            <w:r w:rsidRPr="00994E15">
              <w:rPr>
                <w:rFonts w:cstheme="majorBidi"/>
                <w:i/>
                <w:iCs/>
                <w:sz w:val="20"/>
                <w:szCs w:val="20"/>
              </w:rPr>
              <w:t>L</w:t>
            </w:r>
            <w:r>
              <w:rPr>
                <w:rFonts w:cstheme="majorBidi"/>
                <w:i/>
                <w:iCs/>
                <w:sz w:val="20"/>
                <w:szCs w:val="20"/>
              </w:rPr>
              <w:t>ondon</w:t>
            </w:r>
          </w:p>
        </w:tc>
      </w:tr>
      <w:tr w:rsidR="00244FB6" w:rsidRPr="00402A31" w14:paraId="69B162D4" w14:textId="77777777" w:rsidTr="00A61EEF">
        <w:trPr>
          <w:trHeight w:val="58"/>
        </w:trPr>
        <w:tc>
          <w:tcPr>
            <w:tcW w:w="2123" w:type="dxa"/>
          </w:tcPr>
          <w:p w14:paraId="62CF045C" w14:textId="77777777" w:rsidR="00244FB6" w:rsidRDefault="00244FB6" w:rsidP="00A61EEF">
            <w:pPr>
              <w:ind w:firstLine="0"/>
              <w:jc w:val="left"/>
              <w:rPr>
                <w:rFonts w:cstheme="majorBidi"/>
                <w:sz w:val="20"/>
                <w:szCs w:val="20"/>
              </w:rPr>
            </w:pPr>
          </w:p>
          <w:p w14:paraId="3AE71E28" w14:textId="77777777" w:rsidR="00244FB6" w:rsidRPr="00994E15" w:rsidRDefault="00244FB6" w:rsidP="00A61EEF">
            <w:pPr>
              <w:ind w:firstLine="0"/>
              <w:jc w:val="left"/>
              <w:rPr>
                <w:rFonts w:cstheme="majorBidi"/>
                <w:sz w:val="20"/>
                <w:szCs w:val="20"/>
              </w:rPr>
            </w:pPr>
            <w:r w:rsidRPr="00994E15">
              <w:rPr>
                <w:rFonts w:cstheme="majorBidi"/>
                <w:sz w:val="20"/>
                <w:szCs w:val="20"/>
              </w:rPr>
              <w:t>Incipit liber arenalis  scientie, ab alfarino abizarch editus et a platone tiburtino de arabico in latinum translatus. In nomine domini misericordis et pii,  in lineis  contineri scientiam, uni prophetarum a deo creatore transmissam ab antiquis ostenditur. Quicumque  igitur per suas lineas ad quamlibet istius  prophetie linearum a vero pervenerit, nullatenus deviabit, et ut aiunt hoc prophetie, calidcinem filius a deo missus est ad barbaros.</w:t>
            </w:r>
          </w:p>
        </w:tc>
        <w:tc>
          <w:tcPr>
            <w:tcW w:w="2123" w:type="dxa"/>
          </w:tcPr>
          <w:p w14:paraId="4F7CAB1D" w14:textId="77777777" w:rsidR="00244FB6" w:rsidRDefault="00244FB6" w:rsidP="00A61EEF">
            <w:pPr>
              <w:ind w:firstLine="0"/>
              <w:jc w:val="left"/>
              <w:rPr>
                <w:rFonts w:cstheme="majorBidi"/>
                <w:sz w:val="20"/>
                <w:szCs w:val="20"/>
              </w:rPr>
            </w:pPr>
          </w:p>
          <w:p w14:paraId="7CBD556B" w14:textId="77777777" w:rsidR="00244FB6" w:rsidRPr="00994E15" w:rsidRDefault="00244FB6" w:rsidP="00A61EEF">
            <w:pPr>
              <w:ind w:firstLine="0"/>
              <w:jc w:val="left"/>
              <w:rPr>
                <w:rFonts w:cstheme="majorBidi"/>
                <w:sz w:val="20"/>
                <w:szCs w:val="20"/>
              </w:rPr>
            </w:pPr>
            <w:r w:rsidRPr="00994E15">
              <w:rPr>
                <w:rFonts w:cstheme="majorBidi"/>
                <w:sz w:val="20"/>
                <w:szCs w:val="20"/>
              </w:rPr>
              <w:t>Incipit liber arnaldi scientie, ab alfarino abizarch editus et a platone tiburtino de arabico in latinum translatus. In nomine domini misericordis et pii eius contineri scientiam, uni prophetarum a deo creatore transmissam ab antiquis ostenditur. Cum igitur per suas lineas ad […] filius a deo missus est ad barbaros.</w:t>
            </w:r>
          </w:p>
        </w:tc>
        <w:tc>
          <w:tcPr>
            <w:tcW w:w="2124" w:type="dxa"/>
          </w:tcPr>
          <w:p w14:paraId="0682DA91" w14:textId="77777777" w:rsidR="00244FB6" w:rsidRDefault="00244FB6" w:rsidP="00A61EEF">
            <w:pPr>
              <w:ind w:firstLine="0"/>
              <w:jc w:val="left"/>
              <w:rPr>
                <w:rFonts w:cstheme="majorBidi"/>
                <w:sz w:val="20"/>
                <w:szCs w:val="20"/>
              </w:rPr>
            </w:pPr>
            <w:bookmarkStart w:id="52" w:name="_Hlk146192375"/>
          </w:p>
          <w:p w14:paraId="6507A758" w14:textId="77777777" w:rsidR="00244FB6" w:rsidRPr="00994E15" w:rsidRDefault="00244FB6" w:rsidP="00A61EEF">
            <w:pPr>
              <w:ind w:firstLine="0"/>
              <w:jc w:val="left"/>
              <w:rPr>
                <w:rFonts w:cstheme="majorBidi"/>
                <w:sz w:val="20"/>
                <w:szCs w:val="20"/>
              </w:rPr>
            </w:pPr>
            <w:r w:rsidRPr="00994E15">
              <w:rPr>
                <w:rFonts w:cstheme="majorBidi"/>
                <w:sz w:val="20"/>
                <w:szCs w:val="20"/>
              </w:rPr>
              <w:t xml:space="preserve">Liber arenalis scientiae alfudieno(?) filio abiczero editus et a platone tiburane de arabico in latinum translatus incipit. </w:t>
            </w:r>
            <w:bookmarkEnd w:id="52"/>
            <w:r w:rsidRPr="00994E15">
              <w:rPr>
                <w:rFonts w:cstheme="majorBidi"/>
                <w:sz w:val="20"/>
                <w:szCs w:val="20"/>
              </w:rPr>
              <w:t>In nomine domini midericordis et pii, in lineis continentiam uni prophetarum a creatore transmissam ab antiquis ostenditur. Quoque igitur per suas lineas ad quemlibet ilius(?) prophete linearum pervenerint.</w:t>
            </w:r>
          </w:p>
        </w:tc>
        <w:tc>
          <w:tcPr>
            <w:tcW w:w="2124" w:type="dxa"/>
          </w:tcPr>
          <w:p w14:paraId="71ABBD6C" w14:textId="77777777" w:rsidR="00244FB6" w:rsidRDefault="00244FB6" w:rsidP="00A61EEF">
            <w:pPr>
              <w:ind w:firstLine="0"/>
              <w:jc w:val="left"/>
              <w:rPr>
                <w:rFonts w:cstheme="majorBidi"/>
                <w:sz w:val="20"/>
                <w:szCs w:val="20"/>
              </w:rPr>
            </w:pPr>
          </w:p>
          <w:p w14:paraId="648ECBFF" w14:textId="77777777" w:rsidR="00244FB6" w:rsidRPr="00994E15" w:rsidRDefault="00244FB6" w:rsidP="00A61EEF">
            <w:pPr>
              <w:ind w:firstLine="0"/>
              <w:jc w:val="left"/>
              <w:rPr>
                <w:rFonts w:cstheme="majorBidi"/>
                <w:sz w:val="20"/>
                <w:szCs w:val="20"/>
              </w:rPr>
            </w:pPr>
            <w:r w:rsidRPr="00994E15">
              <w:rPr>
                <w:rFonts w:cstheme="majorBidi"/>
                <w:sz w:val="20"/>
                <w:szCs w:val="20"/>
              </w:rPr>
              <w:t>In nomine domini nostri Jehsu Christi incipit Liber scientie arenalis de iudiciis geomansie ab alpharino filio abrahe iudeo editus et a platone de hebreico sermone in latinum translatus.</w:t>
            </w:r>
          </w:p>
          <w:p w14:paraId="5534E7E7" w14:textId="77777777" w:rsidR="00244FB6" w:rsidRPr="00994E15" w:rsidRDefault="00244FB6" w:rsidP="00A61EEF">
            <w:pPr>
              <w:ind w:firstLine="0"/>
              <w:jc w:val="left"/>
              <w:rPr>
                <w:rFonts w:cstheme="majorBidi"/>
                <w:sz w:val="20"/>
                <w:szCs w:val="20"/>
                <w:lang w:val="pt-PT"/>
              </w:rPr>
            </w:pPr>
            <w:r w:rsidRPr="00994E15">
              <w:rPr>
                <w:rFonts w:cstheme="majorBidi"/>
                <w:sz w:val="20"/>
                <w:szCs w:val="20"/>
                <w:lang w:val="pt-PT"/>
              </w:rPr>
              <w:t>Sequitur nomina figurarum cum figuris geomansie.</w:t>
            </w:r>
          </w:p>
        </w:tc>
      </w:tr>
      <w:bookmarkEnd w:id="51"/>
    </w:tbl>
    <w:p w14:paraId="55295E05" w14:textId="77777777" w:rsidR="00244FB6" w:rsidRDefault="00244FB6" w:rsidP="00244FB6">
      <w:pPr>
        <w:ind w:firstLine="0"/>
      </w:pPr>
    </w:p>
    <w:p w14:paraId="1FBBAB4B" w14:textId="77777777" w:rsidR="00636C34" w:rsidRDefault="00636C34" w:rsidP="00244FB6">
      <w:pPr>
        <w:ind w:firstLine="0"/>
      </w:pPr>
    </w:p>
    <w:p w14:paraId="1DF6F919" w14:textId="77777777" w:rsidR="00E54FA9" w:rsidRDefault="00E54FA9" w:rsidP="00244FB6">
      <w:pPr>
        <w:ind w:firstLine="0"/>
      </w:pPr>
    </w:p>
    <w:p w14:paraId="2F08BB16" w14:textId="77777777" w:rsidR="00244FB6" w:rsidRDefault="00244FB6" w:rsidP="00E54FA9">
      <w:pPr>
        <w:spacing w:line="240" w:lineRule="auto"/>
        <w:ind w:firstLine="0"/>
      </w:pPr>
      <w:r w:rsidRPr="00CA77E7">
        <w:rPr>
          <w:b/>
          <w:bCs/>
        </w:rPr>
        <w:t>Table 2.</w:t>
      </w:r>
      <w:r>
        <w:t xml:space="preserve"> </w:t>
      </w:r>
      <w:r w:rsidRPr="00402A31">
        <w:t xml:space="preserve">The names of the geomantic figures in the </w:t>
      </w:r>
      <w:r w:rsidRPr="00402A31">
        <w:rPr>
          <w:i/>
          <w:iCs/>
        </w:rPr>
        <w:t>Liber arenalis</w:t>
      </w:r>
      <w:r>
        <w:rPr>
          <w:i/>
          <w:iCs/>
        </w:rPr>
        <w:t xml:space="preserve"> scientiae, </w:t>
      </w:r>
      <w:r>
        <w:t>the meanings given to these names in the text,  compared with the Arabic and Berber names of the figures.</w:t>
      </w:r>
    </w:p>
    <w:p w14:paraId="04DD2997" w14:textId="77777777" w:rsidR="00E54FA9" w:rsidRPr="00BD2C29" w:rsidRDefault="00E54FA9" w:rsidP="00E54FA9">
      <w:pPr>
        <w:spacing w:line="240" w:lineRule="auto"/>
        <w:ind w:firstLine="0"/>
      </w:pPr>
    </w:p>
    <w:tbl>
      <w:tblPr>
        <w:tblStyle w:val="TableGrid"/>
        <w:tblW w:w="8500" w:type="dxa"/>
        <w:tblLayout w:type="fixed"/>
        <w:tblLook w:val="04A0" w:firstRow="1" w:lastRow="0" w:firstColumn="1" w:lastColumn="0" w:noHBand="0" w:noVBand="1"/>
      </w:tblPr>
      <w:tblGrid>
        <w:gridCol w:w="1129"/>
        <w:gridCol w:w="1276"/>
        <w:gridCol w:w="2835"/>
        <w:gridCol w:w="1559"/>
        <w:gridCol w:w="1701"/>
      </w:tblGrid>
      <w:tr w:rsidR="00244FB6" w:rsidRPr="00BD2C29" w14:paraId="7DBC763A" w14:textId="77777777" w:rsidTr="00A61EEF">
        <w:tc>
          <w:tcPr>
            <w:tcW w:w="1129" w:type="dxa"/>
          </w:tcPr>
          <w:p w14:paraId="7CFE0997" w14:textId="77777777" w:rsidR="00244FB6" w:rsidRPr="00BD2C29" w:rsidRDefault="00244FB6" w:rsidP="00A61EEF">
            <w:pPr>
              <w:ind w:firstLine="0"/>
              <w:jc w:val="left"/>
              <w:rPr>
                <w:rFonts w:cstheme="majorBidi"/>
                <w:sz w:val="20"/>
                <w:szCs w:val="20"/>
              </w:rPr>
            </w:pPr>
            <w:r w:rsidRPr="00BD2C29">
              <w:rPr>
                <w:rFonts w:cstheme="majorBidi"/>
                <w:sz w:val="20"/>
                <w:szCs w:val="20"/>
              </w:rPr>
              <w:t>FIGURE</w:t>
            </w:r>
          </w:p>
        </w:tc>
        <w:tc>
          <w:tcPr>
            <w:tcW w:w="1276" w:type="dxa"/>
          </w:tcPr>
          <w:p w14:paraId="38C2D473" w14:textId="1E8161B1" w:rsidR="00244FB6" w:rsidRPr="00BD2C29" w:rsidRDefault="00244FB6" w:rsidP="00A61EEF">
            <w:pPr>
              <w:ind w:firstLine="0"/>
              <w:jc w:val="left"/>
              <w:rPr>
                <w:rFonts w:cstheme="majorBidi"/>
                <w:sz w:val="20"/>
                <w:szCs w:val="20"/>
              </w:rPr>
            </w:pPr>
            <w:r w:rsidRPr="00BD2C29">
              <w:rPr>
                <w:rFonts w:cstheme="majorBidi"/>
                <w:sz w:val="20"/>
                <w:szCs w:val="20"/>
              </w:rPr>
              <w:t>ARABIC NAME</w:t>
            </w:r>
            <w:r w:rsidR="0088099B">
              <w:rPr>
                <w:rFonts w:cstheme="majorBidi"/>
                <w:sz w:val="20"/>
                <w:szCs w:val="20"/>
              </w:rPr>
              <w:t>S</w:t>
            </w:r>
            <w:r w:rsidRPr="00BD2C29">
              <w:rPr>
                <w:rFonts w:cstheme="majorBidi"/>
                <w:sz w:val="20"/>
                <w:szCs w:val="20"/>
              </w:rPr>
              <w:t xml:space="preserve"> IN PLATO</w:t>
            </w:r>
          </w:p>
        </w:tc>
        <w:tc>
          <w:tcPr>
            <w:tcW w:w="2835" w:type="dxa"/>
          </w:tcPr>
          <w:p w14:paraId="255D1D84" w14:textId="77777777" w:rsidR="00244FB6" w:rsidRPr="00BD2C29" w:rsidRDefault="00244FB6" w:rsidP="00A61EEF">
            <w:pPr>
              <w:ind w:firstLine="0"/>
              <w:jc w:val="left"/>
              <w:rPr>
                <w:rFonts w:cstheme="majorBidi"/>
                <w:sz w:val="20"/>
                <w:szCs w:val="20"/>
              </w:rPr>
            </w:pPr>
            <w:r w:rsidRPr="00BD2C29">
              <w:rPr>
                <w:rFonts w:cstheme="majorBidi"/>
                <w:sz w:val="20"/>
                <w:szCs w:val="20"/>
              </w:rPr>
              <w:t>LATIN MEANING IN PLATO</w:t>
            </w:r>
            <w:r>
              <w:rPr>
                <w:rFonts w:cstheme="majorBidi"/>
                <w:sz w:val="20"/>
                <w:szCs w:val="20"/>
              </w:rPr>
              <w:t xml:space="preserve"> (and English translation)</w:t>
            </w:r>
          </w:p>
        </w:tc>
        <w:tc>
          <w:tcPr>
            <w:tcW w:w="1559" w:type="dxa"/>
          </w:tcPr>
          <w:p w14:paraId="00420D59" w14:textId="648D8204" w:rsidR="00244FB6" w:rsidRPr="00BD2C29" w:rsidRDefault="00244FB6" w:rsidP="00A61EEF">
            <w:pPr>
              <w:ind w:firstLine="0"/>
              <w:jc w:val="left"/>
              <w:rPr>
                <w:rFonts w:cstheme="majorBidi"/>
                <w:sz w:val="20"/>
                <w:szCs w:val="20"/>
              </w:rPr>
            </w:pPr>
            <w:r w:rsidRPr="00BD2C29">
              <w:rPr>
                <w:rFonts w:cstheme="majorBidi"/>
                <w:sz w:val="20"/>
                <w:szCs w:val="20"/>
              </w:rPr>
              <w:t>ARABIC NAME</w:t>
            </w:r>
            <w:r w:rsidR="0088099B">
              <w:rPr>
                <w:rFonts w:cstheme="majorBidi"/>
                <w:sz w:val="20"/>
                <w:szCs w:val="20"/>
              </w:rPr>
              <w:t>S</w:t>
            </w:r>
            <w:r w:rsidRPr="00BD2C29">
              <w:rPr>
                <w:rFonts w:cstheme="majorBidi"/>
                <w:sz w:val="20"/>
                <w:szCs w:val="20"/>
              </w:rPr>
              <w:t xml:space="preserve"> IN ZANĀTI</w:t>
            </w:r>
          </w:p>
        </w:tc>
        <w:tc>
          <w:tcPr>
            <w:tcW w:w="1701" w:type="dxa"/>
          </w:tcPr>
          <w:p w14:paraId="0106D23F" w14:textId="7408B26D" w:rsidR="00244FB6" w:rsidRPr="00BD2C29" w:rsidRDefault="00244FB6" w:rsidP="00A61EEF">
            <w:pPr>
              <w:ind w:firstLine="0"/>
              <w:jc w:val="left"/>
              <w:rPr>
                <w:rFonts w:cstheme="majorBidi"/>
                <w:sz w:val="20"/>
                <w:szCs w:val="20"/>
              </w:rPr>
            </w:pPr>
            <w:r w:rsidRPr="00BD2C29">
              <w:rPr>
                <w:rFonts w:cstheme="majorBidi"/>
                <w:sz w:val="20"/>
                <w:szCs w:val="20"/>
              </w:rPr>
              <w:t>NAME</w:t>
            </w:r>
            <w:r w:rsidR="0088099B">
              <w:rPr>
                <w:rFonts w:cstheme="majorBidi"/>
                <w:sz w:val="20"/>
                <w:szCs w:val="20"/>
              </w:rPr>
              <w:t>S</w:t>
            </w:r>
            <w:r w:rsidRPr="00BD2C29">
              <w:rPr>
                <w:rFonts w:cstheme="majorBidi"/>
                <w:sz w:val="20"/>
                <w:szCs w:val="20"/>
              </w:rPr>
              <w:t xml:space="preserve"> IN MAḤFŪF</w:t>
            </w:r>
            <w:r w:rsidR="0088099B">
              <w:rPr>
                <w:rFonts w:cstheme="majorBidi"/>
                <w:sz w:val="20"/>
                <w:szCs w:val="20"/>
              </w:rPr>
              <w:t xml:space="preserve"> (SOME ARABIC SOME BERBER)</w:t>
            </w:r>
          </w:p>
        </w:tc>
      </w:tr>
      <w:tr w:rsidR="00244FB6" w:rsidRPr="00BD2C29" w14:paraId="19801E17" w14:textId="77777777" w:rsidTr="00A61EEF">
        <w:tc>
          <w:tcPr>
            <w:tcW w:w="1129" w:type="dxa"/>
          </w:tcPr>
          <w:p w14:paraId="42109840" w14:textId="77777777" w:rsidR="00244FB6" w:rsidRPr="00BD2C29" w:rsidRDefault="00244FB6" w:rsidP="00A61EEF">
            <w:pPr>
              <w:ind w:firstLine="0"/>
              <w:jc w:val="left"/>
              <w:rPr>
                <w:rFonts w:cstheme="majorBidi"/>
                <w:sz w:val="20"/>
                <w:szCs w:val="20"/>
              </w:rPr>
            </w:pPr>
            <w:r w:rsidRPr="00BD2C29">
              <w:rPr>
                <w:rFonts w:cstheme="majorBidi"/>
                <w:sz w:val="20"/>
                <w:szCs w:val="20"/>
              </w:rPr>
              <w:t>1111</w:t>
            </w:r>
          </w:p>
        </w:tc>
        <w:tc>
          <w:tcPr>
            <w:tcW w:w="1276" w:type="dxa"/>
          </w:tcPr>
          <w:p w14:paraId="11ADB42E" w14:textId="77777777" w:rsidR="00244FB6" w:rsidRPr="00BD2C29" w:rsidRDefault="00244FB6" w:rsidP="00A61EEF">
            <w:pPr>
              <w:ind w:firstLine="0"/>
              <w:jc w:val="left"/>
              <w:rPr>
                <w:rFonts w:cstheme="majorBidi"/>
                <w:sz w:val="20"/>
                <w:szCs w:val="20"/>
              </w:rPr>
            </w:pPr>
            <w:r w:rsidRPr="00BD2C29">
              <w:rPr>
                <w:rFonts w:cstheme="majorBidi"/>
                <w:sz w:val="20"/>
                <w:szCs w:val="20"/>
              </w:rPr>
              <w:t>/</w:t>
            </w:r>
          </w:p>
        </w:tc>
        <w:tc>
          <w:tcPr>
            <w:tcW w:w="2835" w:type="dxa"/>
          </w:tcPr>
          <w:p w14:paraId="4FE615E3" w14:textId="77777777" w:rsidR="00244FB6" w:rsidRPr="00BD2C29" w:rsidRDefault="00244FB6" w:rsidP="00A61EEF">
            <w:pPr>
              <w:ind w:firstLine="0"/>
              <w:jc w:val="left"/>
              <w:rPr>
                <w:rFonts w:cstheme="majorBidi"/>
                <w:sz w:val="20"/>
                <w:szCs w:val="20"/>
              </w:rPr>
            </w:pPr>
            <w:r w:rsidRPr="00BD2C29">
              <w:rPr>
                <w:rFonts w:cstheme="majorBidi"/>
                <w:sz w:val="20"/>
                <w:szCs w:val="20"/>
              </w:rPr>
              <w:t>Iter</w:t>
            </w:r>
            <w:r>
              <w:rPr>
                <w:rFonts w:cstheme="majorBidi"/>
                <w:sz w:val="20"/>
                <w:szCs w:val="20"/>
              </w:rPr>
              <w:t xml:space="preserve"> (journey)</w:t>
            </w:r>
          </w:p>
        </w:tc>
        <w:tc>
          <w:tcPr>
            <w:tcW w:w="1559" w:type="dxa"/>
            <w:tcBorders>
              <w:top w:val="single" w:sz="4" w:space="0" w:color="auto"/>
              <w:left w:val="single" w:sz="4" w:space="0" w:color="auto"/>
              <w:bottom w:val="single" w:sz="4" w:space="0" w:color="auto"/>
              <w:right w:val="single" w:sz="4" w:space="0" w:color="auto"/>
            </w:tcBorders>
          </w:tcPr>
          <w:p w14:paraId="48E282C0" w14:textId="02B27C11" w:rsidR="00244FB6" w:rsidRPr="001F640C" w:rsidRDefault="00244FB6" w:rsidP="00A61EEF">
            <w:pPr>
              <w:ind w:firstLine="0"/>
              <w:jc w:val="left"/>
              <w:rPr>
                <w:rFonts w:cstheme="majorBidi"/>
                <w:sz w:val="20"/>
                <w:szCs w:val="20"/>
                <w:highlight w:val="yellow"/>
              </w:rPr>
            </w:pPr>
            <w:r w:rsidRPr="006B00A2">
              <w:rPr>
                <w:rFonts w:cstheme="majorBidi"/>
                <w:sz w:val="20"/>
                <w:szCs w:val="20"/>
              </w:rPr>
              <w:t>ṭarīq</w:t>
            </w:r>
            <w:r w:rsidR="001F640C" w:rsidRPr="006B00A2">
              <w:rPr>
                <w:rFonts w:cstheme="majorBidi"/>
                <w:sz w:val="20"/>
                <w:szCs w:val="20"/>
              </w:rPr>
              <w:t xml:space="preserve"> </w:t>
            </w:r>
            <w:r w:rsidR="000D192A" w:rsidRPr="006B00A2">
              <w:rPr>
                <w:rFonts w:cstheme="majorBidi"/>
                <w:sz w:val="20"/>
                <w:szCs w:val="20"/>
              </w:rPr>
              <w:t>(way)</w:t>
            </w:r>
          </w:p>
        </w:tc>
        <w:tc>
          <w:tcPr>
            <w:tcW w:w="1701" w:type="dxa"/>
          </w:tcPr>
          <w:p w14:paraId="34BEDF0F" w14:textId="77777777" w:rsidR="00244FB6" w:rsidRPr="00BD2C29" w:rsidRDefault="00244FB6" w:rsidP="00A61EEF">
            <w:pPr>
              <w:ind w:firstLine="0"/>
              <w:jc w:val="left"/>
              <w:rPr>
                <w:rFonts w:cstheme="majorBidi"/>
                <w:sz w:val="20"/>
                <w:szCs w:val="20"/>
              </w:rPr>
            </w:pPr>
            <w:r w:rsidRPr="00BD2C29">
              <w:rPr>
                <w:rFonts w:cstheme="majorBidi"/>
                <w:sz w:val="20"/>
                <w:szCs w:val="20"/>
              </w:rPr>
              <w:t>ʾbryd</w:t>
            </w:r>
          </w:p>
        </w:tc>
      </w:tr>
      <w:tr w:rsidR="00244FB6" w:rsidRPr="00BD2C29" w14:paraId="74B5EF2D" w14:textId="77777777" w:rsidTr="00A61EEF">
        <w:tc>
          <w:tcPr>
            <w:tcW w:w="1129" w:type="dxa"/>
          </w:tcPr>
          <w:p w14:paraId="630F1173" w14:textId="77777777" w:rsidR="00244FB6" w:rsidRPr="00BD2C29" w:rsidRDefault="00244FB6" w:rsidP="00A61EEF">
            <w:pPr>
              <w:ind w:firstLine="0"/>
              <w:jc w:val="left"/>
              <w:rPr>
                <w:rFonts w:cstheme="majorBidi"/>
                <w:sz w:val="20"/>
                <w:szCs w:val="20"/>
              </w:rPr>
            </w:pPr>
            <w:r w:rsidRPr="00BD2C29">
              <w:rPr>
                <w:rFonts w:cstheme="majorBidi"/>
                <w:sz w:val="20"/>
                <w:szCs w:val="20"/>
              </w:rPr>
              <w:t>2111</w:t>
            </w:r>
          </w:p>
        </w:tc>
        <w:tc>
          <w:tcPr>
            <w:tcW w:w="1276" w:type="dxa"/>
          </w:tcPr>
          <w:p w14:paraId="541D525A" w14:textId="77777777" w:rsidR="00244FB6" w:rsidRPr="00BD2C29" w:rsidRDefault="00244FB6" w:rsidP="00A61EEF">
            <w:pPr>
              <w:ind w:firstLine="0"/>
              <w:jc w:val="left"/>
              <w:rPr>
                <w:rFonts w:cstheme="majorBidi"/>
                <w:sz w:val="20"/>
                <w:szCs w:val="20"/>
              </w:rPr>
            </w:pPr>
            <w:r w:rsidRPr="00BD2C29">
              <w:rPr>
                <w:rFonts w:cstheme="majorBidi"/>
                <w:sz w:val="20"/>
                <w:szCs w:val="20"/>
              </w:rPr>
              <w:t>terrazel</w:t>
            </w:r>
          </w:p>
        </w:tc>
        <w:tc>
          <w:tcPr>
            <w:tcW w:w="2835" w:type="dxa"/>
          </w:tcPr>
          <w:p w14:paraId="03ED1DEA" w14:textId="77777777" w:rsidR="00244FB6" w:rsidRPr="00BD2C29" w:rsidRDefault="00244FB6" w:rsidP="00A61EEF">
            <w:pPr>
              <w:ind w:firstLine="0"/>
              <w:jc w:val="left"/>
              <w:rPr>
                <w:rFonts w:cstheme="majorBidi"/>
                <w:sz w:val="20"/>
                <w:szCs w:val="20"/>
              </w:rPr>
            </w:pPr>
            <w:r w:rsidRPr="00BD2C29">
              <w:rPr>
                <w:rFonts w:cstheme="majorBidi"/>
                <w:sz w:val="20"/>
                <w:szCs w:val="20"/>
              </w:rPr>
              <w:t>bonum alacritatis</w:t>
            </w:r>
            <w:r>
              <w:rPr>
                <w:rFonts w:cstheme="majorBidi"/>
                <w:sz w:val="20"/>
                <w:szCs w:val="20"/>
              </w:rPr>
              <w:t xml:space="preserve"> (of good liveliness)</w:t>
            </w:r>
          </w:p>
        </w:tc>
        <w:tc>
          <w:tcPr>
            <w:tcW w:w="1559" w:type="dxa"/>
            <w:tcBorders>
              <w:top w:val="single" w:sz="4" w:space="0" w:color="auto"/>
              <w:left w:val="single" w:sz="4" w:space="0" w:color="auto"/>
              <w:bottom w:val="single" w:sz="4" w:space="0" w:color="auto"/>
              <w:right w:val="single" w:sz="4" w:space="0" w:color="auto"/>
            </w:tcBorders>
          </w:tcPr>
          <w:p w14:paraId="3AA15DF8" w14:textId="2FCE6EC8" w:rsidR="00244FB6" w:rsidRPr="001F640C" w:rsidRDefault="00244FB6" w:rsidP="00A61EEF">
            <w:pPr>
              <w:ind w:firstLine="0"/>
              <w:jc w:val="left"/>
              <w:rPr>
                <w:rFonts w:cstheme="majorBidi"/>
                <w:sz w:val="20"/>
                <w:szCs w:val="20"/>
                <w:highlight w:val="yellow"/>
              </w:rPr>
            </w:pPr>
            <w:r w:rsidRPr="009F5A03">
              <w:rPr>
                <w:rFonts w:cstheme="majorBidi"/>
                <w:sz w:val="20"/>
                <w:szCs w:val="20"/>
              </w:rPr>
              <w:t>rāyat al-faraḥ</w:t>
            </w:r>
            <w:r w:rsidR="009F5A03" w:rsidRPr="009F5A03">
              <w:rPr>
                <w:rFonts w:cstheme="majorBidi"/>
                <w:sz w:val="20"/>
                <w:szCs w:val="20"/>
              </w:rPr>
              <w:t xml:space="preserve"> (banner of joy)</w:t>
            </w:r>
          </w:p>
        </w:tc>
        <w:tc>
          <w:tcPr>
            <w:tcW w:w="1701" w:type="dxa"/>
          </w:tcPr>
          <w:p w14:paraId="5B9EC344"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tarshlt</w:t>
            </w:r>
          </w:p>
        </w:tc>
      </w:tr>
      <w:tr w:rsidR="00244FB6" w:rsidRPr="00BD2C29" w14:paraId="093F975E" w14:textId="77777777" w:rsidTr="00A61EEF">
        <w:tc>
          <w:tcPr>
            <w:tcW w:w="1129" w:type="dxa"/>
          </w:tcPr>
          <w:p w14:paraId="02A58BA2" w14:textId="77777777" w:rsidR="00244FB6" w:rsidRPr="00BD2C29" w:rsidRDefault="00244FB6" w:rsidP="00A61EEF">
            <w:pPr>
              <w:ind w:firstLine="0"/>
              <w:jc w:val="left"/>
              <w:rPr>
                <w:rFonts w:cstheme="majorBidi"/>
                <w:sz w:val="20"/>
                <w:szCs w:val="20"/>
              </w:rPr>
            </w:pPr>
            <w:r w:rsidRPr="00BD2C29">
              <w:rPr>
                <w:rFonts w:cstheme="majorBidi"/>
                <w:sz w:val="20"/>
                <w:szCs w:val="20"/>
              </w:rPr>
              <w:t>1121</w:t>
            </w:r>
          </w:p>
        </w:tc>
        <w:tc>
          <w:tcPr>
            <w:tcW w:w="1276" w:type="dxa"/>
          </w:tcPr>
          <w:p w14:paraId="23EA8A1D" w14:textId="77777777" w:rsidR="00244FB6" w:rsidRPr="00BD2C29" w:rsidRDefault="00244FB6" w:rsidP="00A61EEF">
            <w:pPr>
              <w:ind w:firstLine="0"/>
              <w:jc w:val="left"/>
              <w:rPr>
                <w:rFonts w:cstheme="majorBidi"/>
                <w:sz w:val="20"/>
                <w:szCs w:val="20"/>
              </w:rPr>
            </w:pPr>
            <w:r w:rsidRPr="00BD2C29">
              <w:rPr>
                <w:rFonts w:cstheme="majorBidi"/>
                <w:sz w:val="20"/>
                <w:szCs w:val="20"/>
              </w:rPr>
              <w:t>sultan</w:t>
            </w:r>
          </w:p>
        </w:tc>
        <w:tc>
          <w:tcPr>
            <w:tcW w:w="2835" w:type="dxa"/>
          </w:tcPr>
          <w:p w14:paraId="77C14038" w14:textId="77777777" w:rsidR="00244FB6" w:rsidRPr="00BD2C29" w:rsidRDefault="00244FB6" w:rsidP="00A61EEF">
            <w:pPr>
              <w:ind w:firstLine="0"/>
              <w:jc w:val="left"/>
              <w:rPr>
                <w:rFonts w:cstheme="majorBidi"/>
                <w:sz w:val="20"/>
                <w:szCs w:val="20"/>
              </w:rPr>
            </w:pPr>
            <w:r>
              <w:rPr>
                <w:rFonts w:cstheme="majorBidi"/>
                <w:sz w:val="20"/>
                <w:szCs w:val="20"/>
              </w:rPr>
              <w:t>r</w:t>
            </w:r>
            <w:r w:rsidRPr="00BD2C29">
              <w:rPr>
                <w:rFonts w:cstheme="majorBidi"/>
                <w:sz w:val="20"/>
                <w:szCs w:val="20"/>
              </w:rPr>
              <w:t>ex</w:t>
            </w:r>
            <w:r>
              <w:rPr>
                <w:rFonts w:cstheme="majorBidi"/>
                <w:sz w:val="20"/>
                <w:szCs w:val="20"/>
              </w:rPr>
              <w:t xml:space="preserve"> (king)</w:t>
            </w:r>
          </w:p>
        </w:tc>
        <w:tc>
          <w:tcPr>
            <w:tcW w:w="1559" w:type="dxa"/>
            <w:tcBorders>
              <w:top w:val="single" w:sz="4" w:space="0" w:color="auto"/>
              <w:left w:val="single" w:sz="4" w:space="0" w:color="auto"/>
              <w:bottom w:val="single" w:sz="4" w:space="0" w:color="auto"/>
              <w:right w:val="single" w:sz="4" w:space="0" w:color="auto"/>
            </w:tcBorders>
          </w:tcPr>
          <w:p w14:paraId="4BC99257" w14:textId="1353F80C" w:rsidR="00244FB6" w:rsidRPr="006B00A2" w:rsidRDefault="00630391" w:rsidP="00A61EEF">
            <w:pPr>
              <w:ind w:firstLine="0"/>
              <w:jc w:val="left"/>
              <w:rPr>
                <w:rFonts w:cstheme="majorBidi"/>
                <w:sz w:val="20"/>
                <w:szCs w:val="20"/>
              </w:rPr>
            </w:pPr>
            <w:r w:rsidRPr="006B00A2">
              <w:rPr>
                <w:rFonts w:cstheme="majorBidi"/>
                <w:sz w:val="20"/>
                <w:szCs w:val="20"/>
              </w:rPr>
              <w:t>j</w:t>
            </w:r>
            <w:r w:rsidR="00244FB6" w:rsidRPr="006B00A2">
              <w:rPr>
                <w:rFonts w:cstheme="majorBidi"/>
                <w:sz w:val="20"/>
                <w:szCs w:val="20"/>
              </w:rPr>
              <w:t>adwala</w:t>
            </w:r>
            <w:r w:rsidRPr="006B00A2">
              <w:rPr>
                <w:rFonts w:cstheme="majorBidi"/>
                <w:sz w:val="20"/>
                <w:szCs w:val="20"/>
              </w:rPr>
              <w:t xml:space="preserve"> (</w:t>
            </w:r>
            <w:r w:rsidR="006B00A2" w:rsidRPr="006B00A2">
              <w:rPr>
                <w:rFonts w:cstheme="majorBidi"/>
                <w:sz w:val="20"/>
                <w:szCs w:val="20"/>
              </w:rPr>
              <w:t>thin bearded boy)</w:t>
            </w:r>
          </w:p>
        </w:tc>
        <w:tc>
          <w:tcPr>
            <w:tcW w:w="1701" w:type="dxa"/>
          </w:tcPr>
          <w:p w14:paraId="0EFFDFF6"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kawtlt</w:t>
            </w:r>
          </w:p>
        </w:tc>
      </w:tr>
      <w:tr w:rsidR="00244FB6" w:rsidRPr="00BD2C29" w14:paraId="06A7B584" w14:textId="77777777" w:rsidTr="00A61EEF">
        <w:tc>
          <w:tcPr>
            <w:tcW w:w="1129" w:type="dxa"/>
          </w:tcPr>
          <w:p w14:paraId="679EB10F" w14:textId="77777777" w:rsidR="00244FB6" w:rsidRPr="00BD2C29" w:rsidRDefault="00244FB6" w:rsidP="00A61EEF">
            <w:pPr>
              <w:ind w:firstLine="0"/>
              <w:jc w:val="left"/>
              <w:rPr>
                <w:rFonts w:cstheme="majorBidi"/>
                <w:sz w:val="20"/>
                <w:szCs w:val="20"/>
              </w:rPr>
            </w:pPr>
            <w:r w:rsidRPr="00BD2C29">
              <w:rPr>
                <w:rFonts w:cstheme="majorBidi"/>
                <w:sz w:val="20"/>
                <w:szCs w:val="20"/>
              </w:rPr>
              <w:t>1222</w:t>
            </w:r>
          </w:p>
        </w:tc>
        <w:tc>
          <w:tcPr>
            <w:tcW w:w="1276" w:type="dxa"/>
          </w:tcPr>
          <w:p w14:paraId="4DFB8A54" w14:textId="77777777" w:rsidR="00244FB6" w:rsidRPr="00BD2C29" w:rsidRDefault="00244FB6" w:rsidP="00A61EEF">
            <w:pPr>
              <w:ind w:firstLine="0"/>
              <w:jc w:val="left"/>
              <w:rPr>
                <w:rFonts w:cstheme="majorBidi"/>
                <w:sz w:val="20"/>
                <w:szCs w:val="20"/>
              </w:rPr>
            </w:pPr>
            <w:r w:rsidRPr="00BD2C29">
              <w:rPr>
                <w:rFonts w:cstheme="majorBidi"/>
                <w:sz w:val="20"/>
                <w:szCs w:val="20"/>
              </w:rPr>
              <w:t>alagen</w:t>
            </w:r>
          </w:p>
        </w:tc>
        <w:tc>
          <w:tcPr>
            <w:tcW w:w="2835" w:type="dxa"/>
          </w:tcPr>
          <w:p w14:paraId="45F69859" w14:textId="77777777" w:rsidR="00244FB6" w:rsidRPr="00BD2C29" w:rsidRDefault="00244FB6" w:rsidP="00A61EEF">
            <w:pPr>
              <w:ind w:firstLine="0"/>
              <w:jc w:val="left"/>
              <w:rPr>
                <w:rFonts w:cstheme="majorBidi"/>
                <w:sz w:val="20"/>
                <w:szCs w:val="20"/>
              </w:rPr>
            </w:pPr>
            <w:r w:rsidRPr="00BD2C29">
              <w:rPr>
                <w:rFonts w:cstheme="majorBidi"/>
                <w:sz w:val="20"/>
                <w:szCs w:val="20"/>
              </w:rPr>
              <w:t>grandem habens barbam</w:t>
            </w:r>
          </w:p>
          <w:p w14:paraId="203F7463" w14:textId="77777777" w:rsidR="00244FB6" w:rsidRPr="00BD2C29" w:rsidRDefault="00244FB6" w:rsidP="00A61EEF">
            <w:pPr>
              <w:ind w:firstLine="0"/>
              <w:jc w:val="left"/>
              <w:rPr>
                <w:rFonts w:cstheme="majorBidi"/>
                <w:sz w:val="20"/>
                <w:szCs w:val="20"/>
              </w:rPr>
            </w:pPr>
            <w:r>
              <w:rPr>
                <w:rFonts w:cstheme="majorBidi"/>
                <w:sz w:val="20"/>
                <w:szCs w:val="20"/>
              </w:rPr>
              <w:t>(having a great beard)</w:t>
            </w:r>
          </w:p>
        </w:tc>
        <w:tc>
          <w:tcPr>
            <w:tcW w:w="1559" w:type="dxa"/>
            <w:tcBorders>
              <w:top w:val="single" w:sz="4" w:space="0" w:color="auto"/>
              <w:left w:val="single" w:sz="4" w:space="0" w:color="auto"/>
              <w:bottom w:val="single" w:sz="4" w:space="0" w:color="auto"/>
              <w:right w:val="single" w:sz="4" w:space="0" w:color="auto"/>
            </w:tcBorders>
          </w:tcPr>
          <w:p w14:paraId="3D60BC94" w14:textId="75502EE0" w:rsidR="00244FB6" w:rsidRPr="006B00A2" w:rsidRDefault="00244FB6" w:rsidP="00A61EEF">
            <w:pPr>
              <w:ind w:firstLine="0"/>
              <w:jc w:val="left"/>
              <w:rPr>
                <w:rFonts w:cstheme="majorBidi"/>
                <w:sz w:val="20"/>
                <w:szCs w:val="20"/>
              </w:rPr>
            </w:pPr>
            <w:r w:rsidRPr="006B00A2">
              <w:rPr>
                <w:rFonts w:cstheme="majorBidi"/>
                <w:sz w:val="20"/>
                <w:szCs w:val="20"/>
              </w:rPr>
              <w:t>aḥyān</w:t>
            </w:r>
            <w:r w:rsidR="000D192A" w:rsidRPr="006B00A2">
              <w:rPr>
                <w:rFonts w:cstheme="majorBidi"/>
                <w:sz w:val="20"/>
                <w:szCs w:val="20"/>
              </w:rPr>
              <w:t xml:space="preserve"> (propitious times)</w:t>
            </w:r>
          </w:p>
        </w:tc>
        <w:tc>
          <w:tcPr>
            <w:tcW w:w="1701" w:type="dxa"/>
          </w:tcPr>
          <w:p w14:paraId="432F3F99"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al-ḥayān/al-liḥyān</w:t>
            </w:r>
          </w:p>
        </w:tc>
      </w:tr>
      <w:tr w:rsidR="00244FB6" w:rsidRPr="00BD2C29" w14:paraId="10FC2C21" w14:textId="77777777" w:rsidTr="00A61EEF">
        <w:tc>
          <w:tcPr>
            <w:tcW w:w="1129" w:type="dxa"/>
          </w:tcPr>
          <w:p w14:paraId="6AEB2FC4" w14:textId="77777777" w:rsidR="00244FB6" w:rsidRPr="00BD2C29" w:rsidRDefault="00244FB6" w:rsidP="00A61EEF">
            <w:pPr>
              <w:ind w:firstLine="0"/>
              <w:jc w:val="left"/>
              <w:rPr>
                <w:rFonts w:cstheme="majorBidi"/>
                <w:sz w:val="20"/>
                <w:szCs w:val="20"/>
              </w:rPr>
            </w:pPr>
            <w:r w:rsidRPr="00BD2C29">
              <w:rPr>
                <w:rFonts w:cstheme="majorBidi"/>
                <w:sz w:val="20"/>
                <w:szCs w:val="20"/>
              </w:rPr>
              <w:t>1211</w:t>
            </w:r>
          </w:p>
        </w:tc>
        <w:tc>
          <w:tcPr>
            <w:tcW w:w="1276" w:type="dxa"/>
          </w:tcPr>
          <w:p w14:paraId="5B944F7D" w14:textId="77777777" w:rsidR="00244FB6" w:rsidRPr="00BD2C29" w:rsidRDefault="00244FB6" w:rsidP="00A61EEF">
            <w:pPr>
              <w:ind w:firstLine="0"/>
              <w:jc w:val="left"/>
              <w:rPr>
                <w:rFonts w:cstheme="majorBidi"/>
                <w:sz w:val="20"/>
                <w:szCs w:val="20"/>
              </w:rPr>
            </w:pPr>
            <w:r w:rsidRPr="00BD2C29">
              <w:rPr>
                <w:rFonts w:cstheme="majorBidi"/>
                <w:sz w:val="20"/>
                <w:szCs w:val="20"/>
              </w:rPr>
              <w:t>alastar</w:t>
            </w:r>
          </w:p>
        </w:tc>
        <w:tc>
          <w:tcPr>
            <w:tcW w:w="2835" w:type="dxa"/>
          </w:tcPr>
          <w:p w14:paraId="63BA4DCB" w14:textId="77777777" w:rsidR="00244FB6" w:rsidRDefault="00244FB6" w:rsidP="00A61EEF">
            <w:pPr>
              <w:ind w:firstLine="0"/>
              <w:jc w:val="left"/>
              <w:rPr>
                <w:rFonts w:cstheme="majorBidi"/>
                <w:sz w:val="20"/>
                <w:szCs w:val="20"/>
              </w:rPr>
            </w:pPr>
            <w:r w:rsidRPr="00BD2C29">
              <w:rPr>
                <w:rFonts w:cstheme="majorBidi"/>
                <w:sz w:val="20"/>
                <w:szCs w:val="20"/>
              </w:rPr>
              <w:t>viridem habens colorem</w:t>
            </w:r>
          </w:p>
          <w:p w14:paraId="7D474759" w14:textId="77777777" w:rsidR="00244FB6" w:rsidRPr="00BD2C29" w:rsidRDefault="00244FB6" w:rsidP="00A61EEF">
            <w:pPr>
              <w:ind w:firstLine="0"/>
              <w:jc w:val="left"/>
              <w:rPr>
                <w:rFonts w:cstheme="majorBidi"/>
                <w:sz w:val="20"/>
                <w:szCs w:val="20"/>
              </w:rPr>
            </w:pPr>
            <w:r>
              <w:rPr>
                <w:rFonts w:cstheme="majorBidi"/>
                <w:sz w:val="20"/>
                <w:szCs w:val="20"/>
              </w:rPr>
              <w:t>(of green colour)</w:t>
            </w:r>
          </w:p>
        </w:tc>
        <w:tc>
          <w:tcPr>
            <w:tcW w:w="1559" w:type="dxa"/>
            <w:tcBorders>
              <w:top w:val="single" w:sz="4" w:space="0" w:color="auto"/>
              <w:left w:val="single" w:sz="4" w:space="0" w:color="auto"/>
              <w:bottom w:val="single" w:sz="4" w:space="0" w:color="auto"/>
              <w:right w:val="single" w:sz="4" w:space="0" w:color="auto"/>
            </w:tcBorders>
          </w:tcPr>
          <w:p w14:paraId="32892309" w14:textId="259A3E25" w:rsidR="00244FB6" w:rsidRPr="006B00A2" w:rsidRDefault="00244FB6" w:rsidP="00A61EEF">
            <w:pPr>
              <w:ind w:firstLine="0"/>
              <w:rPr>
                <w:rFonts w:cstheme="majorBidi"/>
                <w:sz w:val="20"/>
                <w:szCs w:val="20"/>
              </w:rPr>
            </w:pPr>
            <w:r w:rsidRPr="006B00A2">
              <w:rPr>
                <w:rFonts w:cstheme="majorBidi"/>
                <w:sz w:val="20"/>
                <w:szCs w:val="20"/>
              </w:rPr>
              <w:t>naqī al-khadd</w:t>
            </w:r>
            <w:r w:rsidR="006F49FD" w:rsidRPr="006B00A2">
              <w:rPr>
                <w:rFonts w:cstheme="majorBidi"/>
                <w:sz w:val="20"/>
                <w:szCs w:val="20"/>
              </w:rPr>
              <w:t xml:space="preserve"> </w:t>
            </w:r>
            <w:r w:rsidR="00630391" w:rsidRPr="006B00A2">
              <w:rPr>
                <w:rFonts w:cstheme="majorBidi"/>
                <w:sz w:val="20"/>
                <w:szCs w:val="20"/>
              </w:rPr>
              <w:t>(pure-cheeked)</w:t>
            </w:r>
          </w:p>
        </w:tc>
        <w:tc>
          <w:tcPr>
            <w:tcW w:w="1701" w:type="dxa"/>
          </w:tcPr>
          <w:p w14:paraId="5211D3EE"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ʾwzagh/ʾwzar</w:t>
            </w:r>
          </w:p>
        </w:tc>
      </w:tr>
      <w:tr w:rsidR="00244FB6" w:rsidRPr="00BD2C29" w14:paraId="5C871476" w14:textId="77777777" w:rsidTr="00A61EEF">
        <w:tc>
          <w:tcPr>
            <w:tcW w:w="1129" w:type="dxa"/>
          </w:tcPr>
          <w:p w14:paraId="35359939" w14:textId="77777777" w:rsidR="00244FB6" w:rsidRPr="00BD2C29" w:rsidRDefault="00244FB6" w:rsidP="00A61EEF">
            <w:pPr>
              <w:ind w:firstLine="0"/>
              <w:jc w:val="left"/>
              <w:rPr>
                <w:rFonts w:cstheme="majorBidi"/>
                <w:sz w:val="20"/>
                <w:szCs w:val="20"/>
              </w:rPr>
            </w:pPr>
            <w:r w:rsidRPr="00BD2C29">
              <w:rPr>
                <w:rFonts w:cstheme="majorBidi"/>
                <w:sz w:val="20"/>
                <w:szCs w:val="20"/>
              </w:rPr>
              <w:t>1122</w:t>
            </w:r>
          </w:p>
        </w:tc>
        <w:tc>
          <w:tcPr>
            <w:tcW w:w="1276" w:type="dxa"/>
          </w:tcPr>
          <w:p w14:paraId="6443F220" w14:textId="77777777" w:rsidR="00244FB6" w:rsidRPr="00BD2C29" w:rsidRDefault="00244FB6" w:rsidP="00A61EEF">
            <w:pPr>
              <w:ind w:firstLine="0"/>
              <w:jc w:val="left"/>
              <w:rPr>
                <w:rFonts w:cstheme="majorBidi"/>
                <w:sz w:val="20"/>
                <w:szCs w:val="20"/>
              </w:rPr>
            </w:pPr>
            <w:r w:rsidRPr="00BD2C29">
              <w:rPr>
                <w:rFonts w:cstheme="majorBidi"/>
                <w:sz w:val="20"/>
                <w:szCs w:val="20"/>
              </w:rPr>
              <w:t>almantitus</w:t>
            </w:r>
          </w:p>
        </w:tc>
        <w:tc>
          <w:tcPr>
            <w:tcW w:w="2835" w:type="dxa"/>
          </w:tcPr>
          <w:p w14:paraId="1DACAE56" w14:textId="77777777" w:rsidR="00244FB6" w:rsidRPr="00BD2C29" w:rsidRDefault="00244FB6" w:rsidP="00A61EEF">
            <w:pPr>
              <w:ind w:firstLine="0"/>
              <w:jc w:val="left"/>
              <w:rPr>
                <w:rFonts w:cstheme="majorBidi"/>
                <w:sz w:val="20"/>
                <w:szCs w:val="20"/>
              </w:rPr>
            </w:pPr>
            <w:r>
              <w:rPr>
                <w:rFonts w:cstheme="majorBidi"/>
                <w:sz w:val="20"/>
                <w:szCs w:val="20"/>
              </w:rPr>
              <w:t>c</w:t>
            </w:r>
            <w:r w:rsidRPr="00BD2C29">
              <w:rPr>
                <w:rFonts w:cstheme="majorBidi"/>
                <w:sz w:val="20"/>
                <w:szCs w:val="20"/>
              </w:rPr>
              <w:t>onversa</w:t>
            </w:r>
            <w:r>
              <w:rPr>
                <w:rFonts w:cstheme="majorBidi"/>
                <w:sz w:val="20"/>
                <w:szCs w:val="20"/>
              </w:rPr>
              <w:t xml:space="preserve"> (inverted)</w:t>
            </w:r>
          </w:p>
        </w:tc>
        <w:tc>
          <w:tcPr>
            <w:tcW w:w="1559" w:type="dxa"/>
            <w:tcBorders>
              <w:top w:val="single" w:sz="4" w:space="0" w:color="auto"/>
              <w:left w:val="single" w:sz="4" w:space="0" w:color="auto"/>
              <w:bottom w:val="single" w:sz="4" w:space="0" w:color="auto"/>
              <w:right w:val="single" w:sz="4" w:space="0" w:color="auto"/>
            </w:tcBorders>
          </w:tcPr>
          <w:p w14:paraId="04A8E4A0" w14:textId="6E14CB53" w:rsidR="00244FB6" w:rsidRPr="006B00A2" w:rsidRDefault="00244FB6" w:rsidP="00A61EEF">
            <w:pPr>
              <w:ind w:firstLine="0"/>
              <w:jc w:val="left"/>
              <w:rPr>
                <w:rFonts w:cstheme="majorBidi"/>
                <w:sz w:val="20"/>
                <w:szCs w:val="20"/>
              </w:rPr>
            </w:pPr>
            <w:r w:rsidRPr="006B00A2">
              <w:rPr>
                <w:rFonts w:cstheme="majorBidi"/>
                <w:sz w:val="20"/>
                <w:szCs w:val="20"/>
              </w:rPr>
              <w:t>nuṣra khārija</w:t>
            </w:r>
            <w:r w:rsidR="00A76528" w:rsidRPr="006B00A2">
              <w:rPr>
                <w:rFonts w:cstheme="majorBidi"/>
                <w:sz w:val="20"/>
                <w:szCs w:val="20"/>
              </w:rPr>
              <w:t xml:space="preserve"> (external help)</w:t>
            </w:r>
          </w:p>
        </w:tc>
        <w:tc>
          <w:tcPr>
            <w:tcW w:w="1701" w:type="dxa"/>
          </w:tcPr>
          <w:p w14:paraId="5E577742" w14:textId="77777777" w:rsidR="00244FB6" w:rsidRPr="00BD2C29" w:rsidRDefault="00244FB6" w:rsidP="00A61EEF">
            <w:pPr>
              <w:ind w:firstLine="0"/>
              <w:jc w:val="left"/>
              <w:rPr>
                <w:rFonts w:cstheme="majorBidi"/>
                <w:sz w:val="20"/>
                <w:szCs w:val="20"/>
              </w:rPr>
            </w:pPr>
            <w:r w:rsidRPr="00BD2C29">
              <w:rPr>
                <w:rFonts w:cstheme="majorBidi"/>
                <w:sz w:val="20"/>
                <w:szCs w:val="20"/>
              </w:rPr>
              <w:t>jlyd/ʾijlīd</w:t>
            </w:r>
          </w:p>
        </w:tc>
      </w:tr>
      <w:tr w:rsidR="00244FB6" w:rsidRPr="00BD2C29" w14:paraId="18A91DA7" w14:textId="77777777" w:rsidTr="00A61EEF">
        <w:tc>
          <w:tcPr>
            <w:tcW w:w="1129" w:type="dxa"/>
          </w:tcPr>
          <w:p w14:paraId="4528EBE0" w14:textId="77777777" w:rsidR="00244FB6" w:rsidRPr="00BD2C29" w:rsidRDefault="00244FB6" w:rsidP="00A61EEF">
            <w:pPr>
              <w:ind w:firstLine="0"/>
              <w:jc w:val="left"/>
              <w:rPr>
                <w:rFonts w:cstheme="majorBidi"/>
                <w:sz w:val="20"/>
                <w:szCs w:val="20"/>
              </w:rPr>
            </w:pPr>
            <w:r w:rsidRPr="00BD2C29">
              <w:rPr>
                <w:rFonts w:cstheme="majorBidi"/>
                <w:sz w:val="20"/>
                <w:szCs w:val="20"/>
              </w:rPr>
              <w:t>1112</w:t>
            </w:r>
          </w:p>
        </w:tc>
        <w:tc>
          <w:tcPr>
            <w:tcW w:w="1276" w:type="dxa"/>
          </w:tcPr>
          <w:p w14:paraId="4DEDD7A0" w14:textId="77777777" w:rsidR="00244FB6" w:rsidRPr="00BD2C29" w:rsidRDefault="00244FB6" w:rsidP="00A61EEF">
            <w:pPr>
              <w:ind w:firstLine="0"/>
              <w:jc w:val="left"/>
              <w:rPr>
                <w:rFonts w:cstheme="majorBidi"/>
                <w:sz w:val="20"/>
                <w:szCs w:val="20"/>
              </w:rPr>
            </w:pPr>
            <w:r w:rsidRPr="00BD2C29">
              <w:rPr>
                <w:rFonts w:cstheme="majorBidi"/>
                <w:sz w:val="20"/>
                <w:szCs w:val="20"/>
              </w:rPr>
              <w:t>tanzel</w:t>
            </w:r>
          </w:p>
        </w:tc>
        <w:tc>
          <w:tcPr>
            <w:tcW w:w="2835" w:type="dxa"/>
          </w:tcPr>
          <w:p w14:paraId="3875FA81" w14:textId="77777777" w:rsidR="00244FB6" w:rsidRPr="00BD2C29" w:rsidRDefault="00244FB6" w:rsidP="00A61EEF">
            <w:pPr>
              <w:ind w:firstLine="0"/>
              <w:jc w:val="left"/>
              <w:rPr>
                <w:rFonts w:cstheme="majorBidi"/>
                <w:sz w:val="20"/>
                <w:szCs w:val="20"/>
              </w:rPr>
            </w:pPr>
            <w:r>
              <w:rPr>
                <w:rFonts w:cstheme="majorBidi"/>
                <w:sz w:val="20"/>
                <w:szCs w:val="20"/>
              </w:rPr>
              <w:t>c</w:t>
            </w:r>
            <w:r w:rsidRPr="00BD2C29">
              <w:rPr>
                <w:rFonts w:cstheme="majorBidi"/>
                <w:sz w:val="20"/>
                <w:szCs w:val="20"/>
              </w:rPr>
              <w:t>onversa</w:t>
            </w:r>
            <w:r>
              <w:rPr>
                <w:rFonts w:cstheme="majorBidi"/>
                <w:sz w:val="20"/>
                <w:szCs w:val="20"/>
              </w:rPr>
              <w:t xml:space="preserve"> (inverted)</w:t>
            </w:r>
          </w:p>
        </w:tc>
        <w:tc>
          <w:tcPr>
            <w:tcW w:w="1559" w:type="dxa"/>
            <w:tcBorders>
              <w:top w:val="single" w:sz="4" w:space="0" w:color="auto"/>
              <w:left w:val="single" w:sz="4" w:space="0" w:color="auto"/>
              <w:bottom w:val="single" w:sz="4" w:space="0" w:color="auto"/>
              <w:right w:val="single" w:sz="4" w:space="0" w:color="auto"/>
            </w:tcBorders>
          </w:tcPr>
          <w:p w14:paraId="2117F77D" w14:textId="18CFE7E4" w:rsidR="00244FB6" w:rsidRPr="006B00A2" w:rsidRDefault="00244FB6" w:rsidP="00A61EEF">
            <w:pPr>
              <w:ind w:firstLine="0"/>
              <w:jc w:val="left"/>
              <w:rPr>
                <w:rFonts w:cstheme="majorBidi"/>
                <w:sz w:val="20"/>
                <w:szCs w:val="20"/>
              </w:rPr>
            </w:pPr>
            <w:r w:rsidRPr="006B00A2">
              <w:rPr>
                <w:rFonts w:cstheme="majorBidi"/>
                <w:sz w:val="20"/>
                <w:szCs w:val="20"/>
              </w:rPr>
              <w:t>ʿataba khārija</w:t>
            </w:r>
            <w:r w:rsidR="00A76528" w:rsidRPr="006B00A2">
              <w:rPr>
                <w:rFonts w:cstheme="majorBidi"/>
                <w:sz w:val="20"/>
                <w:szCs w:val="20"/>
              </w:rPr>
              <w:t xml:space="preserve"> (outer threshold)</w:t>
            </w:r>
          </w:p>
        </w:tc>
        <w:tc>
          <w:tcPr>
            <w:tcW w:w="1701" w:type="dxa"/>
          </w:tcPr>
          <w:p w14:paraId="2F7E3AF9" w14:textId="77777777" w:rsidR="00244FB6" w:rsidRPr="00BD2C29" w:rsidRDefault="00244FB6" w:rsidP="00A61EEF">
            <w:pPr>
              <w:ind w:firstLine="0"/>
              <w:jc w:val="left"/>
              <w:rPr>
                <w:rFonts w:cstheme="majorBidi"/>
                <w:sz w:val="20"/>
                <w:szCs w:val="20"/>
              </w:rPr>
            </w:pPr>
            <w:r w:rsidRPr="00BD2C29">
              <w:rPr>
                <w:rFonts w:cstheme="majorBidi"/>
                <w:sz w:val="20"/>
                <w:szCs w:val="20"/>
              </w:rPr>
              <w:t>tarslt</w:t>
            </w:r>
          </w:p>
        </w:tc>
      </w:tr>
      <w:tr w:rsidR="00244FB6" w:rsidRPr="00BD2C29" w14:paraId="42F31663" w14:textId="77777777" w:rsidTr="00A61EEF">
        <w:tc>
          <w:tcPr>
            <w:tcW w:w="1129" w:type="dxa"/>
          </w:tcPr>
          <w:p w14:paraId="2AE3562D" w14:textId="77777777" w:rsidR="00244FB6" w:rsidRPr="00BD2C29" w:rsidRDefault="00244FB6" w:rsidP="00A61EEF">
            <w:pPr>
              <w:ind w:firstLine="0"/>
              <w:jc w:val="left"/>
              <w:rPr>
                <w:rFonts w:cstheme="majorBidi"/>
                <w:sz w:val="20"/>
                <w:szCs w:val="20"/>
              </w:rPr>
            </w:pPr>
            <w:r w:rsidRPr="00BD2C29">
              <w:rPr>
                <w:rFonts w:cstheme="majorBidi"/>
                <w:sz w:val="20"/>
                <w:szCs w:val="20"/>
              </w:rPr>
              <w:t>1221</w:t>
            </w:r>
          </w:p>
        </w:tc>
        <w:tc>
          <w:tcPr>
            <w:tcW w:w="1276" w:type="dxa"/>
          </w:tcPr>
          <w:p w14:paraId="6E6DD343" w14:textId="77777777" w:rsidR="00244FB6" w:rsidRPr="00BD2C29" w:rsidRDefault="00244FB6" w:rsidP="00A61EEF">
            <w:pPr>
              <w:ind w:firstLine="0"/>
              <w:jc w:val="left"/>
              <w:rPr>
                <w:rFonts w:cstheme="majorBidi"/>
                <w:sz w:val="20"/>
                <w:szCs w:val="20"/>
              </w:rPr>
            </w:pPr>
            <w:r w:rsidRPr="00BD2C29">
              <w:rPr>
                <w:rFonts w:cstheme="majorBidi"/>
                <w:sz w:val="20"/>
                <w:szCs w:val="20"/>
              </w:rPr>
              <w:t>ha</w:t>
            </w:r>
            <w:r>
              <w:rPr>
                <w:rFonts w:cstheme="majorBidi"/>
                <w:sz w:val="20"/>
                <w:szCs w:val="20"/>
              </w:rPr>
              <w:t>faram</w:t>
            </w:r>
          </w:p>
        </w:tc>
        <w:tc>
          <w:tcPr>
            <w:tcW w:w="2835" w:type="dxa"/>
          </w:tcPr>
          <w:p w14:paraId="064EA628" w14:textId="77777777" w:rsidR="00244FB6" w:rsidRPr="00BD2C29" w:rsidRDefault="00244FB6" w:rsidP="00A61EEF">
            <w:pPr>
              <w:ind w:firstLine="0"/>
              <w:jc w:val="left"/>
              <w:rPr>
                <w:rFonts w:cstheme="majorBidi"/>
                <w:sz w:val="20"/>
                <w:szCs w:val="20"/>
              </w:rPr>
            </w:pPr>
            <w:r w:rsidRPr="00BD2C29">
              <w:rPr>
                <w:rFonts w:cstheme="majorBidi"/>
                <w:sz w:val="20"/>
                <w:szCs w:val="20"/>
              </w:rPr>
              <w:t>testa capitis</w:t>
            </w:r>
            <w:r>
              <w:rPr>
                <w:rFonts w:cstheme="majorBidi"/>
                <w:sz w:val="20"/>
                <w:szCs w:val="20"/>
              </w:rPr>
              <w:t xml:space="preserve"> (the top of the head)</w:t>
            </w:r>
          </w:p>
        </w:tc>
        <w:tc>
          <w:tcPr>
            <w:tcW w:w="1559" w:type="dxa"/>
            <w:tcBorders>
              <w:top w:val="single" w:sz="4" w:space="0" w:color="auto"/>
              <w:left w:val="single" w:sz="4" w:space="0" w:color="auto"/>
              <w:bottom w:val="single" w:sz="4" w:space="0" w:color="auto"/>
              <w:right w:val="single" w:sz="4" w:space="0" w:color="auto"/>
            </w:tcBorders>
          </w:tcPr>
          <w:p w14:paraId="124906E7" w14:textId="59FD2A3B" w:rsidR="00244FB6" w:rsidRPr="006B00A2" w:rsidRDefault="00244FB6" w:rsidP="00A61EEF">
            <w:pPr>
              <w:ind w:firstLine="0"/>
              <w:jc w:val="left"/>
              <w:rPr>
                <w:rFonts w:cstheme="majorBidi"/>
                <w:sz w:val="20"/>
                <w:szCs w:val="20"/>
              </w:rPr>
            </w:pPr>
            <w:r w:rsidRPr="006B00A2">
              <w:rPr>
                <w:rFonts w:cstheme="majorBidi"/>
                <w:sz w:val="20"/>
                <w:szCs w:val="20"/>
              </w:rPr>
              <w:t>ʿuqla</w:t>
            </w:r>
            <w:r w:rsidR="00A76528" w:rsidRPr="006B00A2">
              <w:rPr>
                <w:rFonts w:cstheme="majorBidi"/>
                <w:sz w:val="20"/>
                <w:szCs w:val="20"/>
              </w:rPr>
              <w:t xml:space="preserve"> (binding)</w:t>
            </w:r>
          </w:p>
        </w:tc>
        <w:tc>
          <w:tcPr>
            <w:tcW w:w="1701" w:type="dxa"/>
          </w:tcPr>
          <w:p w14:paraId="169A9281"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tamgakt/ tamkkt</w:t>
            </w:r>
          </w:p>
        </w:tc>
      </w:tr>
      <w:tr w:rsidR="00244FB6" w:rsidRPr="00BD2C29" w14:paraId="306EE9BC" w14:textId="77777777" w:rsidTr="00A61EEF">
        <w:tc>
          <w:tcPr>
            <w:tcW w:w="1129" w:type="dxa"/>
          </w:tcPr>
          <w:p w14:paraId="02AE9E4C" w14:textId="77777777" w:rsidR="00244FB6" w:rsidRPr="00BD2C29" w:rsidRDefault="00244FB6" w:rsidP="00A61EEF">
            <w:pPr>
              <w:ind w:firstLine="0"/>
              <w:jc w:val="left"/>
              <w:rPr>
                <w:rFonts w:cstheme="majorBidi"/>
                <w:sz w:val="20"/>
                <w:szCs w:val="20"/>
              </w:rPr>
            </w:pPr>
            <w:r w:rsidRPr="00BD2C29">
              <w:rPr>
                <w:rFonts w:cstheme="majorBidi"/>
                <w:sz w:val="20"/>
                <w:szCs w:val="20"/>
              </w:rPr>
              <w:lastRenderedPageBreak/>
              <w:t>2211</w:t>
            </w:r>
          </w:p>
        </w:tc>
        <w:tc>
          <w:tcPr>
            <w:tcW w:w="1276" w:type="dxa"/>
          </w:tcPr>
          <w:p w14:paraId="7FFB8446" w14:textId="77777777" w:rsidR="00244FB6" w:rsidRPr="00BD2C29" w:rsidRDefault="00244FB6" w:rsidP="00A61EEF">
            <w:pPr>
              <w:ind w:firstLine="0"/>
              <w:jc w:val="left"/>
              <w:rPr>
                <w:rFonts w:cstheme="majorBidi"/>
                <w:sz w:val="20"/>
                <w:szCs w:val="20"/>
              </w:rPr>
            </w:pPr>
            <w:r w:rsidRPr="00BD2C29">
              <w:rPr>
                <w:rFonts w:cstheme="majorBidi"/>
                <w:sz w:val="20"/>
                <w:szCs w:val="20"/>
              </w:rPr>
              <w:t>mustanar</w:t>
            </w:r>
          </w:p>
        </w:tc>
        <w:tc>
          <w:tcPr>
            <w:tcW w:w="2835" w:type="dxa"/>
          </w:tcPr>
          <w:p w14:paraId="6F0E7A40" w14:textId="77777777" w:rsidR="00244FB6" w:rsidRDefault="00244FB6" w:rsidP="00A61EEF">
            <w:pPr>
              <w:ind w:firstLine="0"/>
              <w:jc w:val="left"/>
              <w:rPr>
                <w:rFonts w:cstheme="majorBidi"/>
                <w:sz w:val="20"/>
                <w:szCs w:val="20"/>
              </w:rPr>
            </w:pPr>
            <w:r w:rsidRPr="00BD2C29">
              <w:rPr>
                <w:rFonts w:cstheme="majorBidi"/>
                <w:sz w:val="20"/>
                <w:szCs w:val="20"/>
              </w:rPr>
              <w:t>veri (?) boni et quietis</w:t>
            </w:r>
          </w:p>
          <w:p w14:paraId="1974CDBB" w14:textId="77777777" w:rsidR="00244FB6" w:rsidRPr="00BD2C29" w:rsidRDefault="00244FB6" w:rsidP="00A61EEF">
            <w:pPr>
              <w:ind w:firstLine="0"/>
              <w:jc w:val="left"/>
              <w:rPr>
                <w:rFonts w:cstheme="majorBidi"/>
                <w:sz w:val="20"/>
                <w:szCs w:val="20"/>
              </w:rPr>
            </w:pPr>
            <w:r>
              <w:rPr>
                <w:rFonts w:cstheme="majorBidi"/>
                <w:sz w:val="20"/>
                <w:szCs w:val="20"/>
              </w:rPr>
              <w:t>(good and quiet)</w:t>
            </w:r>
          </w:p>
        </w:tc>
        <w:tc>
          <w:tcPr>
            <w:tcW w:w="1559" w:type="dxa"/>
            <w:tcBorders>
              <w:top w:val="single" w:sz="4" w:space="0" w:color="auto"/>
              <w:left w:val="single" w:sz="4" w:space="0" w:color="auto"/>
              <w:bottom w:val="single" w:sz="4" w:space="0" w:color="auto"/>
              <w:right w:val="single" w:sz="4" w:space="0" w:color="auto"/>
            </w:tcBorders>
          </w:tcPr>
          <w:p w14:paraId="310548BD" w14:textId="042D0787" w:rsidR="00244FB6" w:rsidRPr="006B00A2" w:rsidRDefault="00244FB6" w:rsidP="00A61EEF">
            <w:pPr>
              <w:ind w:firstLine="0"/>
              <w:jc w:val="left"/>
              <w:rPr>
                <w:rFonts w:cstheme="majorBidi"/>
                <w:sz w:val="20"/>
                <w:szCs w:val="20"/>
              </w:rPr>
            </w:pPr>
            <w:r w:rsidRPr="006B00A2">
              <w:rPr>
                <w:rFonts w:cstheme="majorBidi"/>
                <w:sz w:val="20"/>
                <w:szCs w:val="20"/>
              </w:rPr>
              <w:t>naṣra dākhila</w:t>
            </w:r>
            <w:r w:rsidR="000D192A" w:rsidRPr="006B00A2">
              <w:rPr>
                <w:rFonts w:cstheme="majorBidi"/>
                <w:sz w:val="20"/>
                <w:szCs w:val="20"/>
              </w:rPr>
              <w:t xml:space="preserve"> (internal help)</w:t>
            </w:r>
          </w:p>
        </w:tc>
        <w:tc>
          <w:tcPr>
            <w:tcW w:w="1701" w:type="dxa"/>
          </w:tcPr>
          <w:p w14:paraId="32C45147" w14:textId="77777777" w:rsidR="00244FB6" w:rsidRPr="00BD2C29" w:rsidRDefault="00244FB6" w:rsidP="00A61EEF">
            <w:pPr>
              <w:ind w:firstLine="0"/>
              <w:jc w:val="left"/>
              <w:rPr>
                <w:rFonts w:cstheme="majorBidi"/>
                <w:sz w:val="20"/>
                <w:szCs w:val="20"/>
              </w:rPr>
            </w:pPr>
            <w:r w:rsidRPr="00BD2C29">
              <w:rPr>
                <w:rFonts w:cstheme="majorBidi"/>
                <w:sz w:val="20"/>
                <w:szCs w:val="20"/>
              </w:rPr>
              <w:t>sḥlan mylan/ shkylan</w:t>
            </w:r>
          </w:p>
        </w:tc>
      </w:tr>
      <w:tr w:rsidR="00244FB6" w:rsidRPr="00BD2C29" w14:paraId="4BB54F9E" w14:textId="77777777" w:rsidTr="00A61EEF">
        <w:tc>
          <w:tcPr>
            <w:tcW w:w="1129" w:type="dxa"/>
          </w:tcPr>
          <w:p w14:paraId="2A099C14" w14:textId="77777777" w:rsidR="00244FB6" w:rsidRPr="00BD2C29" w:rsidRDefault="00244FB6" w:rsidP="00A61EEF">
            <w:pPr>
              <w:ind w:firstLine="0"/>
              <w:jc w:val="left"/>
              <w:rPr>
                <w:rFonts w:cstheme="majorBidi"/>
                <w:sz w:val="20"/>
                <w:szCs w:val="20"/>
              </w:rPr>
            </w:pPr>
            <w:r w:rsidRPr="00BD2C29">
              <w:rPr>
                <w:rFonts w:cstheme="majorBidi"/>
                <w:sz w:val="20"/>
                <w:szCs w:val="20"/>
              </w:rPr>
              <w:t>2112</w:t>
            </w:r>
          </w:p>
        </w:tc>
        <w:tc>
          <w:tcPr>
            <w:tcW w:w="1276" w:type="dxa"/>
          </w:tcPr>
          <w:p w14:paraId="4DB56961" w14:textId="77777777" w:rsidR="00244FB6" w:rsidRPr="00BD2C29" w:rsidRDefault="00244FB6" w:rsidP="00A61EEF">
            <w:pPr>
              <w:ind w:firstLine="0"/>
              <w:jc w:val="left"/>
              <w:rPr>
                <w:rFonts w:cstheme="majorBidi"/>
                <w:sz w:val="20"/>
                <w:szCs w:val="20"/>
              </w:rPr>
            </w:pPr>
            <w:r w:rsidRPr="00BD2C29">
              <w:rPr>
                <w:rFonts w:cstheme="majorBidi"/>
                <w:sz w:val="20"/>
                <w:szCs w:val="20"/>
              </w:rPr>
              <w:t>almast</w:t>
            </w:r>
          </w:p>
        </w:tc>
        <w:tc>
          <w:tcPr>
            <w:tcW w:w="2835" w:type="dxa"/>
          </w:tcPr>
          <w:p w14:paraId="43989E55" w14:textId="77777777" w:rsidR="00244FB6" w:rsidRDefault="00244FB6" w:rsidP="00A61EEF">
            <w:pPr>
              <w:ind w:firstLine="0"/>
              <w:jc w:val="left"/>
              <w:rPr>
                <w:rFonts w:cstheme="majorBidi"/>
                <w:sz w:val="20"/>
                <w:szCs w:val="20"/>
              </w:rPr>
            </w:pPr>
            <w:r>
              <w:rPr>
                <w:rFonts w:cstheme="majorBidi"/>
                <w:sz w:val="20"/>
                <w:szCs w:val="20"/>
              </w:rPr>
              <w:t>p</w:t>
            </w:r>
            <w:r w:rsidRPr="00BD2C29">
              <w:rPr>
                <w:rFonts w:cstheme="majorBidi"/>
                <w:sz w:val="20"/>
                <w:szCs w:val="20"/>
              </w:rPr>
              <w:t>ecten</w:t>
            </w:r>
          </w:p>
          <w:p w14:paraId="50FEF287" w14:textId="77777777" w:rsidR="00244FB6" w:rsidRPr="00BD2C29" w:rsidRDefault="00244FB6" w:rsidP="00A61EEF">
            <w:pPr>
              <w:ind w:firstLine="0"/>
              <w:jc w:val="left"/>
              <w:rPr>
                <w:rFonts w:cstheme="majorBidi"/>
                <w:sz w:val="20"/>
                <w:szCs w:val="20"/>
              </w:rPr>
            </w:pPr>
            <w:r>
              <w:rPr>
                <w:rFonts w:cstheme="majorBidi"/>
                <w:sz w:val="20"/>
                <w:szCs w:val="20"/>
              </w:rPr>
              <w:t>(comb)</w:t>
            </w:r>
          </w:p>
        </w:tc>
        <w:tc>
          <w:tcPr>
            <w:tcW w:w="1559" w:type="dxa"/>
            <w:tcBorders>
              <w:top w:val="single" w:sz="4" w:space="0" w:color="auto"/>
              <w:left w:val="single" w:sz="4" w:space="0" w:color="auto"/>
              <w:bottom w:val="single" w:sz="4" w:space="0" w:color="auto"/>
              <w:right w:val="single" w:sz="4" w:space="0" w:color="auto"/>
            </w:tcBorders>
          </w:tcPr>
          <w:p w14:paraId="5FAB021A" w14:textId="2AACD3AF" w:rsidR="00244FB6" w:rsidRPr="006B00A2" w:rsidRDefault="00244FB6" w:rsidP="00A61EEF">
            <w:pPr>
              <w:ind w:firstLine="0"/>
              <w:jc w:val="left"/>
              <w:rPr>
                <w:rFonts w:cstheme="majorBidi"/>
                <w:sz w:val="20"/>
                <w:szCs w:val="20"/>
              </w:rPr>
            </w:pPr>
            <w:r w:rsidRPr="006B00A2">
              <w:rPr>
                <w:rFonts w:cstheme="majorBidi"/>
                <w:sz w:val="20"/>
                <w:szCs w:val="20"/>
              </w:rPr>
              <w:t>ijtimāʿa</w:t>
            </w:r>
            <w:r w:rsidR="000D192A" w:rsidRPr="006B00A2">
              <w:rPr>
                <w:rFonts w:cstheme="majorBidi"/>
                <w:sz w:val="20"/>
                <w:szCs w:val="20"/>
              </w:rPr>
              <w:t xml:space="preserve"> (union)</w:t>
            </w:r>
          </w:p>
        </w:tc>
        <w:tc>
          <w:tcPr>
            <w:tcW w:w="1701" w:type="dxa"/>
          </w:tcPr>
          <w:p w14:paraId="3E7C9036" w14:textId="77777777" w:rsidR="00244FB6" w:rsidRPr="00BD2C29" w:rsidRDefault="00244FB6" w:rsidP="00A61EEF">
            <w:pPr>
              <w:ind w:firstLine="0"/>
              <w:jc w:val="left"/>
              <w:rPr>
                <w:rFonts w:cstheme="majorBidi"/>
                <w:sz w:val="20"/>
                <w:szCs w:val="20"/>
              </w:rPr>
            </w:pPr>
            <w:r w:rsidRPr="00BD2C29">
              <w:rPr>
                <w:rFonts w:cstheme="majorBidi"/>
                <w:sz w:val="20"/>
                <w:szCs w:val="20"/>
              </w:rPr>
              <w:t>aatmrlwan??/ akmrtdwaln</w:t>
            </w:r>
          </w:p>
        </w:tc>
      </w:tr>
      <w:tr w:rsidR="00244FB6" w:rsidRPr="00BD2C29" w14:paraId="61145178" w14:textId="77777777" w:rsidTr="00A61EEF">
        <w:tc>
          <w:tcPr>
            <w:tcW w:w="1129" w:type="dxa"/>
          </w:tcPr>
          <w:p w14:paraId="05BC3EBD" w14:textId="77777777" w:rsidR="00244FB6" w:rsidRPr="00BD2C29" w:rsidRDefault="00244FB6" w:rsidP="00A61EEF">
            <w:pPr>
              <w:ind w:firstLine="0"/>
              <w:jc w:val="left"/>
              <w:rPr>
                <w:rFonts w:cstheme="majorBidi"/>
                <w:sz w:val="20"/>
                <w:szCs w:val="20"/>
              </w:rPr>
            </w:pPr>
            <w:r w:rsidRPr="00BD2C29">
              <w:rPr>
                <w:rFonts w:cstheme="majorBidi"/>
                <w:sz w:val="20"/>
                <w:szCs w:val="20"/>
              </w:rPr>
              <w:t>2121</w:t>
            </w:r>
          </w:p>
        </w:tc>
        <w:tc>
          <w:tcPr>
            <w:tcW w:w="1276" w:type="dxa"/>
          </w:tcPr>
          <w:p w14:paraId="21BF8013" w14:textId="77777777" w:rsidR="00244FB6" w:rsidRPr="00BD2C29" w:rsidRDefault="00244FB6" w:rsidP="00A61EEF">
            <w:pPr>
              <w:ind w:firstLine="0"/>
              <w:jc w:val="left"/>
              <w:rPr>
                <w:rFonts w:cstheme="majorBidi"/>
                <w:sz w:val="20"/>
                <w:szCs w:val="20"/>
              </w:rPr>
            </w:pPr>
            <w:r w:rsidRPr="00BD2C29">
              <w:rPr>
                <w:rFonts w:cstheme="majorBidi"/>
                <w:sz w:val="20"/>
                <w:szCs w:val="20"/>
              </w:rPr>
              <w:t>althandhe</w:t>
            </w:r>
          </w:p>
        </w:tc>
        <w:tc>
          <w:tcPr>
            <w:tcW w:w="2835" w:type="dxa"/>
          </w:tcPr>
          <w:p w14:paraId="4AA12135" w14:textId="77777777" w:rsidR="00244FB6" w:rsidRDefault="00244FB6" w:rsidP="00A61EEF">
            <w:pPr>
              <w:ind w:firstLine="0"/>
              <w:jc w:val="left"/>
              <w:rPr>
                <w:rFonts w:cstheme="majorBidi"/>
                <w:sz w:val="20"/>
                <w:szCs w:val="20"/>
              </w:rPr>
            </w:pPr>
            <w:r>
              <w:rPr>
                <w:rFonts w:cstheme="majorBidi"/>
                <w:sz w:val="20"/>
                <w:szCs w:val="20"/>
              </w:rPr>
              <w:t>p</w:t>
            </w:r>
            <w:r w:rsidRPr="00BD2C29">
              <w:rPr>
                <w:rFonts w:cstheme="majorBidi"/>
                <w:sz w:val="20"/>
                <w:szCs w:val="20"/>
              </w:rPr>
              <w:t>receptor</w:t>
            </w:r>
          </w:p>
          <w:p w14:paraId="2283D2F6" w14:textId="77777777" w:rsidR="00244FB6" w:rsidRPr="00BD2C29" w:rsidRDefault="00244FB6" w:rsidP="00A61EEF">
            <w:pPr>
              <w:ind w:firstLine="0"/>
              <w:jc w:val="left"/>
              <w:rPr>
                <w:rFonts w:cstheme="majorBidi"/>
                <w:sz w:val="20"/>
                <w:szCs w:val="20"/>
              </w:rPr>
            </w:pPr>
            <w:r>
              <w:rPr>
                <w:rFonts w:cstheme="majorBidi"/>
                <w:sz w:val="20"/>
                <w:szCs w:val="20"/>
              </w:rPr>
              <w:t>(teacher)</w:t>
            </w:r>
          </w:p>
        </w:tc>
        <w:tc>
          <w:tcPr>
            <w:tcW w:w="1559" w:type="dxa"/>
            <w:tcBorders>
              <w:top w:val="single" w:sz="4" w:space="0" w:color="auto"/>
              <w:left w:val="single" w:sz="4" w:space="0" w:color="auto"/>
              <w:bottom w:val="single" w:sz="4" w:space="0" w:color="auto"/>
              <w:right w:val="single" w:sz="4" w:space="0" w:color="auto"/>
            </w:tcBorders>
          </w:tcPr>
          <w:p w14:paraId="3640DFA4" w14:textId="2E668886" w:rsidR="00244FB6" w:rsidRPr="006B00A2" w:rsidRDefault="00244FB6" w:rsidP="00A61EEF">
            <w:pPr>
              <w:ind w:firstLine="0"/>
              <w:jc w:val="left"/>
              <w:rPr>
                <w:rFonts w:cstheme="majorBidi"/>
                <w:sz w:val="20"/>
                <w:szCs w:val="20"/>
              </w:rPr>
            </w:pPr>
            <w:r w:rsidRPr="006B00A2">
              <w:rPr>
                <w:rFonts w:cstheme="majorBidi"/>
                <w:sz w:val="20"/>
                <w:szCs w:val="20"/>
              </w:rPr>
              <w:t>qabḍa dākhila</w:t>
            </w:r>
            <w:r w:rsidR="000D192A" w:rsidRPr="006B00A2">
              <w:rPr>
                <w:rFonts w:cstheme="majorBidi"/>
                <w:sz w:val="20"/>
                <w:szCs w:val="20"/>
              </w:rPr>
              <w:t xml:space="preserve"> (internal seizing)</w:t>
            </w:r>
          </w:p>
        </w:tc>
        <w:tc>
          <w:tcPr>
            <w:tcW w:w="1701" w:type="dxa"/>
          </w:tcPr>
          <w:p w14:paraId="71D059DC"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alkmdshn??/ ʾkmwsh</w:t>
            </w:r>
          </w:p>
        </w:tc>
      </w:tr>
      <w:tr w:rsidR="00244FB6" w:rsidRPr="00BD2C29" w14:paraId="62325C3C" w14:textId="77777777" w:rsidTr="00A61EEF">
        <w:tc>
          <w:tcPr>
            <w:tcW w:w="1129" w:type="dxa"/>
          </w:tcPr>
          <w:p w14:paraId="63864EDE" w14:textId="77777777" w:rsidR="00244FB6" w:rsidRPr="00BD2C29" w:rsidRDefault="00244FB6" w:rsidP="00A61EEF">
            <w:pPr>
              <w:ind w:firstLine="0"/>
              <w:jc w:val="left"/>
              <w:rPr>
                <w:rFonts w:cstheme="majorBidi"/>
                <w:sz w:val="20"/>
                <w:szCs w:val="20"/>
              </w:rPr>
            </w:pPr>
            <w:r w:rsidRPr="00BD2C29">
              <w:rPr>
                <w:rFonts w:cstheme="majorBidi"/>
                <w:sz w:val="20"/>
                <w:szCs w:val="20"/>
              </w:rPr>
              <w:t>1212</w:t>
            </w:r>
          </w:p>
        </w:tc>
        <w:tc>
          <w:tcPr>
            <w:tcW w:w="1276" w:type="dxa"/>
          </w:tcPr>
          <w:p w14:paraId="328C9887" w14:textId="77777777" w:rsidR="00244FB6" w:rsidRPr="00BD2C29" w:rsidRDefault="00244FB6" w:rsidP="00A61EEF">
            <w:pPr>
              <w:ind w:firstLine="0"/>
              <w:jc w:val="left"/>
              <w:rPr>
                <w:rFonts w:cstheme="majorBidi"/>
                <w:sz w:val="20"/>
                <w:szCs w:val="20"/>
              </w:rPr>
            </w:pPr>
            <w:r w:rsidRPr="00BD2C29">
              <w:rPr>
                <w:rFonts w:cstheme="majorBidi"/>
                <w:sz w:val="20"/>
                <w:szCs w:val="20"/>
              </w:rPr>
              <w:t xml:space="preserve">alveste </w:t>
            </w:r>
          </w:p>
        </w:tc>
        <w:tc>
          <w:tcPr>
            <w:tcW w:w="2835" w:type="dxa"/>
          </w:tcPr>
          <w:p w14:paraId="56C452E0" w14:textId="77777777" w:rsidR="00244FB6" w:rsidRPr="00BD2C29" w:rsidRDefault="00244FB6" w:rsidP="00A61EEF">
            <w:pPr>
              <w:ind w:firstLine="0"/>
              <w:jc w:val="left"/>
              <w:rPr>
                <w:rFonts w:cstheme="majorBidi"/>
                <w:sz w:val="20"/>
                <w:szCs w:val="20"/>
              </w:rPr>
            </w:pPr>
            <w:r>
              <w:rPr>
                <w:rFonts w:cstheme="majorBidi"/>
                <w:sz w:val="20"/>
                <w:szCs w:val="20"/>
              </w:rPr>
              <w:t>m</w:t>
            </w:r>
            <w:r w:rsidRPr="00BD2C29">
              <w:rPr>
                <w:rFonts w:cstheme="majorBidi"/>
                <w:sz w:val="20"/>
                <w:szCs w:val="20"/>
              </w:rPr>
              <w:t>eliorator</w:t>
            </w:r>
            <w:r>
              <w:rPr>
                <w:rFonts w:cstheme="majorBidi"/>
                <w:sz w:val="20"/>
                <w:szCs w:val="20"/>
              </w:rPr>
              <w:t xml:space="preserve"> (improvement)</w:t>
            </w:r>
          </w:p>
        </w:tc>
        <w:tc>
          <w:tcPr>
            <w:tcW w:w="1559" w:type="dxa"/>
            <w:tcBorders>
              <w:top w:val="single" w:sz="4" w:space="0" w:color="auto"/>
              <w:left w:val="single" w:sz="4" w:space="0" w:color="auto"/>
              <w:bottom w:val="single" w:sz="4" w:space="0" w:color="auto"/>
              <w:right w:val="single" w:sz="4" w:space="0" w:color="auto"/>
            </w:tcBorders>
          </w:tcPr>
          <w:p w14:paraId="44AC416D" w14:textId="6470D367" w:rsidR="00244FB6" w:rsidRPr="006B00A2" w:rsidRDefault="00244FB6" w:rsidP="00A61EEF">
            <w:pPr>
              <w:ind w:firstLine="0"/>
              <w:jc w:val="left"/>
              <w:rPr>
                <w:rFonts w:cstheme="majorBidi"/>
                <w:sz w:val="20"/>
                <w:szCs w:val="20"/>
              </w:rPr>
            </w:pPr>
            <w:r w:rsidRPr="006B00A2">
              <w:rPr>
                <w:rFonts w:cstheme="majorBidi"/>
                <w:sz w:val="20"/>
                <w:szCs w:val="20"/>
              </w:rPr>
              <w:t>qabḍa khārija</w:t>
            </w:r>
            <w:r w:rsidR="00A76528" w:rsidRPr="006B00A2">
              <w:rPr>
                <w:rFonts w:cstheme="majorBidi"/>
                <w:sz w:val="20"/>
                <w:szCs w:val="20"/>
              </w:rPr>
              <w:t xml:space="preserve"> (external seizing)</w:t>
            </w:r>
          </w:p>
        </w:tc>
        <w:tc>
          <w:tcPr>
            <w:tcW w:w="1701" w:type="dxa"/>
          </w:tcPr>
          <w:p w14:paraId="1F56DB93"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almlagh/ ʾmlagh</w:t>
            </w:r>
          </w:p>
        </w:tc>
      </w:tr>
      <w:tr w:rsidR="00244FB6" w:rsidRPr="00BD2C29" w14:paraId="1783F510" w14:textId="77777777" w:rsidTr="00A61EEF">
        <w:tc>
          <w:tcPr>
            <w:tcW w:w="1129" w:type="dxa"/>
          </w:tcPr>
          <w:p w14:paraId="41094EBA" w14:textId="77777777" w:rsidR="00244FB6" w:rsidRPr="00BD2C29" w:rsidRDefault="00244FB6" w:rsidP="00A61EEF">
            <w:pPr>
              <w:ind w:firstLine="0"/>
              <w:jc w:val="left"/>
              <w:rPr>
                <w:rFonts w:cstheme="majorBidi"/>
                <w:sz w:val="20"/>
                <w:szCs w:val="20"/>
              </w:rPr>
            </w:pPr>
            <w:r w:rsidRPr="00BD2C29">
              <w:rPr>
                <w:rFonts w:cstheme="majorBidi"/>
                <w:sz w:val="20"/>
                <w:szCs w:val="20"/>
              </w:rPr>
              <w:t>2221</w:t>
            </w:r>
          </w:p>
        </w:tc>
        <w:tc>
          <w:tcPr>
            <w:tcW w:w="1276" w:type="dxa"/>
          </w:tcPr>
          <w:p w14:paraId="1D1E02C0" w14:textId="77777777" w:rsidR="00244FB6" w:rsidRPr="00BD2C29" w:rsidRDefault="00244FB6" w:rsidP="00A61EEF">
            <w:pPr>
              <w:ind w:firstLine="0"/>
              <w:jc w:val="left"/>
              <w:rPr>
                <w:rFonts w:cstheme="majorBidi"/>
                <w:sz w:val="20"/>
                <w:szCs w:val="20"/>
              </w:rPr>
            </w:pPr>
            <w:r w:rsidRPr="00BD2C29">
              <w:rPr>
                <w:rFonts w:cstheme="majorBidi"/>
                <w:sz w:val="20"/>
                <w:szCs w:val="20"/>
              </w:rPr>
              <w:t>almattati</w:t>
            </w:r>
          </w:p>
        </w:tc>
        <w:tc>
          <w:tcPr>
            <w:tcW w:w="2835" w:type="dxa"/>
          </w:tcPr>
          <w:p w14:paraId="235C36AD" w14:textId="77777777" w:rsidR="00244FB6" w:rsidRPr="00BD2C29" w:rsidRDefault="00244FB6" w:rsidP="00A61EEF">
            <w:pPr>
              <w:ind w:firstLine="0"/>
              <w:jc w:val="left"/>
              <w:rPr>
                <w:rFonts w:cstheme="majorBidi"/>
                <w:sz w:val="20"/>
                <w:szCs w:val="20"/>
              </w:rPr>
            </w:pPr>
            <w:r>
              <w:rPr>
                <w:rFonts w:cstheme="majorBidi"/>
                <w:sz w:val="20"/>
                <w:szCs w:val="20"/>
              </w:rPr>
              <w:t>d</w:t>
            </w:r>
            <w:r w:rsidRPr="00BD2C29">
              <w:rPr>
                <w:rFonts w:cstheme="majorBidi"/>
                <w:sz w:val="20"/>
                <w:szCs w:val="20"/>
              </w:rPr>
              <w:t>eclinatio</w:t>
            </w:r>
            <w:r>
              <w:rPr>
                <w:rFonts w:cstheme="majorBidi"/>
                <w:sz w:val="20"/>
                <w:szCs w:val="20"/>
              </w:rPr>
              <w:t xml:space="preserve"> (variation)</w:t>
            </w:r>
          </w:p>
        </w:tc>
        <w:tc>
          <w:tcPr>
            <w:tcW w:w="1559" w:type="dxa"/>
            <w:tcBorders>
              <w:top w:val="single" w:sz="4" w:space="0" w:color="auto"/>
              <w:left w:val="single" w:sz="4" w:space="0" w:color="auto"/>
              <w:bottom w:val="single" w:sz="4" w:space="0" w:color="auto"/>
              <w:right w:val="single" w:sz="4" w:space="0" w:color="auto"/>
            </w:tcBorders>
          </w:tcPr>
          <w:p w14:paraId="23AA43CC" w14:textId="655B88AA" w:rsidR="00244FB6" w:rsidRPr="006B00A2" w:rsidRDefault="00244FB6" w:rsidP="00A61EEF">
            <w:pPr>
              <w:ind w:firstLine="0"/>
              <w:jc w:val="left"/>
              <w:rPr>
                <w:rFonts w:cstheme="majorBidi"/>
                <w:sz w:val="20"/>
                <w:szCs w:val="20"/>
              </w:rPr>
            </w:pPr>
            <w:r w:rsidRPr="006B00A2">
              <w:rPr>
                <w:rFonts w:cstheme="majorBidi"/>
                <w:sz w:val="20"/>
                <w:szCs w:val="20"/>
              </w:rPr>
              <w:t>al-mankūs</w:t>
            </w:r>
            <w:r w:rsidR="00A76528" w:rsidRPr="006B00A2">
              <w:rPr>
                <w:rFonts w:cstheme="majorBidi"/>
                <w:sz w:val="20"/>
                <w:szCs w:val="20"/>
              </w:rPr>
              <w:t xml:space="preserve"> (inversion)</w:t>
            </w:r>
          </w:p>
        </w:tc>
        <w:tc>
          <w:tcPr>
            <w:tcW w:w="1701" w:type="dxa"/>
          </w:tcPr>
          <w:p w14:paraId="55F79E62"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al-inkīs</w:t>
            </w:r>
          </w:p>
        </w:tc>
      </w:tr>
      <w:tr w:rsidR="00244FB6" w:rsidRPr="00BD2C29" w14:paraId="2B10459C" w14:textId="77777777" w:rsidTr="00A61EEF">
        <w:tc>
          <w:tcPr>
            <w:tcW w:w="1129" w:type="dxa"/>
          </w:tcPr>
          <w:p w14:paraId="3C5D2A06" w14:textId="77777777" w:rsidR="00244FB6" w:rsidRPr="00BD2C29" w:rsidRDefault="00244FB6" w:rsidP="00A61EEF">
            <w:pPr>
              <w:ind w:firstLine="0"/>
              <w:jc w:val="left"/>
              <w:rPr>
                <w:rFonts w:cstheme="majorBidi"/>
                <w:sz w:val="20"/>
                <w:szCs w:val="20"/>
              </w:rPr>
            </w:pPr>
            <w:r w:rsidRPr="00BD2C29">
              <w:rPr>
                <w:rFonts w:cstheme="majorBidi"/>
                <w:sz w:val="20"/>
                <w:szCs w:val="20"/>
              </w:rPr>
              <w:t>2122</w:t>
            </w:r>
          </w:p>
        </w:tc>
        <w:tc>
          <w:tcPr>
            <w:tcW w:w="1276" w:type="dxa"/>
          </w:tcPr>
          <w:p w14:paraId="5D21FF65" w14:textId="77777777" w:rsidR="00244FB6" w:rsidRPr="00BD2C29" w:rsidRDefault="00244FB6" w:rsidP="00A61EEF">
            <w:pPr>
              <w:ind w:firstLine="0"/>
              <w:jc w:val="left"/>
              <w:rPr>
                <w:rFonts w:cstheme="majorBidi"/>
                <w:sz w:val="20"/>
                <w:szCs w:val="20"/>
              </w:rPr>
            </w:pPr>
            <w:r w:rsidRPr="00BD2C29">
              <w:rPr>
                <w:rFonts w:cstheme="majorBidi"/>
                <w:sz w:val="20"/>
                <w:szCs w:val="20"/>
              </w:rPr>
              <w:t>almustarcam</w:t>
            </w:r>
          </w:p>
        </w:tc>
        <w:tc>
          <w:tcPr>
            <w:tcW w:w="2835" w:type="dxa"/>
          </w:tcPr>
          <w:p w14:paraId="7C4FB003" w14:textId="77777777" w:rsidR="00244FB6" w:rsidRPr="00BD2C29" w:rsidRDefault="00244FB6" w:rsidP="00A61EEF">
            <w:pPr>
              <w:ind w:firstLine="0"/>
              <w:jc w:val="left"/>
              <w:rPr>
                <w:rFonts w:cstheme="majorBidi"/>
                <w:sz w:val="20"/>
                <w:szCs w:val="20"/>
              </w:rPr>
            </w:pPr>
            <w:r w:rsidRPr="00BD2C29">
              <w:rPr>
                <w:rFonts w:cstheme="majorBidi"/>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182059A1" w14:textId="45B95868" w:rsidR="00244FB6" w:rsidRPr="006B00A2" w:rsidRDefault="00244FB6" w:rsidP="00A61EEF">
            <w:pPr>
              <w:ind w:firstLine="0"/>
              <w:jc w:val="left"/>
              <w:rPr>
                <w:rFonts w:cstheme="majorBidi"/>
                <w:sz w:val="20"/>
                <w:szCs w:val="20"/>
              </w:rPr>
            </w:pPr>
            <w:r w:rsidRPr="006B00A2">
              <w:rPr>
                <w:rFonts w:cstheme="majorBidi"/>
                <w:sz w:val="20"/>
                <w:szCs w:val="20"/>
              </w:rPr>
              <w:t xml:space="preserve">ḥumra </w:t>
            </w:r>
            <w:r w:rsidR="00A76528" w:rsidRPr="006B00A2">
              <w:rPr>
                <w:rFonts w:cstheme="majorBidi"/>
                <w:sz w:val="20"/>
                <w:szCs w:val="20"/>
              </w:rPr>
              <w:t>(red)</w:t>
            </w:r>
          </w:p>
        </w:tc>
        <w:tc>
          <w:tcPr>
            <w:tcW w:w="1701" w:type="dxa"/>
          </w:tcPr>
          <w:p w14:paraId="2C1B36C1" w14:textId="77777777" w:rsidR="00244FB6" w:rsidRPr="00BD2C29" w:rsidRDefault="00244FB6" w:rsidP="00A61EEF">
            <w:pPr>
              <w:ind w:firstLine="0"/>
              <w:jc w:val="left"/>
              <w:rPr>
                <w:rFonts w:cstheme="majorBidi"/>
                <w:sz w:val="20"/>
                <w:szCs w:val="20"/>
              </w:rPr>
            </w:pPr>
            <w:r w:rsidRPr="00BD2C29">
              <w:rPr>
                <w:rFonts w:cstheme="majorBidi"/>
                <w:sz w:val="20"/>
                <w:szCs w:val="20"/>
              </w:rPr>
              <w:t>amṭrwsh/ amṭrws</w:t>
            </w:r>
          </w:p>
        </w:tc>
      </w:tr>
      <w:tr w:rsidR="00244FB6" w:rsidRPr="00BD2C29" w14:paraId="57930C84" w14:textId="77777777" w:rsidTr="00A61EEF">
        <w:tc>
          <w:tcPr>
            <w:tcW w:w="1129" w:type="dxa"/>
          </w:tcPr>
          <w:p w14:paraId="2A4B2DB1" w14:textId="77777777" w:rsidR="00244FB6" w:rsidRPr="00BD2C29" w:rsidRDefault="00244FB6" w:rsidP="00A61EEF">
            <w:pPr>
              <w:ind w:firstLine="0"/>
              <w:jc w:val="left"/>
              <w:rPr>
                <w:rFonts w:cstheme="majorBidi"/>
                <w:sz w:val="20"/>
                <w:szCs w:val="20"/>
              </w:rPr>
            </w:pPr>
            <w:r w:rsidRPr="00BD2C29">
              <w:rPr>
                <w:rFonts w:cstheme="majorBidi"/>
                <w:sz w:val="20"/>
                <w:szCs w:val="20"/>
              </w:rPr>
              <w:t>2212</w:t>
            </w:r>
          </w:p>
        </w:tc>
        <w:tc>
          <w:tcPr>
            <w:tcW w:w="1276" w:type="dxa"/>
          </w:tcPr>
          <w:p w14:paraId="2124A5BC" w14:textId="77777777" w:rsidR="00244FB6" w:rsidRPr="00BD2C29" w:rsidRDefault="00244FB6" w:rsidP="00A61EEF">
            <w:pPr>
              <w:ind w:firstLine="0"/>
              <w:jc w:val="left"/>
              <w:rPr>
                <w:rFonts w:cstheme="majorBidi"/>
                <w:sz w:val="20"/>
                <w:szCs w:val="20"/>
              </w:rPr>
            </w:pPr>
            <w:r w:rsidRPr="00BD2C29">
              <w:rPr>
                <w:rFonts w:cstheme="majorBidi"/>
                <w:sz w:val="20"/>
                <w:szCs w:val="20"/>
              </w:rPr>
              <w:t>alleallonus zachim</w:t>
            </w:r>
          </w:p>
        </w:tc>
        <w:tc>
          <w:tcPr>
            <w:tcW w:w="2835" w:type="dxa"/>
          </w:tcPr>
          <w:p w14:paraId="15F6ED40" w14:textId="77777777" w:rsidR="00244FB6" w:rsidRPr="00BD2C29" w:rsidRDefault="00244FB6" w:rsidP="00A61EEF">
            <w:pPr>
              <w:ind w:firstLine="0"/>
              <w:jc w:val="left"/>
              <w:rPr>
                <w:rFonts w:cstheme="majorBidi"/>
                <w:sz w:val="20"/>
                <w:szCs w:val="20"/>
              </w:rPr>
            </w:pPr>
            <w:r w:rsidRPr="00BD2C29">
              <w:rPr>
                <w:rFonts w:cstheme="majorBidi"/>
                <w:sz w:val="20"/>
                <w:szCs w:val="20"/>
              </w:rPr>
              <w:t>mollis directa</w:t>
            </w:r>
            <w:r>
              <w:rPr>
                <w:rFonts w:cstheme="majorBidi"/>
                <w:sz w:val="20"/>
                <w:szCs w:val="20"/>
              </w:rPr>
              <w:t xml:space="preserve"> (soft and direct?)</w:t>
            </w:r>
          </w:p>
        </w:tc>
        <w:tc>
          <w:tcPr>
            <w:tcW w:w="1559" w:type="dxa"/>
            <w:tcBorders>
              <w:top w:val="single" w:sz="4" w:space="0" w:color="auto"/>
              <w:left w:val="single" w:sz="4" w:space="0" w:color="auto"/>
              <w:bottom w:val="single" w:sz="4" w:space="0" w:color="auto"/>
              <w:right w:val="single" w:sz="4" w:space="0" w:color="auto"/>
            </w:tcBorders>
          </w:tcPr>
          <w:p w14:paraId="3CF85C75" w14:textId="0B887504" w:rsidR="00244FB6" w:rsidRPr="006B00A2" w:rsidRDefault="00244FB6" w:rsidP="00A61EEF">
            <w:pPr>
              <w:ind w:firstLine="0"/>
              <w:jc w:val="left"/>
              <w:rPr>
                <w:rFonts w:cstheme="majorBidi"/>
                <w:sz w:val="20"/>
                <w:szCs w:val="20"/>
              </w:rPr>
            </w:pPr>
            <w:r w:rsidRPr="006B00A2">
              <w:rPr>
                <w:rFonts w:cstheme="majorBidi"/>
                <w:sz w:val="20"/>
                <w:szCs w:val="20"/>
              </w:rPr>
              <w:t>bayāḍ</w:t>
            </w:r>
            <w:r w:rsidR="000D192A" w:rsidRPr="006B00A2">
              <w:rPr>
                <w:rFonts w:cstheme="majorBidi"/>
                <w:sz w:val="20"/>
                <w:szCs w:val="20"/>
              </w:rPr>
              <w:t xml:space="preserve"> (white)</w:t>
            </w:r>
          </w:p>
        </w:tc>
        <w:tc>
          <w:tcPr>
            <w:tcW w:w="1701" w:type="dxa"/>
          </w:tcPr>
          <w:p w14:paraId="1EFFD4CA" w14:textId="77777777" w:rsidR="00244FB6" w:rsidRPr="00BD2C29" w:rsidRDefault="00244FB6" w:rsidP="00A61EEF">
            <w:pPr>
              <w:ind w:firstLine="0"/>
              <w:jc w:val="left"/>
              <w:rPr>
                <w:rFonts w:cstheme="majorBidi"/>
                <w:sz w:val="20"/>
                <w:szCs w:val="20"/>
              </w:rPr>
            </w:pPr>
            <w:r w:rsidRPr="00BD2C29">
              <w:rPr>
                <w:rFonts w:cstheme="majorBidi"/>
                <w:sz w:val="20"/>
                <w:szCs w:val="20"/>
                <w:lang w:val="es-ES"/>
              </w:rPr>
              <w:t>ughayskrn/</w:t>
            </w:r>
            <w:r w:rsidRPr="00BD2C29">
              <w:rPr>
                <w:rFonts w:cstheme="majorBidi"/>
                <w:sz w:val="20"/>
                <w:szCs w:val="20"/>
              </w:rPr>
              <w:t>ʿ</w:t>
            </w:r>
            <w:r w:rsidRPr="00BD2C29">
              <w:rPr>
                <w:rFonts w:cstheme="majorBidi"/>
                <w:sz w:val="20"/>
                <w:szCs w:val="20"/>
                <w:lang w:val="es-ES"/>
              </w:rPr>
              <w:t>shkran</w:t>
            </w:r>
          </w:p>
        </w:tc>
      </w:tr>
      <w:tr w:rsidR="00244FB6" w:rsidRPr="00BD2C29" w14:paraId="50DD5A03" w14:textId="77777777" w:rsidTr="00A61EEF">
        <w:tc>
          <w:tcPr>
            <w:tcW w:w="1129" w:type="dxa"/>
          </w:tcPr>
          <w:p w14:paraId="3F541A91" w14:textId="77777777" w:rsidR="00244FB6" w:rsidRPr="00BD2C29" w:rsidRDefault="00244FB6" w:rsidP="00A61EEF">
            <w:pPr>
              <w:ind w:firstLine="0"/>
              <w:jc w:val="left"/>
              <w:rPr>
                <w:rFonts w:cstheme="majorBidi"/>
                <w:sz w:val="20"/>
                <w:szCs w:val="20"/>
              </w:rPr>
            </w:pPr>
            <w:r w:rsidRPr="00BD2C29">
              <w:rPr>
                <w:rFonts w:cstheme="majorBidi"/>
                <w:sz w:val="20"/>
                <w:szCs w:val="20"/>
              </w:rPr>
              <w:t>2222</w:t>
            </w:r>
          </w:p>
        </w:tc>
        <w:tc>
          <w:tcPr>
            <w:tcW w:w="1276" w:type="dxa"/>
          </w:tcPr>
          <w:p w14:paraId="188BF4C2" w14:textId="77777777" w:rsidR="00244FB6" w:rsidRPr="00BD2C29" w:rsidRDefault="00244FB6" w:rsidP="00A61EEF">
            <w:pPr>
              <w:ind w:firstLine="0"/>
              <w:jc w:val="left"/>
              <w:rPr>
                <w:rFonts w:cstheme="majorBidi"/>
                <w:sz w:val="20"/>
                <w:szCs w:val="20"/>
              </w:rPr>
            </w:pPr>
            <w:r w:rsidRPr="00BD2C29">
              <w:rPr>
                <w:rFonts w:cstheme="majorBidi"/>
                <w:sz w:val="20"/>
                <w:szCs w:val="20"/>
              </w:rPr>
              <w:t>algemaha</w:t>
            </w:r>
          </w:p>
        </w:tc>
        <w:tc>
          <w:tcPr>
            <w:tcW w:w="2835" w:type="dxa"/>
          </w:tcPr>
          <w:p w14:paraId="4C398646" w14:textId="77777777" w:rsidR="00244FB6" w:rsidRPr="00BD2C29" w:rsidRDefault="00244FB6" w:rsidP="00A61EEF">
            <w:pPr>
              <w:ind w:firstLine="0"/>
              <w:jc w:val="left"/>
              <w:rPr>
                <w:rFonts w:cstheme="majorBidi"/>
                <w:sz w:val="20"/>
                <w:szCs w:val="20"/>
              </w:rPr>
            </w:pPr>
            <w:r>
              <w:rPr>
                <w:rFonts w:cstheme="majorBidi"/>
                <w:sz w:val="20"/>
                <w:szCs w:val="20"/>
              </w:rPr>
              <w:t>c</w:t>
            </w:r>
            <w:r w:rsidRPr="00BD2C29">
              <w:rPr>
                <w:rFonts w:cstheme="majorBidi"/>
                <w:sz w:val="20"/>
                <w:szCs w:val="20"/>
              </w:rPr>
              <w:t>ollectio</w:t>
            </w:r>
            <w:r>
              <w:rPr>
                <w:rFonts w:cstheme="majorBidi"/>
                <w:sz w:val="20"/>
                <w:szCs w:val="20"/>
              </w:rPr>
              <w:t xml:space="preserve"> (collection/gathering)</w:t>
            </w:r>
          </w:p>
        </w:tc>
        <w:tc>
          <w:tcPr>
            <w:tcW w:w="1559" w:type="dxa"/>
            <w:tcBorders>
              <w:top w:val="single" w:sz="4" w:space="0" w:color="auto"/>
              <w:left w:val="single" w:sz="4" w:space="0" w:color="auto"/>
              <w:bottom w:val="single" w:sz="4" w:space="0" w:color="auto"/>
              <w:right w:val="single" w:sz="4" w:space="0" w:color="auto"/>
            </w:tcBorders>
          </w:tcPr>
          <w:p w14:paraId="55E1166D" w14:textId="3674D363" w:rsidR="00244FB6" w:rsidRPr="00BD2C29" w:rsidRDefault="00244FB6" w:rsidP="00A61EEF">
            <w:pPr>
              <w:ind w:firstLine="0"/>
              <w:jc w:val="left"/>
              <w:rPr>
                <w:rFonts w:cstheme="majorBidi"/>
                <w:sz w:val="20"/>
                <w:szCs w:val="20"/>
              </w:rPr>
            </w:pPr>
            <w:r w:rsidRPr="00BD2C29">
              <w:rPr>
                <w:rFonts w:cstheme="majorBidi"/>
                <w:sz w:val="20"/>
                <w:szCs w:val="20"/>
              </w:rPr>
              <w:t>jamāʿa</w:t>
            </w:r>
            <w:r w:rsidR="00A76528">
              <w:rPr>
                <w:rFonts w:cstheme="majorBidi"/>
                <w:sz w:val="20"/>
                <w:szCs w:val="20"/>
              </w:rPr>
              <w:t xml:space="preserve"> (group)</w:t>
            </w:r>
          </w:p>
        </w:tc>
        <w:tc>
          <w:tcPr>
            <w:tcW w:w="1701" w:type="dxa"/>
          </w:tcPr>
          <w:p w14:paraId="37263C20" w14:textId="77777777" w:rsidR="00244FB6" w:rsidRPr="00BD2C29" w:rsidRDefault="00244FB6" w:rsidP="00A61EEF">
            <w:pPr>
              <w:ind w:firstLine="0"/>
              <w:jc w:val="left"/>
              <w:rPr>
                <w:rFonts w:cstheme="majorBidi"/>
                <w:sz w:val="20"/>
                <w:szCs w:val="20"/>
              </w:rPr>
            </w:pPr>
            <w:r w:rsidRPr="00BD2C29">
              <w:rPr>
                <w:rFonts w:cstheme="majorBidi"/>
                <w:sz w:val="20"/>
                <w:szCs w:val="20"/>
              </w:rPr>
              <w:t>azaza</w:t>
            </w:r>
          </w:p>
        </w:tc>
      </w:tr>
    </w:tbl>
    <w:p w14:paraId="56D2FC61" w14:textId="77777777" w:rsidR="00244FB6" w:rsidRDefault="00244FB6" w:rsidP="00244FB6">
      <w:pPr>
        <w:ind w:firstLine="0"/>
      </w:pPr>
    </w:p>
    <w:p w14:paraId="77290687" w14:textId="64D6A384" w:rsidR="00244FB6" w:rsidRPr="006E07BF" w:rsidRDefault="00244FB6" w:rsidP="006E07BF">
      <w:pPr>
        <w:pStyle w:val="Heading3"/>
        <w:ind w:firstLine="0"/>
        <w:rPr>
          <w:rFonts w:asciiTheme="majorBidi" w:hAnsiTheme="majorBidi"/>
          <w:b/>
          <w:bCs/>
          <w:color w:val="auto"/>
        </w:rPr>
      </w:pPr>
      <w:bookmarkStart w:id="53" w:name="_Toc165108643"/>
      <w:r w:rsidRPr="006E07BF">
        <w:rPr>
          <w:rFonts w:asciiTheme="majorBidi" w:hAnsiTheme="majorBidi"/>
          <w:b/>
          <w:bCs/>
          <w:color w:val="auto"/>
        </w:rPr>
        <w:t>The compilation</w:t>
      </w:r>
      <w:bookmarkEnd w:id="53"/>
    </w:p>
    <w:p w14:paraId="5B4DFEC4" w14:textId="77777777" w:rsidR="00EE75EF" w:rsidRDefault="00EE75EF" w:rsidP="00244FB6">
      <w:pPr>
        <w:ind w:firstLine="0"/>
        <w:rPr>
          <w:b/>
          <w:bCs/>
        </w:rPr>
      </w:pPr>
    </w:p>
    <w:p w14:paraId="7BEC5B75" w14:textId="0E1A53B1" w:rsidR="00244FB6" w:rsidRDefault="00244FB6" w:rsidP="00244FB6">
      <w:pPr>
        <w:ind w:firstLine="0"/>
      </w:pPr>
      <w:r>
        <w:tab/>
      </w:r>
      <w:r w:rsidRPr="00D056E1">
        <w:t xml:space="preserve">As previously indicated, subsequent to the initial shared section of text, the manuscripts from Cambridge, Oxford, and Augsburg diverge in content. In producing </w:t>
      </w:r>
      <w:r w:rsidR="00E54FA9">
        <w:t>the</w:t>
      </w:r>
      <w:r w:rsidRPr="00D056E1">
        <w:t xml:space="preserve"> edition of the text, </w:t>
      </w:r>
      <w:r w:rsidR="00E54FA9">
        <w:t xml:space="preserve">the choice has been </w:t>
      </w:r>
      <w:r w:rsidRPr="00D056E1">
        <w:t xml:space="preserve">to adhere to the lectio of the </w:t>
      </w:r>
      <w:r w:rsidR="004C36BF">
        <w:t xml:space="preserve">manuscript </w:t>
      </w:r>
      <w:r w:rsidRPr="00D056E1">
        <w:t>Cambridg</w:t>
      </w:r>
      <w:r w:rsidR="004C36BF">
        <w:t>e</w:t>
      </w:r>
      <w:r w:rsidRPr="00D056E1">
        <w:t xml:space="preserve">, Magdalene College, F.4.27. This choice is </w:t>
      </w:r>
      <w:r w:rsidR="00991E78">
        <w:t>justified</w:t>
      </w:r>
      <w:r w:rsidRPr="00D056E1">
        <w:t xml:space="preserve"> not only by the manuscript</w:t>
      </w:r>
      <w:r>
        <w:t>’</w:t>
      </w:r>
      <w:r w:rsidRPr="00D056E1">
        <w:t xml:space="preserve">s </w:t>
      </w:r>
      <w:r>
        <w:t>greater</w:t>
      </w:r>
      <w:r w:rsidRPr="00D056E1">
        <w:t xml:space="preserve"> length</w:t>
      </w:r>
      <w:r>
        <w:t xml:space="preserve"> compared to the other two,</w:t>
      </w:r>
      <w:r w:rsidRPr="00D056E1">
        <w:t xml:space="preserve"> but also by its feature of presenting a well-structured narrative, organi</w:t>
      </w:r>
      <w:r>
        <w:t>s</w:t>
      </w:r>
      <w:r w:rsidRPr="00D056E1">
        <w:t xml:space="preserve">ed into chapters, thereby transforming it from a fragmented text into a cohesive geomantic anthology. Furthermore, this compilation exhibits a discernible thematic coherence, suggesting that the compiler employed a deliberate rationale in assembling the material. Henceforth, unless explicitly noted otherwise, </w:t>
      </w:r>
      <w:r w:rsidR="001B062D">
        <w:t>all</w:t>
      </w:r>
      <w:r w:rsidRPr="00D056E1">
        <w:t xml:space="preserve"> references to the </w:t>
      </w:r>
      <w:r w:rsidRPr="00D056E1">
        <w:rPr>
          <w:i/>
          <w:iCs/>
        </w:rPr>
        <w:t>Liber arenalis scientiae</w:t>
      </w:r>
      <w:r w:rsidRPr="00D056E1">
        <w:t xml:space="preserve"> will </w:t>
      </w:r>
      <w:r w:rsidR="001B062D">
        <w:t>refer</w:t>
      </w:r>
      <w:r w:rsidRPr="00D056E1">
        <w:t xml:space="preserve"> to the rendition found within the Cambridge manuscript.</w:t>
      </w:r>
      <w:r>
        <w:t xml:space="preserve"> That the text transmitted under the name </w:t>
      </w:r>
      <w:r w:rsidRPr="001901EF">
        <w:rPr>
          <w:i/>
          <w:iCs/>
        </w:rPr>
        <w:t>Liber arenalis scientiae</w:t>
      </w:r>
      <w:r>
        <w:t xml:space="preserve"> </w:t>
      </w:r>
      <w:r w:rsidR="001B062D">
        <w:t xml:space="preserve">in this codex </w:t>
      </w:r>
      <w:r>
        <w:t xml:space="preserve">is a compilation </w:t>
      </w:r>
      <w:r w:rsidR="00B31181">
        <w:t>taken</w:t>
      </w:r>
      <w:r>
        <w:t xml:space="preserve"> from different geomantic sources can be discerned by a number of factors. </w:t>
      </w:r>
      <w:r w:rsidRPr="00431D19">
        <w:t xml:space="preserve">One primary indicator is the lack of uniformity in the nomenclature assigned to the sixteen geomantic figures throughout the text. As previously noted, the initial segment of the text employs an </w:t>
      </w:r>
      <w:r w:rsidR="00FE0E91">
        <w:t xml:space="preserve">unclear </w:t>
      </w:r>
      <w:r w:rsidRPr="00431D19">
        <w:t xml:space="preserve">transliteration for figure names. In contrast, subsequent chapters introduce </w:t>
      </w:r>
      <w:r w:rsidR="00FE0E91">
        <w:t xml:space="preserve">the standard </w:t>
      </w:r>
      <w:r w:rsidRPr="00431D19">
        <w:t xml:space="preserve">Latin </w:t>
      </w:r>
      <w:r w:rsidR="00FE0E91">
        <w:lastRenderedPageBreak/>
        <w:t>names</w:t>
      </w:r>
      <w:r w:rsidRPr="00431D19">
        <w:t xml:space="preserve"> for these figures. Nevertheless, even within this Latin nomenclature, consistency is notably absent, as varying renditions of figure names emerge in each chapter (</w:t>
      </w:r>
      <w:r w:rsidR="00F30230">
        <w:t>see</w:t>
      </w:r>
      <w:r w:rsidRPr="00431D19">
        <w:t xml:space="preserve"> Table 3). This observation lends </w:t>
      </w:r>
      <w:r w:rsidR="006558F1">
        <w:t>credibility</w:t>
      </w:r>
      <w:r w:rsidRPr="00431D19">
        <w:t xml:space="preserve"> to the supposition that the text indeed comprises a compilation of distinct sources, with the compiler evidently eschewing efforts to reconcile disparities among them in order to enhance the internal coherence of the anthology.</w:t>
      </w:r>
    </w:p>
    <w:p w14:paraId="624B88A0" w14:textId="77777777" w:rsidR="001B062D" w:rsidRDefault="001B062D" w:rsidP="00244FB6">
      <w:pPr>
        <w:ind w:firstLine="0"/>
      </w:pPr>
    </w:p>
    <w:p w14:paraId="590A33D9" w14:textId="69708627" w:rsidR="001B062D" w:rsidRDefault="001B062D" w:rsidP="001B062D">
      <w:pPr>
        <w:spacing w:line="240" w:lineRule="auto"/>
        <w:ind w:firstLine="0"/>
      </w:pPr>
      <w:r w:rsidRPr="001B062D">
        <w:rPr>
          <w:b/>
          <w:bCs/>
        </w:rPr>
        <w:t>Table 3.</w:t>
      </w:r>
      <w:r>
        <w:t xml:space="preserve"> </w:t>
      </w:r>
      <w:r w:rsidR="009E2ECC">
        <w:t>V</w:t>
      </w:r>
      <w:r>
        <w:t xml:space="preserve">ariations of names given to the sixteen geomantic figures in the </w:t>
      </w:r>
      <w:r w:rsidRPr="001B062D">
        <w:rPr>
          <w:i/>
          <w:iCs/>
        </w:rPr>
        <w:t>Liber arenalis scientiae</w:t>
      </w:r>
      <w:r>
        <w:t xml:space="preserve"> in the manuscript </w:t>
      </w:r>
      <w:r w:rsidRPr="00D056E1">
        <w:t>Cambridg</w:t>
      </w:r>
      <w:r>
        <w:t>e</w:t>
      </w:r>
      <w:r w:rsidRPr="00D056E1">
        <w:t>, Magdalene College, F.4.27.</w:t>
      </w:r>
    </w:p>
    <w:p w14:paraId="0E48AECA" w14:textId="77777777" w:rsidR="001B062D" w:rsidRDefault="001B062D" w:rsidP="001B062D">
      <w:pPr>
        <w:spacing w:line="240" w:lineRule="auto"/>
        <w:ind w:firstLine="0"/>
      </w:pPr>
    </w:p>
    <w:tbl>
      <w:tblPr>
        <w:tblStyle w:val="TableGrid"/>
        <w:tblW w:w="0" w:type="auto"/>
        <w:tblLook w:val="04A0" w:firstRow="1" w:lastRow="0" w:firstColumn="1" w:lastColumn="0" w:noHBand="0" w:noVBand="1"/>
      </w:tblPr>
      <w:tblGrid>
        <w:gridCol w:w="2830"/>
        <w:gridCol w:w="2119"/>
        <w:gridCol w:w="2235"/>
        <w:gridCol w:w="1832"/>
      </w:tblGrid>
      <w:tr w:rsidR="001B062D" w:rsidRPr="00402A31" w14:paraId="670167B3" w14:textId="77777777" w:rsidTr="00C72EC1">
        <w:tc>
          <w:tcPr>
            <w:tcW w:w="2830" w:type="dxa"/>
          </w:tcPr>
          <w:p w14:paraId="2D928580"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(1111)/</w:t>
            </w:r>
          </w:p>
        </w:tc>
        <w:tc>
          <w:tcPr>
            <w:tcW w:w="2119" w:type="dxa"/>
          </w:tcPr>
          <w:p w14:paraId="691843AF" w14:textId="77777777" w:rsidR="001B062D" w:rsidRPr="00402A31" w:rsidRDefault="001B062D" w:rsidP="00A61EEF">
            <w:pPr>
              <w:spacing w:line="360" w:lineRule="auto"/>
              <w:ind w:firstLine="0"/>
              <w:jc w:val="left"/>
              <w:rPr>
                <w:rFonts w:cstheme="majorBidi"/>
              </w:rPr>
            </w:pPr>
            <w:r w:rsidRPr="00402A31">
              <w:rPr>
                <w:rFonts w:cstheme="majorBidi"/>
              </w:rPr>
              <w:t xml:space="preserve">Via </w:t>
            </w:r>
          </w:p>
        </w:tc>
        <w:tc>
          <w:tcPr>
            <w:tcW w:w="2235" w:type="dxa"/>
          </w:tcPr>
          <w:p w14:paraId="62E975A7" w14:textId="77777777" w:rsidR="001B062D" w:rsidRPr="00402A31" w:rsidRDefault="001B062D" w:rsidP="00A61EEF">
            <w:pPr>
              <w:spacing w:line="360" w:lineRule="auto"/>
              <w:ind w:firstLine="0"/>
              <w:jc w:val="left"/>
              <w:rPr>
                <w:rFonts w:cstheme="majorBidi"/>
              </w:rPr>
            </w:pPr>
            <w:r w:rsidRPr="00402A31">
              <w:rPr>
                <w:rFonts w:cstheme="majorBidi"/>
              </w:rPr>
              <w:t>/</w:t>
            </w:r>
          </w:p>
        </w:tc>
        <w:tc>
          <w:tcPr>
            <w:tcW w:w="1832" w:type="dxa"/>
          </w:tcPr>
          <w:p w14:paraId="315362C8" w14:textId="77777777" w:rsidR="001B062D" w:rsidRPr="00402A31" w:rsidRDefault="001B062D" w:rsidP="00A61EEF">
            <w:pPr>
              <w:spacing w:line="360" w:lineRule="auto"/>
              <w:ind w:firstLine="0"/>
              <w:jc w:val="left"/>
              <w:rPr>
                <w:rFonts w:cstheme="majorBidi"/>
              </w:rPr>
            </w:pPr>
            <w:r w:rsidRPr="00402A31">
              <w:rPr>
                <w:rFonts w:cstheme="majorBidi"/>
              </w:rPr>
              <w:t xml:space="preserve">Via </w:t>
            </w:r>
          </w:p>
        </w:tc>
      </w:tr>
      <w:tr w:rsidR="001B062D" w:rsidRPr="00402A31" w14:paraId="291BF092" w14:textId="77777777" w:rsidTr="00C72EC1">
        <w:tc>
          <w:tcPr>
            <w:tcW w:w="2830" w:type="dxa"/>
          </w:tcPr>
          <w:p w14:paraId="3BF41E16"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(2111) Terrazel</w:t>
            </w:r>
          </w:p>
        </w:tc>
        <w:tc>
          <w:tcPr>
            <w:tcW w:w="2119" w:type="dxa"/>
          </w:tcPr>
          <w:p w14:paraId="1F330697" w14:textId="77777777" w:rsidR="001B062D" w:rsidRPr="00402A31" w:rsidRDefault="001B062D" w:rsidP="00A61EEF">
            <w:pPr>
              <w:spacing w:line="360" w:lineRule="auto"/>
              <w:ind w:firstLine="0"/>
              <w:jc w:val="left"/>
              <w:rPr>
                <w:rFonts w:cstheme="majorBidi"/>
              </w:rPr>
            </w:pPr>
            <w:r w:rsidRPr="00402A31">
              <w:rPr>
                <w:rFonts w:cstheme="majorBidi"/>
              </w:rPr>
              <w:t xml:space="preserve">Limes intrans </w:t>
            </w:r>
          </w:p>
        </w:tc>
        <w:tc>
          <w:tcPr>
            <w:tcW w:w="2235" w:type="dxa"/>
          </w:tcPr>
          <w:p w14:paraId="0390851C" w14:textId="77777777" w:rsidR="001B062D" w:rsidRPr="00402A31" w:rsidRDefault="001B062D" w:rsidP="00A61EEF">
            <w:pPr>
              <w:spacing w:line="360" w:lineRule="auto"/>
              <w:ind w:firstLine="0"/>
              <w:jc w:val="left"/>
              <w:rPr>
                <w:rFonts w:cstheme="majorBidi"/>
              </w:rPr>
            </w:pPr>
            <w:r w:rsidRPr="00402A31">
              <w:rPr>
                <w:rFonts w:cstheme="majorBidi"/>
              </w:rPr>
              <w:t>Limen intrans</w:t>
            </w:r>
          </w:p>
        </w:tc>
        <w:tc>
          <w:tcPr>
            <w:tcW w:w="1832" w:type="dxa"/>
          </w:tcPr>
          <w:p w14:paraId="5A4F23C4" w14:textId="77777777" w:rsidR="001B062D" w:rsidRPr="00402A31" w:rsidRDefault="001B062D" w:rsidP="00A61EEF">
            <w:pPr>
              <w:spacing w:line="360" w:lineRule="auto"/>
              <w:ind w:firstLine="0"/>
              <w:jc w:val="left"/>
              <w:rPr>
                <w:rFonts w:cstheme="majorBidi"/>
              </w:rPr>
            </w:pPr>
            <w:r w:rsidRPr="00402A31">
              <w:rPr>
                <w:rFonts w:cstheme="majorBidi"/>
              </w:rPr>
              <w:t>Limes superior</w:t>
            </w:r>
          </w:p>
        </w:tc>
      </w:tr>
      <w:tr w:rsidR="001B062D" w:rsidRPr="00402A31" w14:paraId="5DC717AF" w14:textId="77777777" w:rsidTr="00C72EC1">
        <w:tc>
          <w:tcPr>
            <w:tcW w:w="2830" w:type="dxa"/>
          </w:tcPr>
          <w:p w14:paraId="2FE8C6C4"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(1121) Sultan</w:t>
            </w:r>
          </w:p>
        </w:tc>
        <w:tc>
          <w:tcPr>
            <w:tcW w:w="2119" w:type="dxa"/>
          </w:tcPr>
          <w:p w14:paraId="101E09C0" w14:textId="77777777" w:rsidR="001B062D" w:rsidRPr="00402A31" w:rsidRDefault="001B062D" w:rsidP="00A61EEF">
            <w:pPr>
              <w:spacing w:line="360" w:lineRule="auto"/>
              <w:ind w:firstLine="0"/>
              <w:jc w:val="left"/>
              <w:rPr>
                <w:rFonts w:cstheme="majorBidi"/>
              </w:rPr>
            </w:pPr>
            <w:r w:rsidRPr="00402A31">
              <w:rPr>
                <w:rFonts w:cstheme="majorBidi"/>
              </w:rPr>
              <w:t xml:space="preserve">Puella </w:t>
            </w:r>
          </w:p>
        </w:tc>
        <w:tc>
          <w:tcPr>
            <w:tcW w:w="2235" w:type="dxa"/>
          </w:tcPr>
          <w:p w14:paraId="6B68B53B" w14:textId="77777777" w:rsidR="001B062D" w:rsidRPr="00402A31" w:rsidRDefault="001B062D" w:rsidP="00A61EEF">
            <w:pPr>
              <w:spacing w:line="360" w:lineRule="auto"/>
              <w:ind w:firstLine="0"/>
              <w:jc w:val="left"/>
              <w:rPr>
                <w:rFonts w:cstheme="majorBidi"/>
              </w:rPr>
            </w:pPr>
            <w:r w:rsidRPr="00402A31">
              <w:rPr>
                <w:rFonts w:cstheme="majorBidi"/>
              </w:rPr>
              <w:t>Puella</w:t>
            </w:r>
          </w:p>
        </w:tc>
        <w:tc>
          <w:tcPr>
            <w:tcW w:w="1832" w:type="dxa"/>
          </w:tcPr>
          <w:p w14:paraId="2AFD9843" w14:textId="77777777" w:rsidR="001B062D" w:rsidRPr="00402A31" w:rsidRDefault="001B062D" w:rsidP="00A61EEF">
            <w:pPr>
              <w:spacing w:line="360" w:lineRule="auto"/>
              <w:ind w:firstLine="0"/>
              <w:jc w:val="left"/>
              <w:rPr>
                <w:rFonts w:cstheme="majorBidi"/>
              </w:rPr>
            </w:pPr>
            <w:r w:rsidRPr="00402A31">
              <w:rPr>
                <w:rFonts w:cstheme="majorBidi"/>
              </w:rPr>
              <w:t xml:space="preserve">Puella </w:t>
            </w:r>
          </w:p>
        </w:tc>
      </w:tr>
      <w:tr w:rsidR="001B062D" w:rsidRPr="00402A31" w14:paraId="44AF2534" w14:textId="77777777" w:rsidTr="00C72EC1">
        <w:tc>
          <w:tcPr>
            <w:tcW w:w="2830" w:type="dxa"/>
          </w:tcPr>
          <w:p w14:paraId="39E46A25"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(1222) Alagen</w:t>
            </w:r>
          </w:p>
        </w:tc>
        <w:tc>
          <w:tcPr>
            <w:tcW w:w="2119" w:type="dxa"/>
          </w:tcPr>
          <w:p w14:paraId="0AC8D18E" w14:textId="77777777" w:rsidR="001B062D" w:rsidRPr="00402A31" w:rsidRDefault="001B062D" w:rsidP="00A61EEF">
            <w:pPr>
              <w:spacing w:line="360" w:lineRule="auto"/>
              <w:ind w:firstLine="0"/>
              <w:jc w:val="left"/>
              <w:rPr>
                <w:rFonts w:cstheme="majorBidi"/>
              </w:rPr>
            </w:pPr>
            <w:r w:rsidRPr="00402A31">
              <w:rPr>
                <w:rFonts w:cstheme="majorBidi"/>
              </w:rPr>
              <w:t xml:space="preserve">Letitia </w:t>
            </w:r>
          </w:p>
        </w:tc>
        <w:tc>
          <w:tcPr>
            <w:tcW w:w="2235" w:type="dxa"/>
          </w:tcPr>
          <w:p w14:paraId="551BEC55" w14:textId="77777777" w:rsidR="001B062D" w:rsidRPr="00402A31" w:rsidRDefault="001B062D" w:rsidP="00A61EEF">
            <w:pPr>
              <w:spacing w:line="360" w:lineRule="auto"/>
              <w:ind w:firstLine="0"/>
              <w:jc w:val="left"/>
              <w:rPr>
                <w:rFonts w:cstheme="majorBidi"/>
              </w:rPr>
            </w:pPr>
            <w:r w:rsidRPr="00402A31">
              <w:rPr>
                <w:rFonts w:cstheme="majorBidi"/>
              </w:rPr>
              <w:t xml:space="preserve">Caput altum </w:t>
            </w:r>
          </w:p>
        </w:tc>
        <w:tc>
          <w:tcPr>
            <w:tcW w:w="1832" w:type="dxa"/>
          </w:tcPr>
          <w:p w14:paraId="2B46581D" w14:textId="77777777" w:rsidR="001B062D" w:rsidRPr="00402A31" w:rsidRDefault="001B062D" w:rsidP="00A61EEF">
            <w:pPr>
              <w:spacing w:line="360" w:lineRule="auto"/>
              <w:ind w:firstLine="0"/>
              <w:jc w:val="left"/>
              <w:rPr>
                <w:rFonts w:cstheme="majorBidi"/>
              </w:rPr>
            </w:pPr>
            <w:r w:rsidRPr="00402A31">
              <w:rPr>
                <w:rFonts w:cstheme="majorBidi"/>
              </w:rPr>
              <w:t xml:space="preserve">Letitia </w:t>
            </w:r>
          </w:p>
        </w:tc>
      </w:tr>
      <w:tr w:rsidR="001B062D" w:rsidRPr="00402A31" w14:paraId="4054A756" w14:textId="77777777" w:rsidTr="00C72EC1">
        <w:tc>
          <w:tcPr>
            <w:tcW w:w="2830" w:type="dxa"/>
          </w:tcPr>
          <w:p w14:paraId="0E331F79"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(1211) Alastar</w:t>
            </w:r>
          </w:p>
        </w:tc>
        <w:tc>
          <w:tcPr>
            <w:tcW w:w="2119" w:type="dxa"/>
          </w:tcPr>
          <w:p w14:paraId="5A4B27CB" w14:textId="77777777" w:rsidR="001B062D" w:rsidRPr="00402A31" w:rsidRDefault="001B062D" w:rsidP="00A61EEF">
            <w:pPr>
              <w:spacing w:line="360" w:lineRule="auto"/>
              <w:ind w:firstLine="0"/>
              <w:jc w:val="left"/>
              <w:rPr>
                <w:rFonts w:cstheme="majorBidi"/>
              </w:rPr>
            </w:pPr>
            <w:r w:rsidRPr="00402A31">
              <w:rPr>
                <w:rFonts w:cstheme="majorBidi"/>
              </w:rPr>
              <w:t>Puer</w:t>
            </w:r>
          </w:p>
        </w:tc>
        <w:tc>
          <w:tcPr>
            <w:tcW w:w="2235" w:type="dxa"/>
          </w:tcPr>
          <w:p w14:paraId="1042717D" w14:textId="77777777" w:rsidR="001B062D" w:rsidRPr="00402A31" w:rsidRDefault="001B062D" w:rsidP="00A61EEF">
            <w:pPr>
              <w:spacing w:line="360" w:lineRule="auto"/>
              <w:ind w:firstLine="0"/>
              <w:jc w:val="left"/>
              <w:rPr>
                <w:rFonts w:cstheme="majorBidi"/>
              </w:rPr>
            </w:pPr>
            <w:r w:rsidRPr="00402A31">
              <w:rPr>
                <w:rFonts w:cstheme="majorBidi"/>
              </w:rPr>
              <w:t>Puer</w:t>
            </w:r>
          </w:p>
        </w:tc>
        <w:tc>
          <w:tcPr>
            <w:tcW w:w="1832" w:type="dxa"/>
          </w:tcPr>
          <w:p w14:paraId="60087A9C" w14:textId="77777777" w:rsidR="001B062D" w:rsidRPr="00402A31" w:rsidRDefault="001B062D" w:rsidP="00A61EEF">
            <w:pPr>
              <w:spacing w:line="360" w:lineRule="auto"/>
              <w:ind w:firstLine="0"/>
              <w:jc w:val="left"/>
              <w:rPr>
                <w:rFonts w:cstheme="majorBidi"/>
              </w:rPr>
            </w:pPr>
            <w:r w:rsidRPr="00402A31">
              <w:rPr>
                <w:rFonts w:cstheme="majorBidi"/>
              </w:rPr>
              <w:t xml:space="preserve">Puer </w:t>
            </w:r>
          </w:p>
        </w:tc>
      </w:tr>
      <w:tr w:rsidR="001B062D" w:rsidRPr="00402A31" w14:paraId="05DDCECB" w14:textId="77777777" w:rsidTr="00C72EC1">
        <w:tc>
          <w:tcPr>
            <w:tcW w:w="2830" w:type="dxa"/>
          </w:tcPr>
          <w:p w14:paraId="0AA460F7"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(1122) Almantitus</w:t>
            </w:r>
          </w:p>
        </w:tc>
        <w:tc>
          <w:tcPr>
            <w:tcW w:w="2119" w:type="dxa"/>
          </w:tcPr>
          <w:p w14:paraId="5F28AB96" w14:textId="77777777" w:rsidR="001B062D" w:rsidRPr="00402A31" w:rsidRDefault="001B062D" w:rsidP="00A61EEF">
            <w:pPr>
              <w:spacing w:line="360" w:lineRule="auto"/>
              <w:ind w:firstLine="0"/>
              <w:jc w:val="left"/>
              <w:rPr>
                <w:rFonts w:cstheme="majorBidi"/>
              </w:rPr>
            </w:pPr>
            <w:r w:rsidRPr="00402A31">
              <w:rPr>
                <w:rFonts w:cstheme="majorBidi"/>
              </w:rPr>
              <w:t>Fortuna minor</w:t>
            </w:r>
          </w:p>
        </w:tc>
        <w:tc>
          <w:tcPr>
            <w:tcW w:w="2235" w:type="dxa"/>
          </w:tcPr>
          <w:p w14:paraId="364B7AC0" w14:textId="77777777" w:rsidR="001B062D" w:rsidRPr="00402A31" w:rsidRDefault="001B062D" w:rsidP="00A61EEF">
            <w:pPr>
              <w:spacing w:line="360" w:lineRule="auto"/>
              <w:ind w:firstLine="0"/>
              <w:jc w:val="left"/>
              <w:rPr>
                <w:rFonts w:cstheme="majorBidi"/>
              </w:rPr>
            </w:pPr>
            <w:r w:rsidRPr="00402A31">
              <w:rPr>
                <w:rFonts w:cstheme="majorBidi"/>
              </w:rPr>
              <w:t xml:space="preserve">Fortuna minor </w:t>
            </w:r>
          </w:p>
        </w:tc>
        <w:tc>
          <w:tcPr>
            <w:tcW w:w="1832" w:type="dxa"/>
          </w:tcPr>
          <w:p w14:paraId="08B0E8C0" w14:textId="77777777" w:rsidR="001B062D" w:rsidRPr="00402A31" w:rsidRDefault="001B062D" w:rsidP="00A61EEF">
            <w:pPr>
              <w:spacing w:line="360" w:lineRule="auto"/>
              <w:ind w:firstLine="0"/>
              <w:jc w:val="left"/>
              <w:rPr>
                <w:rFonts w:cstheme="majorBidi"/>
              </w:rPr>
            </w:pPr>
            <w:r w:rsidRPr="00402A31">
              <w:rPr>
                <w:rFonts w:cstheme="majorBidi"/>
              </w:rPr>
              <w:t xml:space="preserve">Fortuna minor </w:t>
            </w:r>
          </w:p>
        </w:tc>
      </w:tr>
      <w:tr w:rsidR="001B062D" w:rsidRPr="00402A31" w14:paraId="654A9DA3" w14:textId="77777777" w:rsidTr="00C72EC1">
        <w:tc>
          <w:tcPr>
            <w:tcW w:w="2830" w:type="dxa"/>
          </w:tcPr>
          <w:p w14:paraId="2952E856"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(1112) Tanzel</w:t>
            </w:r>
          </w:p>
        </w:tc>
        <w:tc>
          <w:tcPr>
            <w:tcW w:w="2119" w:type="dxa"/>
          </w:tcPr>
          <w:p w14:paraId="6CA7F39F" w14:textId="77777777" w:rsidR="001B062D" w:rsidRPr="00402A31" w:rsidRDefault="001B062D" w:rsidP="00A61EEF">
            <w:pPr>
              <w:spacing w:line="360" w:lineRule="auto"/>
              <w:ind w:firstLine="0"/>
              <w:jc w:val="left"/>
              <w:rPr>
                <w:rFonts w:cstheme="majorBidi"/>
              </w:rPr>
            </w:pPr>
            <w:r w:rsidRPr="00402A31">
              <w:rPr>
                <w:rFonts w:cstheme="majorBidi"/>
              </w:rPr>
              <w:t>Limes exiens</w:t>
            </w:r>
          </w:p>
        </w:tc>
        <w:tc>
          <w:tcPr>
            <w:tcW w:w="2235" w:type="dxa"/>
          </w:tcPr>
          <w:p w14:paraId="023A0670" w14:textId="77777777" w:rsidR="001B062D" w:rsidRPr="00402A31" w:rsidRDefault="001B062D" w:rsidP="00A61EEF">
            <w:pPr>
              <w:spacing w:line="360" w:lineRule="auto"/>
              <w:ind w:firstLine="0"/>
              <w:jc w:val="left"/>
              <w:rPr>
                <w:rFonts w:cstheme="majorBidi"/>
              </w:rPr>
            </w:pPr>
            <w:r w:rsidRPr="00402A31">
              <w:rPr>
                <w:rFonts w:cstheme="majorBidi"/>
              </w:rPr>
              <w:t xml:space="preserve">Limes exiens </w:t>
            </w:r>
          </w:p>
        </w:tc>
        <w:tc>
          <w:tcPr>
            <w:tcW w:w="1832" w:type="dxa"/>
          </w:tcPr>
          <w:p w14:paraId="0715AAEB" w14:textId="77777777" w:rsidR="001B062D" w:rsidRPr="00402A31" w:rsidRDefault="001B062D" w:rsidP="00A61EEF">
            <w:pPr>
              <w:spacing w:line="360" w:lineRule="auto"/>
              <w:ind w:firstLine="0"/>
              <w:jc w:val="left"/>
              <w:rPr>
                <w:rFonts w:cstheme="majorBidi"/>
              </w:rPr>
            </w:pPr>
            <w:r w:rsidRPr="00402A31">
              <w:rPr>
                <w:rFonts w:cstheme="majorBidi"/>
              </w:rPr>
              <w:t>Limes inferior</w:t>
            </w:r>
          </w:p>
        </w:tc>
      </w:tr>
      <w:tr w:rsidR="001B062D" w:rsidRPr="00402A31" w14:paraId="34EC3F11" w14:textId="77777777" w:rsidTr="00C72EC1">
        <w:tc>
          <w:tcPr>
            <w:tcW w:w="2830" w:type="dxa"/>
          </w:tcPr>
          <w:p w14:paraId="7A8E63BF" w14:textId="0B90620F"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(1221) Hafa</w:t>
            </w:r>
            <w:r w:rsidR="00287023">
              <w:rPr>
                <w:rFonts w:cstheme="majorBidi"/>
              </w:rPr>
              <w:t>ra</w:t>
            </w:r>
            <w:r w:rsidRPr="00402A31">
              <w:rPr>
                <w:rFonts w:cstheme="majorBidi"/>
              </w:rPr>
              <w:t>m</w:t>
            </w:r>
          </w:p>
        </w:tc>
        <w:tc>
          <w:tcPr>
            <w:tcW w:w="2119" w:type="dxa"/>
          </w:tcPr>
          <w:p w14:paraId="43959CBC" w14:textId="77777777" w:rsidR="001B062D" w:rsidRPr="00402A31" w:rsidRDefault="001B062D" w:rsidP="00A61EEF">
            <w:pPr>
              <w:spacing w:line="360" w:lineRule="auto"/>
              <w:ind w:firstLine="0"/>
              <w:jc w:val="left"/>
              <w:rPr>
                <w:rFonts w:cstheme="majorBidi"/>
              </w:rPr>
            </w:pPr>
            <w:r w:rsidRPr="00402A31">
              <w:rPr>
                <w:rFonts w:cstheme="majorBidi"/>
              </w:rPr>
              <w:t xml:space="preserve">Carcer </w:t>
            </w:r>
          </w:p>
        </w:tc>
        <w:tc>
          <w:tcPr>
            <w:tcW w:w="2235" w:type="dxa"/>
          </w:tcPr>
          <w:p w14:paraId="5DAAA5FF" w14:textId="77777777" w:rsidR="001B062D" w:rsidRPr="00402A31" w:rsidRDefault="001B062D" w:rsidP="00A61EEF">
            <w:pPr>
              <w:spacing w:line="360" w:lineRule="auto"/>
              <w:ind w:firstLine="0"/>
              <w:jc w:val="left"/>
              <w:rPr>
                <w:rFonts w:cstheme="majorBidi"/>
              </w:rPr>
            </w:pPr>
            <w:r w:rsidRPr="00402A31">
              <w:rPr>
                <w:rFonts w:cstheme="majorBidi"/>
              </w:rPr>
              <w:t>/</w:t>
            </w:r>
          </w:p>
        </w:tc>
        <w:tc>
          <w:tcPr>
            <w:tcW w:w="1832" w:type="dxa"/>
          </w:tcPr>
          <w:p w14:paraId="76AF0F56" w14:textId="77777777" w:rsidR="001B062D" w:rsidRPr="00402A31" w:rsidRDefault="001B062D" w:rsidP="00A61EEF">
            <w:pPr>
              <w:spacing w:line="360" w:lineRule="auto"/>
              <w:ind w:firstLine="0"/>
              <w:jc w:val="left"/>
              <w:rPr>
                <w:rFonts w:cstheme="majorBidi"/>
              </w:rPr>
            </w:pPr>
            <w:r w:rsidRPr="00402A31">
              <w:rPr>
                <w:rFonts w:cstheme="majorBidi"/>
              </w:rPr>
              <w:t>Carcer</w:t>
            </w:r>
          </w:p>
        </w:tc>
      </w:tr>
      <w:tr w:rsidR="001B062D" w:rsidRPr="00402A31" w14:paraId="691F011A" w14:textId="77777777" w:rsidTr="00C72EC1">
        <w:tc>
          <w:tcPr>
            <w:tcW w:w="2830" w:type="dxa"/>
          </w:tcPr>
          <w:p w14:paraId="663C4D82"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(2211) Mustanar</w:t>
            </w:r>
          </w:p>
        </w:tc>
        <w:tc>
          <w:tcPr>
            <w:tcW w:w="2119" w:type="dxa"/>
          </w:tcPr>
          <w:p w14:paraId="3276685E" w14:textId="0DEE411E" w:rsidR="001B062D" w:rsidRPr="00402A31" w:rsidRDefault="001B062D" w:rsidP="00A61EEF">
            <w:pPr>
              <w:spacing w:line="360" w:lineRule="auto"/>
              <w:ind w:firstLine="0"/>
              <w:jc w:val="left"/>
              <w:rPr>
                <w:rFonts w:cstheme="majorBidi"/>
              </w:rPr>
            </w:pPr>
            <w:r w:rsidRPr="00402A31">
              <w:rPr>
                <w:rFonts w:cstheme="majorBidi"/>
              </w:rPr>
              <w:t xml:space="preserve">Fortuna </w:t>
            </w:r>
            <w:r w:rsidR="00377D1C">
              <w:rPr>
                <w:rFonts w:cstheme="majorBidi"/>
              </w:rPr>
              <w:t>m</w:t>
            </w:r>
            <w:r w:rsidRPr="00402A31">
              <w:rPr>
                <w:rFonts w:cstheme="majorBidi"/>
              </w:rPr>
              <w:t>aior</w:t>
            </w:r>
          </w:p>
        </w:tc>
        <w:tc>
          <w:tcPr>
            <w:tcW w:w="2235" w:type="dxa"/>
          </w:tcPr>
          <w:p w14:paraId="038EA675" w14:textId="77777777" w:rsidR="001B062D" w:rsidRPr="00402A31" w:rsidRDefault="001B062D" w:rsidP="00A61EEF">
            <w:pPr>
              <w:spacing w:line="360" w:lineRule="auto"/>
              <w:ind w:firstLine="0"/>
              <w:jc w:val="left"/>
              <w:rPr>
                <w:rFonts w:cstheme="majorBidi"/>
              </w:rPr>
            </w:pPr>
            <w:r w:rsidRPr="00402A31">
              <w:rPr>
                <w:rFonts w:cstheme="majorBidi"/>
              </w:rPr>
              <w:t>Fortuna maior</w:t>
            </w:r>
          </w:p>
        </w:tc>
        <w:tc>
          <w:tcPr>
            <w:tcW w:w="1832" w:type="dxa"/>
          </w:tcPr>
          <w:p w14:paraId="129494D9" w14:textId="77777777" w:rsidR="001B062D" w:rsidRPr="00402A31" w:rsidRDefault="001B062D" w:rsidP="00A61EEF">
            <w:pPr>
              <w:spacing w:line="360" w:lineRule="auto"/>
              <w:ind w:firstLine="0"/>
              <w:jc w:val="left"/>
              <w:rPr>
                <w:rFonts w:cstheme="majorBidi"/>
              </w:rPr>
            </w:pPr>
            <w:r w:rsidRPr="00402A31">
              <w:rPr>
                <w:rFonts w:cstheme="majorBidi"/>
              </w:rPr>
              <w:t xml:space="preserve">Fortuna maior </w:t>
            </w:r>
          </w:p>
        </w:tc>
      </w:tr>
      <w:tr w:rsidR="001B062D" w:rsidRPr="00402A31" w14:paraId="16984828" w14:textId="77777777" w:rsidTr="00C72EC1">
        <w:tc>
          <w:tcPr>
            <w:tcW w:w="2830" w:type="dxa"/>
          </w:tcPr>
          <w:p w14:paraId="657A2C18"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(2112) Almast</w:t>
            </w:r>
          </w:p>
        </w:tc>
        <w:tc>
          <w:tcPr>
            <w:tcW w:w="2119" w:type="dxa"/>
          </w:tcPr>
          <w:p w14:paraId="1AFA72E8" w14:textId="77777777" w:rsidR="001B062D" w:rsidRPr="00402A31" w:rsidRDefault="001B062D" w:rsidP="00A61EEF">
            <w:pPr>
              <w:spacing w:line="360" w:lineRule="auto"/>
              <w:ind w:firstLine="0"/>
              <w:jc w:val="left"/>
              <w:rPr>
                <w:rFonts w:cstheme="majorBidi"/>
              </w:rPr>
            </w:pPr>
            <w:r w:rsidRPr="00402A31">
              <w:rPr>
                <w:rFonts w:cstheme="majorBidi"/>
              </w:rPr>
              <w:t xml:space="preserve">Coadunatus </w:t>
            </w:r>
          </w:p>
        </w:tc>
        <w:tc>
          <w:tcPr>
            <w:tcW w:w="2235" w:type="dxa"/>
          </w:tcPr>
          <w:p w14:paraId="1516EE20" w14:textId="77777777" w:rsidR="001B062D" w:rsidRPr="00402A31" w:rsidRDefault="001B062D" w:rsidP="00A61EEF">
            <w:pPr>
              <w:spacing w:line="360" w:lineRule="auto"/>
              <w:ind w:firstLine="0"/>
              <w:jc w:val="left"/>
              <w:rPr>
                <w:rFonts w:cstheme="majorBidi"/>
              </w:rPr>
            </w:pPr>
            <w:r w:rsidRPr="00402A31">
              <w:rPr>
                <w:rFonts w:cstheme="majorBidi"/>
              </w:rPr>
              <w:t>Societas</w:t>
            </w:r>
          </w:p>
        </w:tc>
        <w:tc>
          <w:tcPr>
            <w:tcW w:w="1832" w:type="dxa"/>
          </w:tcPr>
          <w:p w14:paraId="2BB9EBD0" w14:textId="77777777" w:rsidR="001B062D" w:rsidRPr="00402A31" w:rsidRDefault="001B062D" w:rsidP="00A61EEF">
            <w:pPr>
              <w:spacing w:line="360" w:lineRule="auto"/>
              <w:ind w:firstLine="0"/>
              <w:jc w:val="left"/>
              <w:rPr>
                <w:rFonts w:cstheme="majorBidi"/>
              </w:rPr>
            </w:pPr>
            <w:r w:rsidRPr="00402A31">
              <w:rPr>
                <w:rFonts w:cstheme="majorBidi"/>
              </w:rPr>
              <w:t>Coadunatio</w:t>
            </w:r>
          </w:p>
        </w:tc>
      </w:tr>
      <w:tr w:rsidR="001B062D" w:rsidRPr="00402A31" w14:paraId="789604A1" w14:textId="77777777" w:rsidTr="00C72EC1">
        <w:tc>
          <w:tcPr>
            <w:tcW w:w="2830" w:type="dxa"/>
          </w:tcPr>
          <w:p w14:paraId="6B14E5D8"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(2121) Althandhe</w:t>
            </w:r>
          </w:p>
        </w:tc>
        <w:tc>
          <w:tcPr>
            <w:tcW w:w="2119" w:type="dxa"/>
          </w:tcPr>
          <w:p w14:paraId="1BC27BF8" w14:textId="77777777" w:rsidR="001B062D" w:rsidRPr="00402A31" w:rsidRDefault="001B062D" w:rsidP="00A61EEF">
            <w:pPr>
              <w:spacing w:line="360" w:lineRule="auto"/>
              <w:ind w:firstLine="0"/>
              <w:jc w:val="left"/>
              <w:rPr>
                <w:rFonts w:cstheme="majorBidi"/>
              </w:rPr>
            </w:pPr>
            <w:r w:rsidRPr="00402A31">
              <w:rPr>
                <w:rFonts w:cstheme="majorBidi"/>
              </w:rPr>
              <w:t>Adquisitio</w:t>
            </w:r>
          </w:p>
        </w:tc>
        <w:tc>
          <w:tcPr>
            <w:tcW w:w="2235" w:type="dxa"/>
          </w:tcPr>
          <w:p w14:paraId="0F1A8D2C" w14:textId="77777777" w:rsidR="001B062D" w:rsidRPr="00402A31" w:rsidRDefault="001B062D" w:rsidP="00A61EEF">
            <w:pPr>
              <w:spacing w:line="360" w:lineRule="auto"/>
              <w:ind w:firstLine="0"/>
              <w:jc w:val="left"/>
              <w:rPr>
                <w:rFonts w:cstheme="majorBidi"/>
              </w:rPr>
            </w:pPr>
            <w:r w:rsidRPr="00402A31">
              <w:rPr>
                <w:rFonts w:cstheme="majorBidi"/>
              </w:rPr>
              <w:t>Adquisitio</w:t>
            </w:r>
          </w:p>
        </w:tc>
        <w:tc>
          <w:tcPr>
            <w:tcW w:w="1832" w:type="dxa"/>
          </w:tcPr>
          <w:p w14:paraId="08A68DAE" w14:textId="77777777" w:rsidR="001B062D" w:rsidRPr="00402A31" w:rsidRDefault="001B062D" w:rsidP="00A61EEF">
            <w:pPr>
              <w:spacing w:line="360" w:lineRule="auto"/>
              <w:ind w:firstLine="0"/>
              <w:jc w:val="left"/>
              <w:rPr>
                <w:rFonts w:cstheme="majorBidi"/>
              </w:rPr>
            </w:pPr>
            <w:r w:rsidRPr="00402A31">
              <w:rPr>
                <w:rFonts w:cstheme="majorBidi"/>
              </w:rPr>
              <w:t xml:space="preserve">Adquisitio </w:t>
            </w:r>
          </w:p>
        </w:tc>
      </w:tr>
      <w:tr w:rsidR="001B062D" w:rsidRPr="00402A31" w14:paraId="4BFC2AC4" w14:textId="77777777" w:rsidTr="00C72EC1">
        <w:tc>
          <w:tcPr>
            <w:tcW w:w="2830" w:type="dxa"/>
          </w:tcPr>
          <w:p w14:paraId="2E3C8C13"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(1212) Alveste</w:t>
            </w:r>
          </w:p>
        </w:tc>
        <w:tc>
          <w:tcPr>
            <w:tcW w:w="2119" w:type="dxa"/>
          </w:tcPr>
          <w:p w14:paraId="63D68AD8" w14:textId="77777777" w:rsidR="001B062D" w:rsidRPr="00402A31" w:rsidRDefault="001B062D" w:rsidP="00A61EEF">
            <w:pPr>
              <w:spacing w:line="360" w:lineRule="auto"/>
              <w:ind w:firstLine="0"/>
              <w:jc w:val="left"/>
              <w:rPr>
                <w:rFonts w:cstheme="majorBidi"/>
              </w:rPr>
            </w:pPr>
            <w:r w:rsidRPr="00402A31">
              <w:rPr>
                <w:rFonts w:cstheme="majorBidi"/>
              </w:rPr>
              <w:t xml:space="preserve">Amissio </w:t>
            </w:r>
          </w:p>
        </w:tc>
        <w:tc>
          <w:tcPr>
            <w:tcW w:w="2235" w:type="dxa"/>
          </w:tcPr>
          <w:p w14:paraId="3899676C" w14:textId="77777777" w:rsidR="001B062D" w:rsidRPr="00402A31" w:rsidRDefault="001B062D" w:rsidP="00A61EEF">
            <w:pPr>
              <w:spacing w:line="360" w:lineRule="auto"/>
              <w:ind w:firstLine="0"/>
              <w:jc w:val="left"/>
              <w:rPr>
                <w:rFonts w:cstheme="majorBidi"/>
              </w:rPr>
            </w:pPr>
            <w:r w:rsidRPr="00402A31">
              <w:rPr>
                <w:rFonts w:cstheme="majorBidi"/>
              </w:rPr>
              <w:t>Amissio</w:t>
            </w:r>
          </w:p>
        </w:tc>
        <w:tc>
          <w:tcPr>
            <w:tcW w:w="1832" w:type="dxa"/>
          </w:tcPr>
          <w:p w14:paraId="702163BD" w14:textId="77777777" w:rsidR="001B062D" w:rsidRPr="00402A31" w:rsidRDefault="001B062D" w:rsidP="00A61EEF">
            <w:pPr>
              <w:spacing w:line="360" w:lineRule="auto"/>
              <w:ind w:firstLine="0"/>
              <w:jc w:val="left"/>
              <w:rPr>
                <w:rFonts w:cstheme="majorBidi"/>
              </w:rPr>
            </w:pPr>
            <w:r w:rsidRPr="00402A31">
              <w:rPr>
                <w:rFonts w:cstheme="majorBidi"/>
              </w:rPr>
              <w:t xml:space="preserve">Amissio </w:t>
            </w:r>
          </w:p>
        </w:tc>
      </w:tr>
      <w:tr w:rsidR="001B062D" w:rsidRPr="00402A31" w14:paraId="6F9A2C6D" w14:textId="77777777" w:rsidTr="00C72EC1">
        <w:tc>
          <w:tcPr>
            <w:tcW w:w="2830" w:type="dxa"/>
          </w:tcPr>
          <w:p w14:paraId="24018AA1"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(2221) Almattati</w:t>
            </w:r>
          </w:p>
        </w:tc>
        <w:tc>
          <w:tcPr>
            <w:tcW w:w="2119" w:type="dxa"/>
          </w:tcPr>
          <w:p w14:paraId="6A300BC4" w14:textId="77777777" w:rsidR="001B062D" w:rsidRPr="00402A31" w:rsidRDefault="001B062D" w:rsidP="00A61EEF">
            <w:pPr>
              <w:spacing w:line="360" w:lineRule="auto"/>
              <w:ind w:firstLine="0"/>
              <w:jc w:val="left"/>
              <w:rPr>
                <w:rFonts w:cstheme="majorBidi"/>
              </w:rPr>
            </w:pPr>
            <w:r w:rsidRPr="00402A31">
              <w:rPr>
                <w:rFonts w:cstheme="majorBidi"/>
              </w:rPr>
              <w:t xml:space="preserve">Tristitia </w:t>
            </w:r>
          </w:p>
        </w:tc>
        <w:tc>
          <w:tcPr>
            <w:tcW w:w="2235" w:type="dxa"/>
          </w:tcPr>
          <w:p w14:paraId="504050C5" w14:textId="77777777" w:rsidR="001B062D" w:rsidRPr="00402A31" w:rsidRDefault="001B062D" w:rsidP="00A61EEF">
            <w:pPr>
              <w:spacing w:line="360" w:lineRule="auto"/>
              <w:ind w:firstLine="0"/>
              <w:jc w:val="left"/>
              <w:rPr>
                <w:rFonts w:cstheme="majorBidi"/>
              </w:rPr>
            </w:pPr>
            <w:r w:rsidRPr="00402A31">
              <w:rPr>
                <w:rFonts w:cstheme="majorBidi"/>
              </w:rPr>
              <w:t xml:space="preserve">Caput imum </w:t>
            </w:r>
          </w:p>
        </w:tc>
        <w:tc>
          <w:tcPr>
            <w:tcW w:w="1832" w:type="dxa"/>
          </w:tcPr>
          <w:p w14:paraId="4E6764FD" w14:textId="77777777" w:rsidR="001B062D" w:rsidRPr="00402A31" w:rsidRDefault="001B062D" w:rsidP="00A61EEF">
            <w:pPr>
              <w:spacing w:line="360" w:lineRule="auto"/>
              <w:ind w:firstLine="0"/>
              <w:jc w:val="left"/>
              <w:rPr>
                <w:rFonts w:cstheme="majorBidi"/>
              </w:rPr>
            </w:pPr>
            <w:r w:rsidRPr="00402A31">
              <w:rPr>
                <w:rFonts w:cstheme="majorBidi"/>
              </w:rPr>
              <w:t>Tristitia</w:t>
            </w:r>
          </w:p>
        </w:tc>
      </w:tr>
      <w:tr w:rsidR="001B062D" w:rsidRPr="00402A31" w14:paraId="51CDB456" w14:textId="77777777" w:rsidTr="00C72EC1">
        <w:tc>
          <w:tcPr>
            <w:tcW w:w="2830" w:type="dxa"/>
          </w:tcPr>
          <w:p w14:paraId="08A74EBB"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(2122) Almustarcam</w:t>
            </w:r>
          </w:p>
        </w:tc>
        <w:tc>
          <w:tcPr>
            <w:tcW w:w="2119" w:type="dxa"/>
          </w:tcPr>
          <w:p w14:paraId="15841C9A" w14:textId="77777777" w:rsidR="001B062D" w:rsidRPr="00402A31" w:rsidRDefault="001B062D" w:rsidP="00A61EEF">
            <w:pPr>
              <w:spacing w:line="360" w:lineRule="auto"/>
              <w:ind w:firstLine="0"/>
              <w:jc w:val="left"/>
              <w:rPr>
                <w:rFonts w:cstheme="majorBidi"/>
              </w:rPr>
            </w:pPr>
            <w:r w:rsidRPr="00402A31">
              <w:rPr>
                <w:rFonts w:cstheme="majorBidi"/>
              </w:rPr>
              <w:t xml:space="preserve">Rubeus </w:t>
            </w:r>
          </w:p>
        </w:tc>
        <w:tc>
          <w:tcPr>
            <w:tcW w:w="2235" w:type="dxa"/>
          </w:tcPr>
          <w:p w14:paraId="0849EA0F" w14:textId="77777777" w:rsidR="001B062D" w:rsidRPr="00402A31" w:rsidRDefault="001B062D" w:rsidP="00A61EEF">
            <w:pPr>
              <w:spacing w:line="360" w:lineRule="auto"/>
              <w:ind w:firstLine="0"/>
              <w:jc w:val="left"/>
              <w:rPr>
                <w:rFonts w:cstheme="majorBidi"/>
              </w:rPr>
            </w:pPr>
            <w:r w:rsidRPr="00402A31">
              <w:rPr>
                <w:rFonts w:cstheme="majorBidi"/>
              </w:rPr>
              <w:t xml:space="preserve">Rubeus </w:t>
            </w:r>
          </w:p>
        </w:tc>
        <w:tc>
          <w:tcPr>
            <w:tcW w:w="1832" w:type="dxa"/>
          </w:tcPr>
          <w:p w14:paraId="16A4F813" w14:textId="77777777" w:rsidR="001B062D" w:rsidRPr="00402A31" w:rsidRDefault="001B062D" w:rsidP="00A61EEF">
            <w:pPr>
              <w:spacing w:line="360" w:lineRule="auto"/>
              <w:ind w:firstLine="0"/>
              <w:jc w:val="left"/>
              <w:rPr>
                <w:rFonts w:cstheme="majorBidi"/>
              </w:rPr>
            </w:pPr>
            <w:r w:rsidRPr="00402A31">
              <w:rPr>
                <w:rFonts w:cstheme="majorBidi"/>
              </w:rPr>
              <w:t>Rubeus</w:t>
            </w:r>
          </w:p>
        </w:tc>
      </w:tr>
      <w:tr w:rsidR="001B062D" w:rsidRPr="00402A31" w14:paraId="357809E1" w14:textId="77777777" w:rsidTr="00C72EC1">
        <w:tc>
          <w:tcPr>
            <w:tcW w:w="2830" w:type="dxa"/>
          </w:tcPr>
          <w:p w14:paraId="5B8C335D"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(2212) Alleallonus Zahim</w:t>
            </w:r>
          </w:p>
        </w:tc>
        <w:tc>
          <w:tcPr>
            <w:tcW w:w="2119" w:type="dxa"/>
          </w:tcPr>
          <w:p w14:paraId="2C9B54BF" w14:textId="77777777" w:rsidR="001B062D" w:rsidRPr="00402A31" w:rsidRDefault="001B062D" w:rsidP="00A61EEF">
            <w:pPr>
              <w:spacing w:line="360" w:lineRule="auto"/>
              <w:ind w:firstLine="0"/>
              <w:jc w:val="left"/>
              <w:rPr>
                <w:rFonts w:cstheme="majorBidi"/>
              </w:rPr>
            </w:pPr>
            <w:r w:rsidRPr="00402A31">
              <w:rPr>
                <w:rFonts w:cstheme="majorBidi"/>
              </w:rPr>
              <w:t xml:space="preserve">Candidus </w:t>
            </w:r>
          </w:p>
        </w:tc>
        <w:tc>
          <w:tcPr>
            <w:tcW w:w="2235" w:type="dxa"/>
          </w:tcPr>
          <w:p w14:paraId="5E0EF4AF" w14:textId="77777777" w:rsidR="001B062D" w:rsidRPr="00402A31" w:rsidRDefault="001B062D" w:rsidP="00A61EEF">
            <w:pPr>
              <w:spacing w:line="360" w:lineRule="auto"/>
              <w:ind w:firstLine="0"/>
              <w:jc w:val="left"/>
              <w:rPr>
                <w:rFonts w:cstheme="majorBidi"/>
              </w:rPr>
            </w:pPr>
            <w:r w:rsidRPr="00402A31">
              <w:rPr>
                <w:rFonts w:cstheme="majorBidi"/>
              </w:rPr>
              <w:t xml:space="preserve">Candidus </w:t>
            </w:r>
          </w:p>
        </w:tc>
        <w:tc>
          <w:tcPr>
            <w:tcW w:w="1832" w:type="dxa"/>
          </w:tcPr>
          <w:p w14:paraId="7ECDBA7B" w14:textId="77777777" w:rsidR="001B062D" w:rsidRPr="00402A31" w:rsidRDefault="001B062D" w:rsidP="00A61EEF">
            <w:pPr>
              <w:spacing w:line="360" w:lineRule="auto"/>
              <w:ind w:firstLine="0"/>
              <w:jc w:val="left"/>
              <w:rPr>
                <w:rFonts w:cstheme="majorBidi"/>
              </w:rPr>
            </w:pPr>
            <w:r w:rsidRPr="00402A31">
              <w:rPr>
                <w:rFonts w:cstheme="majorBidi"/>
              </w:rPr>
              <w:t>Albus</w:t>
            </w:r>
          </w:p>
        </w:tc>
      </w:tr>
      <w:tr w:rsidR="001B062D" w:rsidRPr="00402A31" w14:paraId="31F5AF4D" w14:textId="77777777" w:rsidTr="00C72EC1">
        <w:tc>
          <w:tcPr>
            <w:tcW w:w="2830" w:type="dxa"/>
          </w:tcPr>
          <w:p w14:paraId="591FC6B1" w14:textId="77777777" w:rsidR="001B062D" w:rsidRPr="00402A31" w:rsidRDefault="001B062D" w:rsidP="001B062D">
            <w:pPr>
              <w:pStyle w:val="ListParagraph"/>
              <w:numPr>
                <w:ilvl w:val="0"/>
                <w:numId w:val="9"/>
              </w:numPr>
              <w:spacing w:line="360" w:lineRule="auto"/>
              <w:jc w:val="left"/>
              <w:rPr>
                <w:rFonts w:cstheme="majorBidi"/>
              </w:rPr>
            </w:pPr>
            <w:r w:rsidRPr="00402A31">
              <w:rPr>
                <w:rFonts w:cstheme="majorBidi"/>
              </w:rPr>
              <w:t>(2222) Algemaha</w:t>
            </w:r>
          </w:p>
        </w:tc>
        <w:tc>
          <w:tcPr>
            <w:tcW w:w="2119" w:type="dxa"/>
          </w:tcPr>
          <w:p w14:paraId="331658DB" w14:textId="77777777" w:rsidR="001B062D" w:rsidRPr="00402A31" w:rsidRDefault="001B062D" w:rsidP="00A61EEF">
            <w:pPr>
              <w:spacing w:line="360" w:lineRule="auto"/>
              <w:ind w:firstLine="0"/>
              <w:jc w:val="left"/>
              <w:rPr>
                <w:rFonts w:cstheme="majorBidi"/>
              </w:rPr>
            </w:pPr>
            <w:r w:rsidRPr="00402A31">
              <w:rPr>
                <w:rFonts w:cstheme="majorBidi"/>
              </w:rPr>
              <w:t xml:space="preserve">Populus </w:t>
            </w:r>
          </w:p>
        </w:tc>
        <w:tc>
          <w:tcPr>
            <w:tcW w:w="2235" w:type="dxa"/>
          </w:tcPr>
          <w:p w14:paraId="7B5B9A41" w14:textId="77777777" w:rsidR="001B062D" w:rsidRPr="00402A31" w:rsidRDefault="001B062D" w:rsidP="00A61EEF">
            <w:pPr>
              <w:spacing w:line="360" w:lineRule="auto"/>
              <w:ind w:firstLine="0"/>
              <w:jc w:val="left"/>
              <w:rPr>
                <w:rFonts w:cstheme="majorBidi"/>
              </w:rPr>
            </w:pPr>
            <w:r w:rsidRPr="00402A31">
              <w:rPr>
                <w:rFonts w:cstheme="majorBidi"/>
              </w:rPr>
              <w:t>Collectio</w:t>
            </w:r>
          </w:p>
        </w:tc>
        <w:tc>
          <w:tcPr>
            <w:tcW w:w="1832" w:type="dxa"/>
          </w:tcPr>
          <w:p w14:paraId="0439A182" w14:textId="77777777" w:rsidR="001B062D" w:rsidRPr="00402A31" w:rsidRDefault="001B062D" w:rsidP="00A61EEF">
            <w:pPr>
              <w:spacing w:line="360" w:lineRule="auto"/>
              <w:ind w:firstLine="0"/>
              <w:jc w:val="left"/>
              <w:rPr>
                <w:rFonts w:cstheme="majorBidi"/>
              </w:rPr>
            </w:pPr>
            <w:r w:rsidRPr="00402A31">
              <w:rPr>
                <w:rFonts w:cstheme="majorBidi"/>
              </w:rPr>
              <w:t xml:space="preserve">Populus </w:t>
            </w:r>
          </w:p>
        </w:tc>
      </w:tr>
    </w:tbl>
    <w:p w14:paraId="18B63D81" w14:textId="14BBF100" w:rsidR="001B062D" w:rsidRDefault="001B062D" w:rsidP="00244FB6">
      <w:pPr>
        <w:ind w:firstLine="0"/>
      </w:pPr>
    </w:p>
    <w:p w14:paraId="357D7F6E" w14:textId="4759EA4F" w:rsidR="00244FB6" w:rsidRPr="00402A31" w:rsidRDefault="00244FB6" w:rsidP="00244FB6">
      <w:pPr>
        <w:ind w:firstLine="0"/>
      </w:pPr>
      <w:r>
        <w:tab/>
        <w:t xml:space="preserve">Secondly, while the high level of intertextuality in geomantic anthologies often makes it difficult to trace relationships between texts, a close correspondence can be traced between the </w:t>
      </w:r>
      <w:r w:rsidRPr="005C036C">
        <w:rPr>
          <w:i/>
          <w:iCs/>
        </w:rPr>
        <w:t>Liber arenalis scientiae</w:t>
      </w:r>
      <w:r>
        <w:t xml:space="preserve"> and </w:t>
      </w:r>
      <w:r w:rsidRPr="005C036C">
        <w:t xml:space="preserve">the </w:t>
      </w:r>
      <w:r>
        <w:t xml:space="preserve">anonymous geomantic </w:t>
      </w:r>
      <w:r w:rsidRPr="005C036C">
        <w:t xml:space="preserve">text </w:t>
      </w:r>
      <w:r w:rsidR="0045374D">
        <w:t xml:space="preserve">starting </w:t>
      </w:r>
      <w:r w:rsidRPr="005C036C">
        <w:t xml:space="preserve">from </w:t>
      </w:r>
      <w:r>
        <w:t xml:space="preserve">the </w:t>
      </w:r>
      <w:r w:rsidRPr="005C036C">
        <w:t xml:space="preserve">incipit </w:t>
      </w:r>
      <w:r w:rsidRPr="005C036C">
        <w:rPr>
          <w:i/>
          <w:iCs/>
        </w:rPr>
        <w:lastRenderedPageBreak/>
        <w:t>Notandum est quod letitia</w:t>
      </w:r>
      <w:r w:rsidRPr="005C036C">
        <w:t>, found uniquely in the manuscript Oxford, Bodleian Library, Digby 50</w:t>
      </w:r>
      <w:r w:rsidRPr="006A6AF6">
        <w:t xml:space="preserve"> </w:t>
      </w:r>
      <w:r w:rsidRPr="00402A31">
        <w:t>ff. 93r-106r</w:t>
      </w:r>
      <w:r w:rsidRPr="005C036C">
        <w:t xml:space="preserve">, where it follows a copy of the </w:t>
      </w:r>
      <w:r w:rsidRPr="005C036C">
        <w:rPr>
          <w:i/>
          <w:iCs/>
        </w:rPr>
        <w:t>Ars geomantiae</w:t>
      </w:r>
      <w:r w:rsidRPr="005C036C">
        <w:t xml:space="preserve"> by Hugo Sanctelliensis</w:t>
      </w:r>
      <w:r>
        <w:t>. This text certainly informs</w:t>
      </w:r>
      <w:r w:rsidRPr="005C036C">
        <w:t xml:space="preserve"> the </w:t>
      </w:r>
      <w:r w:rsidRPr="005C036C">
        <w:rPr>
          <w:i/>
          <w:iCs/>
        </w:rPr>
        <w:t>Liber arenalis scientiae</w:t>
      </w:r>
      <w:r>
        <w:t xml:space="preserve">, in particular its last chapter, where a strict resemblance can be observed in several passages of the two texts, including the fact that the </w:t>
      </w:r>
      <w:r w:rsidR="00F852BB">
        <w:t>last paragraph</w:t>
      </w:r>
      <w:r>
        <w:t xml:space="preserve"> of the </w:t>
      </w:r>
      <w:r w:rsidRPr="006700EC">
        <w:rPr>
          <w:i/>
          <w:iCs/>
        </w:rPr>
        <w:t>Liber arenalis scientiae</w:t>
      </w:r>
      <w:r>
        <w:t xml:space="preserve"> corresponds with the incipit of the </w:t>
      </w:r>
      <w:r w:rsidRPr="006700EC">
        <w:rPr>
          <w:i/>
          <w:iCs/>
        </w:rPr>
        <w:t>Notandum est</w:t>
      </w:r>
      <w:r>
        <w:t xml:space="preserve">. Nevertheless, as the following analysis demonstrates, the compiler of the </w:t>
      </w:r>
      <w:r w:rsidRPr="006700EC">
        <w:rPr>
          <w:i/>
          <w:iCs/>
        </w:rPr>
        <w:t>Liber arenalis scientiae</w:t>
      </w:r>
      <w:r>
        <w:t xml:space="preserve"> did not merely copy the text of the </w:t>
      </w:r>
      <w:r w:rsidRPr="00E3162D">
        <w:rPr>
          <w:i/>
          <w:iCs/>
        </w:rPr>
        <w:t>Notandum est</w:t>
      </w:r>
      <w:r>
        <w:t xml:space="preserve">, but rather re-elaborated it in different places. </w:t>
      </w:r>
      <w:r w:rsidRPr="00402A31">
        <w:t>Digby 50 is an Italian manuscript, written on parchment at the end of the twelfth century – Macray dates it either to the beginning of the thirteenth century or the end of the twelfth; according to Charmasson the manuscript is dated to the end of the twelfth.</w:t>
      </w:r>
      <w:r w:rsidRPr="00402A31">
        <w:rPr>
          <w:rStyle w:val="FootnoteReference"/>
        </w:rPr>
        <w:footnoteReference w:id="181"/>
      </w:r>
      <w:r w:rsidRPr="00402A31">
        <w:t xml:space="preserve"> It is a quarto manuscript, containing IV+110 leaves, extensively re-foliated. It contains alternate red and gold capital letters, with the gold ones being very faded. On fol. IV, although almost completely faded, can be read ‘</w:t>
      </w:r>
      <w:r w:rsidRPr="00402A31">
        <w:rPr>
          <w:i/>
          <w:iCs/>
        </w:rPr>
        <w:t>Florentiae November 1620 Kenelme Digby</w:t>
      </w:r>
      <w:r w:rsidRPr="00402A31">
        <w:t>’ and on fol. 1 in the upper margin there are Digby’s motto and name. On both the front and back flyleaves of the manuscripts, there are geomantic tables made for predictions of the years 1489-92. Charmasson has briefly considered this text in her</w:t>
      </w:r>
      <w:r w:rsidR="00C158AE">
        <w:t xml:space="preserve"> monography </w:t>
      </w:r>
      <w:r w:rsidRPr="00C158AE">
        <w:rPr>
          <w:i/>
          <w:iCs/>
        </w:rPr>
        <w:t>Recherches</w:t>
      </w:r>
      <w:r w:rsidR="00C158AE" w:rsidRPr="00C158AE">
        <w:rPr>
          <w:i/>
          <w:iCs/>
        </w:rPr>
        <w:t xml:space="preserve"> sur une technique divinatoire</w:t>
      </w:r>
      <w:r w:rsidRPr="00402A31">
        <w:t xml:space="preserve">, and Charles Burnett has written about the use in the </w:t>
      </w:r>
      <w:r w:rsidRPr="00402A31">
        <w:rPr>
          <w:i/>
          <w:iCs/>
        </w:rPr>
        <w:t xml:space="preserve">Notandum est </w:t>
      </w:r>
      <w:r w:rsidRPr="00402A31">
        <w:t>of Indian numerals. The use that the copyist makes of this system of numerals constitutes a case in which Indian numerals precede Roman ones in the transmission of a text.</w:t>
      </w:r>
      <w:r w:rsidRPr="00402A31">
        <w:rPr>
          <w:rStyle w:val="FootnoteReference"/>
        </w:rPr>
        <w:footnoteReference w:id="182"/>
      </w:r>
      <w:r w:rsidRPr="00402A31">
        <w:t xml:space="preserve"> </w:t>
      </w:r>
    </w:p>
    <w:p w14:paraId="2871BBC2" w14:textId="48B1DB6B" w:rsidR="00244FB6" w:rsidRDefault="00244FB6" w:rsidP="0002087D">
      <w:pPr>
        <w:ind w:firstLine="0"/>
      </w:pPr>
      <w:r>
        <w:tab/>
        <w:t xml:space="preserve">A first correspondence between these two texts is found in the chapter titled </w:t>
      </w:r>
      <w:r w:rsidRPr="00515E9E">
        <w:rPr>
          <w:i/>
          <w:iCs/>
        </w:rPr>
        <w:t>De generali modo inquirendi intentionem</w:t>
      </w:r>
      <w:r w:rsidRPr="00515E9E">
        <w:t xml:space="preserve"> </w:t>
      </w:r>
      <w:r>
        <w:t xml:space="preserve">of the </w:t>
      </w:r>
      <w:r w:rsidRPr="007C068D">
        <w:rPr>
          <w:i/>
          <w:iCs/>
        </w:rPr>
        <w:t>Liber arenalis scientiae</w:t>
      </w:r>
      <w:r>
        <w:t>, discussing</w:t>
      </w:r>
      <w:r w:rsidRPr="00402A31">
        <w:t xml:space="preserve"> the figures </w:t>
      </w:r>
      <w:r w:rsidRPr="00402A31">
        <w:lastRenderedPageBreak/>
        <w:t>of the witnesses and the judge,</w:t>
      </w:r>
      <w:r>
        <w:t xml:space="preserve"> where the text</w:t>
      </w:r>
      <w:r w:rsidRPr="00402A31">
        <w:t xml:space="preserve"> compare</w:t>
      </w:r>
      <w:r>
        <w:t>s them</w:t>
      </w:r>
      <w:r w:rsidRPr="00402A31">
        <w:t xml:space="preserve"> to astral configurations and where their meaning is linked to past and future things. Moreover, introduced here is the discussion on the various methods of geomantic judgement, that vary according to the figures taken into consideration</w:t>
      </w:r>
      <w:r>
        <w:t xml:space="preserve"> (corresponding passages are highlighted in </w:t>
      </w:r>
      <w:r w:rsidRPr="00250260">
        <w:rPr>
          <w:b/>
          <w:bCs/>
        </w:rPr>
        <w:t>bold</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244FB6" w:rsidRPr="00402A31" w14:paraId="6F569DEC" w14:textId="77777777" w:rsidTr="00A61EEF">
        <w:tc>
          <w:tcPr>
            <w:tcW w:w="4247" w:type="dxa"/>
          </w:tcPr>
          <w:p w14:paraId="2E3CDBB1" w14:textId="77777777" w:rsidR="00244FB6" w:rsidRPr="003C3C87" w:rsidRDefault="00244FB6" w:rsidP="00A61EEF">
            <w:pPr>
              <w:spacing w:line="480" w:lineRule="auto"/>
              <w:ind w:right="567" w:firstLine="0"/>
              <w:jc w:val="center"/>
              <w:rPr>
                <w:rFonts w:cstheme="majorBidi"/>
                <w:i/>
                <w:iCs/>
                <w:sz w:val="20"/>
                <w:szCs w:val="20"/>
              </w:rPr>
            </w:pPr>
            <w:r w:rsidRPr="003C3C87">
              <w:rPr>
                <w:rFonts w:cstheme="majorBidi"/>
                <w:i/>
                <w:iCs/>
                <w:sz w:val="20"/>
                <w:szCs w:val="20"/>
              </w:rPr>
              <w:t>Liber arenalis scientiae</w:t>
            </w:r>
          </w:p>
        </w:tc>
        <w:tc>
          <w:tcPr>
            <w:tcW w:w="4247" w:type="dxa"/>
          </w:tcPr>
          <w:p w14:paraId="6FC4E373" w14:textId="77777777" w:rsidR="00244FB6" w:rsidRPr="003C3C87" w:rsidRDefault="00244FB6" w:rsidP="00A61EEF">
            <w:pPr>
              <w:spacing w:line="480" w:lineRule="auto"/>
              <w:ind w:right="567" w:firstLine="0"/>
              <w:jc w:val="center"/>
              <w:rPr>
                <w:rFonts w:cstheme="majorBidi"/>
                <w:i/>
                <w:iCs/>
                <w:sz w:val="20"/>
                <w:szCs w:val="20"/>
                <w:lang w:val="fr-FR"/>
              </w:rPr>
            </w:pPr>
            <w:r w:rsidRPr="003C3C87">
              <w:rPr>
                <w:rFonts w:cstheme="majorBidi"/>
                <w:i/>
                <w:iCs/>
                <w:sz w:val="20"/>
                <w:szCs w:val="20"/>
                <w:lang w:val="fr-FR"/>
              </w:rPr>
              <w:t>Notandum est quod letitia</w:t>
            </w:r>
          </w:p>
        </w:tc>
      </w:tr>
      <w:tr w:rsidR="00244FB6" w:rsidRPr="00402A31" w14:paraId="15F8899C" w14:textId="77777777" w:rsidTr="001E0265">
        <w:trPr>
          <w:trHeight w:val="1843"/>
        </w:trPr>
        <w:tc>
          <w:tcPr>
            <w:tcW w:w="4247" w:type="dxa"/>
          </w:tcPr>
          <w:p w14:paraId="280AE77D" w14:textId="12FB7DC5" w:rsidR="00244FB6" w:rsidRPr="003C3C87" w:rsidRDefault="009666D7" w:rsidP="00A14775">
            <w:pPr>
              <w:ind w:left="567" w:right="567" w:firstLine="0"/>
              <w:rPr>
                <w:rFonts w:cstheme="majorBidi"/>
                <w:sz w:val="20"/>
                <w:szCs w:val="20"/>
              </w:rPr>
            </w:pPr>
            <w:r>
              <w:rPr>
                <w:rFonts w:cstheme="majorBidi"/>
                <w:sz w:val="20"/>
                <w:szCs w:val="20"/>
              </w:rPr>
              <w:t>/</w:t>
            </w:r>
            <w:r w:rsidR="00244FB6" w:rsidRPr="003C3C87">
              <w:rPr>
                <w:rFonts w:cstheme="majorBidi"/>
                <w:sz w:val="20"/>
                <w:szCs w:val="20"/>
              </w:rPr>
              <w:t>123r</w:t>
            </w:r>
            <w:r>
              <w:rPr>
                <w:rFonts w:cstheme="majorBidi"/>
                <w:sz w:val="20"/>
                <w:szCs w:val="20"/>
              </w:rPr>
              <w:t>/</w:t>
            </w:r>
            <w:r w:rsidR="004E2104">
              <w:rPr>
                <w:rFonts w:cstheme="majorBidi"/>
                <w:sz w:val="20"/>
                <w:szCs w:val="20"/>
              </w:rPr>
              <w:t xml:space="preserve"> </w:t>
            </w:r>
            <w:r w:rsidR="004E2104" w:rsidRPr="003C3C87">
              <w:rPr>
                <w:rFonts w:cstheme="majorBidi"/>
                <w:sz w:val="20"/>
                <w:szCs w:val="20"/>
              </w:rPr>
              <w:t xml:space="preserve">Figure vero tres postreme, XIII, XIIII et XV, diligenter in omni iudicio sunt intuende. Due enim istarum prime vocantur testes duodecim domorum et rei quesite, et precipue XIII, que est testimonium in numero omnium, simile planete a cuius coniunctione vel respectu luna separatur. </w:t>
            </w:r>
            <w:r w:rsidR="004E2104" w:rsidRPr="0024144B">
              <w:rPr>
                <w:sz w:val="20"/>
                <w:szCs w:val="20"/>
              </w:rPr>
              <w:t>Innuit</w:t>
            </w:r>
            <w:r w:rsidR="004E2104" w:rsidRPr="003C3C87">
              <w:rPr>
                <w:rFonts w:cstheme="majorBidi"/>
                <w:b/>
                <w:bCs/>
                <w:sz w:val="20"/>
                <w:szCs w:val="20"/>
              </w:rPr>
              <w:t xml:space="preserve"> super radicem cogitationum et </w:t>
            </w:r>
            <w:r w:rsidR="004E2104" w:rsidRPr="0024144B">
              <w:rPr>
                <w:sz w:val="20"/>
                <w:szCs w:val="20"/>
              </w:rPr>
              <w:t xml:space="preserve">significat </w:t>
            </w:r>
            <w:r w:rsidR="004E2104" w:rsidRPr="003C3C87">
              <w:rPr>
                <w:rFonts w:cstheme="majorBidi"/>
                <w:b/>
                <w:bCs/>
                <w:sz w:val="20"/>
                <w:szCs w:val="20"/>
              </w:rPr>
              <w:t xml:space="preserve">res preteritas. XIIII </w:t>
            </w:r>
            <w:r w:rsidR="004E2104" w:rsidRPr="0024144B">
              <w:rPr>
                <w:sz w:val="20"/>
                <w:szCs w:val="20"/>
              </w:rPr>
              <w:t>vero</w:t>
            </w:r>
            <w:r w:rsidR="004E2104" w:rsidRPr="003C3C87">
              <w:rPr>
                <w:rFonts w:cstheme="majorBidi"/>
                <w:b/>
                <w:bCs/>
                <w:sz w:val="20"/>
                <w:szCs w:val="20"/>
              </w:rPr>
              <w:t xml:space="preserve"> similis est planete ad cuius coniunctionem vel aspectum luna vadit. </w:t>
            </w:r>
            <w:r w:rsidR="004E2104" w:rsidRPr="0024144B">
              <w:rPr>
                <w:sz w:val="20"/>
                <w:szCs w:val="20"/>
              </w:rPr>
              <w:t xml:space="preserve">Hec autem innuit </w:t>
            </w:r>
            <w:r w:rsidR="004E2104" w:rsidRPr="003C3C87">
              <w:rPr>
                <w:rFonts w:cstheme="majorBidi"/>
                <w:b/>
                <w:bCs/>
                <w:sz w:val="20"/>
                <w:szCs w:val="20"/>
              </w:rPr>
              <w:t xml:space="preserve">super res futuras. Quintadecima radix est totius sortis, et certificatio interrogationis </w:t>
            </w:r>
            <w:r w:rsidR="004E2104" w:rsidRPr="0024144B">
              <w:rPr>
                <w:sz w:val="20"/>
                <w:szCs w:val="20"/>
              </w:rPr>
              <w:t>secundum XII domos, ut in</w:t>
            </w:r>
            <w:r w:rsidR="004E2104" w:rsidRPr="003C3C87">
              <w:rPr>
                <w:rFonts w:cstheme="majorBidi"/>
                <w:b/>
                <w:bCs/>
                <w:sz w:val="20"/>
                <w:szCs w:val="20"/>
              </w:rPr>
              <w:t xml:space="preserve"> astronomia peritorum huius artis quidam iudicant secundum primam et </w:t>
            </w:r>
            <w:r w:rsidR="004E2104" w:rsidRPr="0024144B">
              <w:rPr>
                <w:sz w:val="20"/>
                <w:szCs w:val="20"/>
              </w:rPr>
              <w:t>V</w:t>
            </w:r>
            <w:r w:rsidR="004E2104" w:rsidRPr="003C3C87">
              <w:rPr>
                <w:rFonts w:cstheme="majorBidi"/>
                <w:b/>
                <w:bCs/>
                <w:sz w:val="20"/>
                <w:szCs w:val="20"/>
              </w:rPr>
              <w:t xml:space="preserve">, quoniam </w:t>
            </w:r>
            <w:r w:rsidR="004E2104" w:rsidRPr="0024144B">
              <w:rPr>
                <w:sz w:val="20"/>
                <w:szCs w:val="20"/>
              </w:rPr>
              <w:t>hec est</w:t>
            </w:r>
            <w:r w:rsidR="004E2104" w:rsidRPr="003C3C87">
              <w:rPr>
                <w:rFonts w:cstheme="majorBidi"/>
                <w:b/>
                <w:bCs/>
                <w:sz w:val="20"/>
                <w:szCs w:val="20"/>
              </w:rPr>
              <w:t xml:space="preserve"> prima matrum</w:t>
            </w:r>
            <w:r w:rsidR="004E2104">
              <w:rPr>
                <w:rFonts w:cstheme="majorBidi"/>
                <w:b/>
                <w:bCs/>
                <w:sz w:val="20"/>
                <w:szCs w:val="20"/>
              </w:rPr>
              <w:t>,</w:t>
            </w:r>
            <w:r w:rsidR="004E2104" w:rsidRPr="003C3C87">
              <w:rPr>
                <w:rFonts w:cstheme="majorBidi"/>
                <w:b/>
                <w:bCs/>
                <w:sz w:val="20"/>
                <w:szCs w:val="20"/>
              </w:rPr>
              <w:t xml:space="preserve"> illa prima filiarum.</w:t>
            </w:r>
            <w:r w:rsidR="004E2104" w:rsidRPr="003C3C87">
              <w:rPr>
                <w:rFonts w:cstheme="majorBidi"/>
                <w:sz w:val="20"/>
                <w:szCs w:val="20"/>
              </w:rPr>
              <w:t xml:space="preserve"> </w:t>
            </w:r>
            <w:r w:rsidR="004E2104" w:rsidRPr="003C3C87">
              <w:rPr>
                <w:rFonts w:cstheme="majorBidi"/>
                <w:b/>
                <w:bCs/>
                <w:sz w:val="20"/>
                <w:szCs w:val="20"/>
              </w:rPr>
              <w:t xml:space="preserve">Alii iudicant secundum primam et IIII, quoniam prima est causa initii, </w:t>
            </w:r>
            <w:r w:rsidR="004E2104" w:rsidRPr="0024144B">
              <w:rPr>
                <w:sz w:val="20"/>
                <w:szCs w:val="20"/>
              </w:rPr>
              <w:t>alia</w:t>
            </w:r>
            <w:r w:rsidR="004E2104" w:rsidRPr="003C3C87">
              <w:rPr>
                <w:rFonts w:cstheme="majorBidi"/>
                <w:b/>
                <w:bCs/>
                <w:sz w:val="20"/>
                <w:szCs w:val="20"/>
              </w:rPr>
              <w:t xml:space="preserve"> finis</w:t>
            </w:r>
            <w:r w:rsidR="004E2104" w:rsidRPr="003C3C87">
              <w:rPr>
                <w:rFonts w:cstheme="majorBidi"/>
                <w:sz w:val="20"/>
                <w:szCs w:val="20"/>
              </w:rPr>
              <w:t xml:space="preserve">. </w:t>
            </w:r>
            <w:r w:rsidR="004E2104" w:rsidRPr="003C3C87">
              <w:rPr>
                <w:rFonts w:cstheme="majorBidi"/>
                <w:b/>
                <w:bCs/>
                <w:sz w:val="20"/>
                <w:szCs w:val="20"/>
              </w:rPr>
              <w:t xml:space="preserve">Alii iudicant secundum prima&lt;m&gt;, </w:t>
            </w:r>
            <w:r w:rsidR="004E2104" w:rsidRPr="0024144B">
              <w:rPr>
                <w:sz w:val="20"/>
                <w:szCs w:val="20"/>
              </w:rPr>
              <w:t>quia</w:t>
            </w:r>
            <w:r w:rsidR="004E2104" w:rsidRPr="003C3C87">
              <w:rPr>
                <w:rFonts w:cstheme="majorBidi"/>
                <w:b/>
                <w:bCs/>
                <w:sz w:val="20"/>
                <w:szCs w:val="20"/>
              </w:rPr>
              <w:t xml:space="preserve"> est causa initii, et XV, </w:t>
            </w:r>
            <w:r w:rsidR="004E2104" w:rsidRPr="0024144B">
              <w:rPr>
                <w:sz w:val="20"/>
                <w:szCs w:val="20"/>
              </w:rPr>
              <w:t>que</w:t>
            </w:r>
            <w:r w:rsidR="004E2104" w:rsidRPr="003C3C87">
              <w:rPr>
                <w:rFonts w:cstheme="majorBidi"/>
                <w:b/>
                <w:bCs/>
                <w:sz w:val="20"/>
                <w:szCs w:val="20"/>
              </w:rPr>
              <w:t xml:space="preserve"> est radix </w:t>
            </w:r>
            <w:r w:rsidR="004E2104" w:rsidRPr="0024144B">
              <w:rPr>
                <w:sz w:val="20"/>
                <w:szCs w:val="20"/>
              </w:rPr>
              <w:t>totius</w:t>
            </w:r>
            <w:r w:rsidR="004E2104" w:rsidRPr="003C3C87">
              <w:rPr>
                <w:rFonts w:cstheme="majorBidi"/>
                <w:b/>
                <w:bCs/>
                <w:sz w:val="20"/>
                <w:szCs w:val="20"/>
              </w:rPr>
              <w:t xml:space="preserve"> sortis</w:t>
            </w:r>
            <w:r w:rsidR="004E2104" w:rsidRPr="003C3C87">
              <w:rPr>
                <w:rFonts w:cstheme="majorBidi"/>
                <w:sz w:val="20"/>
                <w:szCs w:val="20"/>
              </w:rPr>
              <w:t xml:space="preserve">. Verum tantum  </w:t>
            </w:r>
            <w:r w:rsidR="004E2104" w:rsidRPr="0024144B">
              <w:rPr>
                <w:b/>
                <w:bCs/>
                <w:sz w:val="20"/>
                <w:szCs w:val="20"/>
              </w:rPr>
              <w:t>iudicium</w:t>
            </w:r>
            <w:r w:rsidR="004E2104" w:rsidRPr="003C3C87">
              <w:rPr>
                <w:rFonts w:cstheme="majorBidi"/>
                <w:sz w:val="20"/>
                <w:szCs w:val="20"/>
              </w:rPr>
              <w:t xml:space="preserve"> </w:t>
            </w:r>
            <w:r w:rsidR="004E2104" w:rsidRPr="003C3C87">
              <w:rPr>
                <w:rFonts w:cstheme="majorBidi"/>
                <w:b/>
                <w:bCs/>
                <w:sz w:val="20"/>
                <w:szCs w:val="20"/>
              </w:rPr>
              <w:t xml:space="preserve">procedet si inspiciatur quotiens </w:t>
            </w:r>
            <w:r w:rsidR="004E2104">
              <w:rPr>
                <w:rFonts w:cstheme="majorBidi"/>
                <w:b/>
                <w:bCs/>
                <w:sz w:val="20"/>
                <w:szCs w:val="20"/>
              </w:rPr>
              <w:t xml:space="preserve">&lt;prima&gt; </w:t>
            </w:r>
            <w:r w:rsidR="004E2104" w:rsidRPr="003C3C87">
              <w:rPr>
                <w:rFonts w:cstheme="majorBidi"/>
                <w:b/>
                <w:bCs/>
                <w:sz w:val="20"/>
                <w:szCs w:val="20"/>
              </w:rPr>
              <w:t>figura occurrerit, et inspiciantur II testes et finis et secundam ipsas iudicetur,</w:t>
            </w:r>
            <w:r w:rsidR="004E2104" w:rsidRPr="003C3C87">
              <w:rPr>
                <w:rFonts w:cstheme="majorBidi"/>
                <w:sz w:val="20"/>
                <w:szCs w:val="20"/>
              </w:rPr>
              <w:t xml:space="preserve"> quoniam sicut prediximus, XVI figurarum varietates ex punctis et rigis provenire contingunt, verissimum quod sumitur ex domo rei, consideratis pluries contingentibus et ex II testibus et iudice.</w:t>
            </w:r>
          </w:p>
        </w:tc>
        <w:tc>
          <w:tcPr>
            <w:tcW w:w="4247" w:type="dxa"/>
          </w:tcPr>
          <w:p w14:paraId="455F7D2D" w14:textId="1861DA47" w:rsidR="00244FB6" w:rsidRPr="003C3C87" w:rsidRDefault="003B41BA" w:rsidP="00A61EEF">
            <w:pPr>
              <w:ind w:left="567" w:right="567" w:firstLine="0"/>
              <w:rPr>
                <w:rFonts w:cstheme="majorBidi"/>
                <w:b/>
                <w:bCs/>
                <w:sz w:val="20"/>
                <w:szCs w:val="20"/>
                <w:lang w:val="pt-PT"/>
              </w:rPr>
            </w:pPr>
            <w:r>
              <w:rPr>
                <w:rFonts w:cstheme="majorBidi"/>
                <w:sz w:val="20"/>
                <w:szCs w:val="20"/>
              </w:rPr>
              <w:t>/</w:t>
            </w:r>
            <w:r w:rsidR="00244FB6" w:rsidRPr="003C3C87">
              <w:rPr>
                <w:rFonts w:cstheme="majorBidi"/>
                <w:sz w:val="20"/>
                <w:szCs w:val="20"/>
              </w:rPr>
              <w:t>98v</w:t>
            </w:r>
            <w:r>
              <w:rPr>
                <w:rFonts w:cstheme="majorBidi"/>
                <w:sz w:val="20"/>
                <w:szCs w:val="20"/>
              </w:rPr>
              <w:t>/</w:t>
            </w:r>
            <w:r w:rsidR="00244FB6" w:rsidRPr="003C3C87">
              <w:rPr>
                <w:rFonts w:cstheme="majorBidi"/>
                <w:sz w:val="20"/>
                <w:szCs w:val="20"/>
              </w:rPr>
              <w:t xml:space="preserve"> </w:t>
            </w:r>
            <w:r w:rsidR="00C319CD" w:rsidRPr="003C3C87">
              <w:rPr>
                <w:rFonts w:cstheme="majorBidi"/>
                <w:sz w:val="20"/>
                <w:szCs w:val="20"/>
              </w:rPr>
              <w:t>Prima harum que est 12 (</w:t>
            </w:r>
            <w:r w:rsidR="00C319CD" w:rsidRPr="003C3C87">
              <w:rPr>
                <w:rFonts w:cstheme="majorBidi"/>
                <w:i/>
                <w:iCs/>
                <w:sz w:val="20"/>
                <w:szCs w:val="20"/>
              </w:rPr>
              <w:t>recte:</w:t>
            </w:r>
            <w:r w:rsidR="00C319CD" w:rsidRPr="003C3C87">
              <w:rPr>
                <w:rFonts w:cstheme="majorBidi"/>
                <w:sz w:val="20"/>
                <w:szCs w:val="20"/>
              </w:rPr>
              <w:t xml:space="preserve"> 13) in numero omnium testimonium </w:t>
            </w:r>
            <w:r w:rsidR="00C319CD" w:rsidRPr="0024144B">
              <w:rPr>
                <w:sz w:val="20"/>
                <w:szCs w:val="20"/>
              </w:rPr>
              <w:t>ostendit</w:t>
            </w:r>
            <w:r w:rsidR="00C319CD" w:rsidRPr="003C3C87">
              <w:rPr>
                <w:rFonts w:cstheme="majorBidi"/>
                <w:b/>
                <w:bCs/>
                <w:sz w:val="20"/>
                <w:szCs w:val="20"/>
              </w:rPr>
              <w:t xml:space="preserve"> super radicem cognitionum et super res preteritas, </w:t>
            </w:r>
            <w:r w:rsidR="00C319CD" w:rsidRPr="0024144B">
              <w:rPr>
                <w:sz w:val="20"/>
                <w:szCs w:val="20"/>
              </w:rPr>
              <w:t>et casa harum secunda que est</w:t>
            </w:r>
            <w:r w:rsidR="00C319CD" w:rsidRPr="003C3C87">
              <w:rPr>
                <w:rFonts w:cstheme="majorBidi"/>
                <w:b/>
                <w:bCs/>
                <w:sz w:val="20"/>
                <w:szCs w:val="20"/>
              </w:rPr>
              <w:t xml:space="preserve"> 14 </w:t>
            </w:r>
            <w:r w:rsidR="00C319CD">
              <w:rPr>
                <w:rFonts w:cstheme="majorBidi"/>
                <w:b/>
                <w:bCs/>
                <w:sz w:val="20"/>
                <w:szCs w:val="20"/>
              </w:rPr>
              <w:t>s</w:t>
            </w:r>
            <w:r w:rsidR="00C319CD" w:rsidRPr="003C3C87">
              <w:rPr>
                <w:rFonts w:cstheme="majorBidi"/>
                <w:b/>
                <w:bCs/>
                <w:sz w:val="20"/>
                <w:szCs w:val="20"/>
              </w:rPr>
              <w:t>imili</w:t>
            </w:r>
            <w:r w:rsidR="00C319CD">
              <w:rPr>
                <w:rFonts w:cstheme="majorBidi"/>
                <w:b/>
                <w:bCs/>
                <w:sz w:val="20"/>
                <w:szCs w:val="20"/>
              </w:rPr>
              <w:t>&lt;s&gt;</w:t>
            </w:r>
            <w:r w:rsidR="00C319CD" w:rsidRPr="003C3C87">
              <w:rPr>
                <w:rFonts w:cstheme="majorBidi"/>
                <w:b/>
                <w:bCs/>
                <w:sz w:val="20"/>
                <w:szCs w:val="20"/>
              </w:rPr>
              <w:t xml:space="preserve"> est planete ad</w:t>
            </w:r>
            <w:r w:rsidR="00C319CD">
              <w:rPr>
                <w:rFonts w:cstheme="majorBidi"/>
                <w:b/>
                <w:bCs/>
                <w:sz w:val="20"/>
                <w:szCs w:val="20"/>
              </w:rPr>
              <w:t xml:space="preserve"> </w:t>
            </w:r>
            <w:r w:rsidR="00C319CD" w:rsidRPr="003C3C87">
              <w:rPr>
                <w:rFonts w:cstheme="majorBidi"/>
                <w:b/>
                <w:bCs/>
                <w:sz w:val="20"/>
                <w:szCs w:val="20"/>
              </w:rPr>
              <w:t>iunctionem cuius vel aspectum luna vadit</w:t>
            </w:r>
            <w:r w:rsidR="00C319CD" w:rsidRPr="0024144B">
              <w:rPr>
                <w:sz w:val="20"/>
                <w:szCs w:val="20"/>
              </w:rPr>
              <w:t xml:space="preserve">. Et hostendit </w:t>
            </w:r>
            <w:r w:rsidR="00C319CD" w:rsidRPr="003C3C87">
              <w:rPr>
                <w:rFonts w:cstheme="majorBidi"/>
                <w:b/>
                <w:bCs/>
                <w:sz w:val="20"/>
                <w:szCs w:val="20"/>
              </w:rPr>
              <w:t xml:space="preserve">super res futuras. Quintadecima </w:t>
            </w:r>
            <w:r w:rsidR="00C319CD" w:rsidRPr="0024144B">
              <w:rPr>
                <w:sz w:val="20"/>
                <w:szCs w:val="20"/>
              </w:rPr>
              <w:t>vero</w:t>
            </w:r>
            <w:r w:rsidR="00C319CD" w:rsidRPr="003C3C87">
              <w:rPr>
                <w:rFonts w:cstheme="majorBidi"/>
                <w:b/>
                <w:bCs/>
                <w:sz w:val="20"/>
                <w:szCs w:val="20"/>
              </w:rPr>
              <w:t xml:space="preserve"> radix est totius sortis et certificatio interrogationis. § Peritorum huius artis quidam iudicant secundum primam et </w:t>
            </w:r>
            <w:r w:rsidR="00C319CD" w:rsidRPr="0024144B">
              <w:rPr>
                <w:sz w:val="20"/>
                <w:szCs w:val="20"/>
              </w:rPr>
              <w:t xml:space="preserve">quartam (quintam?) </w:t>
            </w:r>
            <w:r w:rsidR="00C319CD" w:rsidRPr="003C3C87">
              <w:rPr>
                <w:rFonts w:cstheme="majorBidi"/>
                <w:b/>
                <w:bCs/>
                <w:sz w:val="20"/>
                <w:szCs w:val="20"/>
              </w:rPr>
              <w:t>quoniam hec est [99r] prima martis (</w:t>
            </w:r>
            <w:r w:rsidR="00C319CD" w:rsidRPr="003C3C87">
              <w:rPr>
                <w:rFonts w:cstheme="majorBidi"/>
                <w:b/>
                <w:bCs/>
                <w:i/>
                <w:iCs/>
                <w:sz w:val="20"/>
                <w:szCs w:val="20"/>
              </w:rPr>
              <w:t>recte</w:t>
            </w:r>
            <w:r w:rsidR="00C319CD" w:rsidRPr="003C3C87">
              <w:rPr>
                <w:rFonts w:cstheme="majorBidi"/>
                <w:b/>
                <w:bCs/>
                <w:sz w:val="20"/>
                <w:szCs w:val="20"/>
              </w:rPr>
              <w:t xml:space="preserve"> matris), illa prima filiarum. </w:t>
            </w:r>
            <w:r w:rsidR="00C319CD" w:rsidRPr="003C3C87">
              <w:rPr>
                <w:rFonts w:cstheme="majorBidi"/>
                <w:b/>
                <w:bCs/>
                <w:sz w:val="20"/>
                <w:szCs w:val="20"/>
                <w:lang w:val="pt-PT"/>
              </w:rPr>
              <w:t>Alii iudicant secundum easdem duas quoniam primam causa iniciis</w:t>
            </w:r>
            <w:r w:rsidR="00C319CD">
              <w:rPr>
                <w:rFonts w:cstheme="majorBidi"/>
                <w:b/>
                <w:bCs/>
                <w:sz w:val="20"/>
                <w:szCs w:val="20"/>
                <w:lang w:val="pt-PT"/>
              </w:rPr>
              <w:t>,</w:t>
            </w:r>
            <w:r w:rsidR="00C319CD" w:rsidRPr="003C3C87">
              <w:rPr>
                <w:rFonts w:cstheme="majorBidi"/>
                <w:b/>
                <w:bCs/>
                <w:sz w:val="20"/>
                <w:szCs w:val="20"/>
                <w:lang w:val="pt-PT"/>
              </w:rPr>
              <w:t xml:space="preserve"> </w:t>
            </w:r>
            <w:r w:rsidR="00C319CD" w:rsidRPr="0024144B">
              <w:rPr>
                <w:sz w:val="20"/>
                <w:szCs w:val="20"/>
                <w:lang w:val="pt-PT"/>
              </w:rPr>
              <w:t>quartam causa</w:t>
            </w:r>
            <w:r w:rsidR="00C319CD" w:rsidRPr="003C3C87">
              <w:rPr>
                <w:rFonts w:cstheme="majorBidi"/>
                <w:b/>
                <w:bCs/>
                <w:sz w:val="20"/>
                <w:szCs w:val="20"/>
                <w:lang w:val="pt-PT"/>
              </w:rPr>
              <w:t xml:space="preserve"> finis. Alii iudicant secundum primam </w:t>
            </w:r>
            <w:r w:rsidR="00C319CD" w:rsidRPr="0024144B">
              <w:rPr>
                <w:sz w:val="20"/>
                <w:szCs w:val="20"/>
                <w:lang w:val="pt-PT"/>
              </w:rPr>
              <w:t>figuram que</w:t>
            </w:r>
            <w:r w:rsidR="00C319CD" w:rsidRPr="003C3C87">
              <w:rPr>
                <w:rFonts w:cstheme="majorBidi"/>
                <w:b/>
                <w:bCs/>
                <w:sz w:val="20"/>
                <w:szCs w:val="20"/>
                <w:lang w:val="pt-PT"/>
              </w:rPr>
              <w:t xml:space="preserve"> est causa initii et </w:t>
            </w:r>
            <w:r w:rsidR="00C319CD" w:rsidRPr="0024144B">
              <w:rPr>
                <w:sz w:val="20"/>
                <w:szCs w:val="20"/>
                <w:lang w:val="pt-PT"/>
              </w:rPr>
              <w:t xml:space="preserve">secundum </w:t>
            </w:r>
            <w:r w:rsidR="00C319CD" w:rsidRPr="003C3C87">
              <w:rPr>
                <w:rFonts w:cstheme="majorBidi"/>
                <w:b/>
                <w:bCs/>
                <w:sz w:val="20"/>
                <w:szCs w:val="20"/>
                <w:lang w:val="pt-PT"/>
              </w:rPr>
              <w:t xml:space="preserve">quintam decimam </w:t>
            </w:r>
            <w:r w:rsidR="00C319CD" w:rsidRPr="0024144B">
              <w:rPr>
                <w:sz w:val="20"/>
                <w:szCs w:val="20"/>
                <w:lang w:val="pt-PT"/>
              </w:rPr>
              <w:t>quoniam</w:t>
            </w:r>
            <w:r w:rsidR="00C319CD" w:rsidRPr="003C3C87">
              <w:rPr>
                <w:rFonts w:cstheme="majorBidi"/>
                <w:b/>
                <w:bCs/>
                <w:sz w:val="20"/>
                <w:szCs w:val="20"/>
                <w:lang w:val="pt-PT"/>
              </w:rPr>
              <w:t xml:space="preserve"> est radix sortis. </w:t>
            </w:r>
            <w:r w:rsidR="00C319CD" w:rsidRPr="0024144B">
              <w:rPr>
                <w:sz w:val="20"/>
                <w:szCs w:val="20"/>
                <w:lang w:val="pt-PT"/>
              </w:rPr>
              <w:t xml:space="preserve">Veracius autem </w:t>
            </w:r>
            <w:r w:rsidR="00C319CD" w:rsidRPr="003C3C87">
              <w:rPr>
                <w:rFonts w:cstheme="majorBidi"/>
                <w:b/>
                <w:bCs/>
                <w:sz w:val="20"/>
                <w:szCs w:val="20"/>
                <w:lang w:val="pt-PT"/>
              </w:rPr>
              <w:t>iudicium procedet si inspiciatur quociens prima figura occurrerit et inspiciatur 2 testes et finis et secundum ipsas iudicetur.</w:t>
            </w:r>
          </w:p>
          <w:p w14:paraId="7B520E39" w14:textId="77777777" w:rsidR="00244FB6" w:rsidRPr="003C3C87" w:rsidRDefault="00244FB6" w:rsidP="00A61EEF">
            <w:pPr>
              <w:ind w:left="567" w:right="567" w:firstLine="0"/>
              <w:rPr>
                <w:rFonts w:cstheme="majorBidi"/>
                <w:sz w:val="20"/>
                <w:szCs w:val="20"/>
                <w:lang w:val="pt-PT"/>
              </w:rPr>
            </w:pPr>
          </w:p>
        </w:tc>
      </w:tr>
    </w:tbl>
    <w:p w14:paraId="7AC3E489" w14:textId="77777777" w:rsidR="00244FB6" w:rsidRDefault="00244FB6" w:rsidP="00244FB6">
      <w:pPr>
        <w:ind w:firstLine="0"/>
      </w:pPr>
    </w:p>
    <w:p w14:paraId="482344D2" w14:textId="01C81AD0" w:rsidR="00244FB6" w:rsidRDefault="00244FB6" w:rsidP="00244FB6">
      <w:pPr>
        <w:ind w:firstLine="0"/>
      </w:pPr>
      <w:r w:rsidRPr="003C3C87">
        <w:t>Another example of intertextuality</w:t>
      </w:r>
      <w:r>
        <w:t xml:space="preserve"> is found in the same chapter, in a passage </w:t>
      </w:r>
      <w:r w:rsidRPr="003C3C87">
        <w:t>concerning the goodness and badness of the two witnesses, and how these can be influenced by the goodness and badness of the figures that generate the</w:t>
      </w:r>
      <w:r>
        <w:t>m</w:t>
      </w:r>
      <w:r w:rsidRPr="003C3C87">
        <w:t xml:space="preserve">. These passages follow the discussion displayed above in </w:t>
      </w:r>
      <w:r>
        <w:t xml:space="preserve">the </w:t>
      </w:r>
      <w:r w:rsidRPr="003C3C87">
        <w:rPr>
          <w:i/>
          <w:iCs/>
        </w:rPr>
        <w:t>Liber arenalis scientiae</w:t>
      </w:r>
      <w:r w:rsidRPr="003C3C87">
        <w:t>, while they are found in a different chapter in D</w:t>
      </w:r>
      <w:r>
        <w:t>igby 50</w:t>
      </w:r>
      <w:r w:rsidRPr="003C3C87">
        <w:t>.</w:t>
      </w:r>
    </w:p>
    <w:p w14:paraId="0C13F93E" w14:textId="77777777" w:rsidR="00244FB6" w:rsidRPr="00402A31" w:rsidRDefault="00244FB6" w:rsidP="00244FB6">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244FB6" w:rsidRPr="00402A31" w14:paraId="19483F72" w14:textId="77777777" w:rsidTr="00A61EEF">
        <w:tc>
          <w:tcPr>
            <w:tcW w:w="4247" w:type="dxa"/>
          </w:tcPr>
          <w:p w14:paraId="754D87E7" w14:textId="77777777" w:rsidR="00244FB6" w:rsidRPr="001E72F8" w:rsidRDefault="00244FB6" w:rsidP="00A61EEF">
            <w:pPr>
              <w:spacing w:line="480" w:lineRule="auto"/>
              <w:ind w:firstLine="0"/>
              <w:jc w:val="center"/>
              <w:rPr>
                <w:rFonts w:cstheme="majorBidi"/>
                <w:i/>
                <w:iCs/>
                <w:sz w:val="20"/>
                <w:szCs w:val="20"/>
              </w:rPr>
            </w:pPr>
            <w:r w:rsidRPr="001E72F8">
              <w:rPr>
                <w:rFonts w:cstheme="majorBidi"/>
                <w:i/>
                <w:iCs/>
                <w:sz w:val="20"/>
                <w:szCs w:val="20"/>
              </w:rPr>
              <w:t>Liber arenalis scientiae</w:t>
            </w:r>
          </w:p>
        </w:tc>
        <w:tc>
          <w:tcPr>
            <w:tcW w:w="4247" w:type="dxa"/>
          </w:tcPr>
          <w:p w14:paraId="3A639497" w14:textId="77777777" w:rsidR="00244FB6" w:rsidRPr="001E72F8" w:rsidRDefault="00244FB6" w:rsidP="00A61EEF">
            <w:pPr>
              <w:spacing w:line="480" w:lineRule="auto"/>
              <w:ind w:firstLine="0"/>
              <w:jc w:val="center"/>
              <w:rPr>
                <w:rFonts w:cstheme="majorBidi"/>
                <w:i/>
                <w:iCs/>
                <w:sz w:val="20"/>
                <w:szCs w:val="20"/>
                <w:lang w:val="fr-FR"/>
              </w:rPr>
            </w:pPr>
            <w:r w:rsidRPr="001E72F8">
              <w:rPr>
                <w:rFonts w:cstheme="majorBidi"/>
                <w:i/>
                <w:iCs/>
                <w:sz w:val="20"/>
                <w:szCs w:val="20"/>
                <w:lang w:val="fr-FR"/>
              </w:rPr>
              <w:t>Notandum est quod letitia</w:t>
            </w:r>
          </w:p>
        </w:tc>
      </w:tr>
      <w:tr w:rsidR="00244FB6" w:rsidRPr="00402A31" w14:paraId="764354EE" w14:textId="77777777" w:rsidTr="00A61EEF">
        <w:trPr>
          <w:trHeight w:val="2692"/>
        </w:trPr>
        <w:tc>
          <w:tcPr>
            <w:tcW w:w="4247" w:type="dxa"/>
          </w:tcPr>
          <w:p w14:paraId="03B6C30C" w14:textId="1A9EA737" w:rsidR="00244FB6" w:rsidRPr="001E72F8" w:rsidRDefault="009666D7" w:rsidP="00A61EEF">
            <w:pPr>
              <w:ind w:left="567" w:right="567" w:firstLine="0"/>
              <w:rPr>
                <w:rFonts w:cstheme="majorBidi"/>
                <w:b/>
                <w:bCs/>
                <w:sz w:val="20"/>
                <w:szCs w:val="20"/>
                <w:lang w:val="fr-FR"/>
              </w:rPr>
            </w:pPr>
            <w:r>
              <w:rPr>
                <w:rFonts w:cstheme="majorBidi"/>
                <w:sz w:val="20"/>
                <w:szCs w:val="20"/>
                <w:lang w:val="fr-FR"/>
              </w:rPr>
              <w:t>/</w:t>
            </w:r>
            <w:r w:rsidR="00244FB6" w:rsidRPr="001E72F8">
              <w:rPr>
                <w:rFonts w:cstheme="majorBidi"/>
                <w:sz w:val="20"/>
                <w:szCs w:val="20"/>
                <w:lang w:val="fr-FR"/>
              </w:rPr>
              <w:t>123v</w:t>
            </w:r>
            <w:r>
              <w:rPr>
                <w:rFonts w:cstheme="majorBidi"/>
                <w:sz w:val="20"/>
                <w:szCs w:val="20"/>
                <w:lang w:val="fr-FR"/>
              </w:rPr>
              <w:t>/</w:t>
            </w:r>
            <w:r w:rsidR="00244FB6" w:rsidRPr="001E72F8">
              <w:rPr>
                <w:rFonts w:cstheme="majorBidi"/>
                <w:sz w:val="20"/>
                <w:szCs w:val="20"/>
                <w:lang w:val="fr-FR"/>
              </w:rPr>
              <w:t xml:space="preserve"> </w:t>
            </w:r>
            <w:r w:rsidR="00391224" w:rsidRPr="001E72F8">
              <w:rPr>
                <w:rFonts w:cstheme="majorBidi"/>
                <w:sz w:val="20"/>
                <w:szCs w:val="20"/>
                <w:lang w:val="fr-FR"/>
              </w:rPr>
              <w:t>Si vero predicti testes boni fuerint et de malis exierint,</w:t>
            </w:r>
            <w:r w:rsidR="00391224" w:rsidRPr="00FD4838">
              <w:rPr>
                <w:rFonts w:cstheme="majorBidi"/>
                <w:sz w:val="20"/>
                <w:szCs w:val="20"/>
                <w:lang w:val="fr-FR"/>
              </w:rPr>
              <w:t xml:space="preserve"> </w:t>
            </w:r>
            <w:r w:rsidR="00391224" w:rsidRPr="0024144B">
              <w:rPr>
                <w:sz w:val="20"/>
                <w:szCs w:val="20"/>
                <w:lang w:val="fr-FR"/>
              </w:rPr>
              <w:t xml:space="preserve">illarum </w:t>
            </w:r>
            <w:r w:rsidR="00391224" w:rsidRPr="001E72F8">
              <w:rPr>
                <w:rFonts w:cstheme="majorBidi"/>
                <w:b/>
                <w:bCs/>
                <w:sz w:val="20"/>
                <w:szCs w:val="20"/>
                <w:lang w:val="fr-FR"/>
              </w:rPr>
              <w:t>malitia remittitur aliquantulum ex bonitate istarum, et econverso.</w:t>
            </w:r>
            <w:r w:rsidR="00391224" w:rsidRPr="001E72F8">
              <w:rPr>
                <w:rFonts w:cstheme="majorBidi"/>
                <w:sz w:val="20"/>
                <w:szCs w:val="20"/>
                <w:lang w:val="fr-FR"/>
              </w:rPr>
              <w:t xml:space="preserve"> Si vero predicti testes mali fuerint et de malis exierunt (</w:t>
            </w:r>
            <w:r w:rsidR="00391224" w:rsidRPr="001E72F8">
              <w:rPr>
                <w:rFonts w:cstheme="majorBidi"/>
                <w:i/>
                <w:iCs/>
                <w:sz w:val="20"/>
                <w:szCs w:val="20"/>
                <w:lang w:val="fr-FR"/>
              </w:rPr>
              <w:t>lacuna ca. 4 litterarum</w:t>
            </w:r>
            <w:r w:rsidR="00391224" w:rsidRPr="001E72F8">
              <w:rPr>
                <w:rFonts w:cstheme="majorBidi"/>
                <w:sz w:val="20"/>
                <w:szCs w:val="20"/>
                <w:lang w:val="fr-FR"/>
              </w:rPr>
              <w:t xml:space="preserve">) </w:t>
            </w:r>
            <w:r w:rsidR="00391224" w:rsidRPr="0024144B">
              <w:rPr>
                <w:b/>
                <w:bCs/>
                <w:sz w:val="20"/>
                <w:szCs w:val="20"/>
                <w:lang w:val="fr-FR"/>
              </w:rPr>
              <w:t>de malis et</w:t>
            </w:r>
            <w:r w:rsidR="00391224" w:rsidRPr="001E72F8">
              <w:rPr>
                <w:rFonts w:cstheme="majorBidi"/>
                <w:sz w:val="20"/>
                <w:szCs w:val="20"/>
                <w:lang w:val="fr-FR"/>
              </w:rPr>
              <w:t xml:space="preserve"> \de/ </w:t>
            </w:r>
            <w:r w:rsidR="00391224" w:rsidRPr="0024144B">
              <w:rPr>
                <w:b/>
                <w:bCs/>
                <w:sz w:val="20"/>
                <w:szCs w:val="20"/>
                <w:lang w:val="fr-FR"/>
              </w:rPr>
              <w:t>bonis et econverso</w:t>
            </w:r>
            <w:r w:rsidR="00391224">
              <w:rPr>
                <w:rFonts w:cstheme="majorBidi"/>
                <w:b/>
                <w:bCs/>
                <w:sz w:val="20"/>
                <w:szCs w:val="20"/>
                <w:lang w:val="fr-FR"/>
              </w:rPr>
              <w:t>, c</w:t>
            </w:r>
            <w:r w:rsidR="00391224" w:rsidRPr="001E72F8">
              <w:rPr>
                <w:rFonts w:cstheme="majorBidi"/>
                <w:b/>
                <w:bCs/>
                <w:sz w:val="20"/>
                <w:szCs w:val="20"/>
                <w:lang w:val="fr-FR"/>
              </w:rPr>
              <w:t xml:space="preserve">onversim signabunt a predictis, et hoc secundum illas de quibus exierunt, </w:t>
            </w:r>
            <w:r w:rsidR="00391224" w:rsidRPr="0024144B">
              <w:rPr>
                <w:sz w:val="20"/>
                <w:szCs w:val="20"/>
                <w:lang w:val="fr-FR"/>
              </w:rPr>
              <w:t>bene</w:t>
            </w:r>
            <w:r w:rsidR="00391224" w:rsidRPr="001E72F8">
              <w:rPr>
                <w:rFonts w:cstheme="majorBidi"/>
                <w:b/>
                <w:bCs/>
                <w:sz w:val="20"/>
                <w:szCs w:val="20"/>
                <w:lang w:val="fr-FR"/>
              </w:rPr>
              <w:t xml:space="preserve"> incipit et </w:t>
            </w:r>
            <w:r w:rsidR="00391224" w:rsidRPr="0024144B">
              <w:rPr>
                <w:sz w:val="20"/>
                <w:szCs w:val="20"/>
                <w:lang w:val="fr-FR"/>
              </w:rPr>
              <w:t>male</w:t>
            </w:r>
            <w:r w:rsidR="00391224" w:rsidRPr="001E72F8">
              <w:rPr>
                <w:rFonts w:cstheme="majorBidi"/>
                <w:b/>
                <w:bCs/>
                <w:sz w:val="20"/>
                <w:szCs w:val="20"/>
                <w:lang w:val="fr-FR"/>
              </w:rPr>
              <w:t xml:space="preserve"> </w:t>
            </w:r>
            <w:r w:rsidR="00391224">
              <w:rPr>
                <w:rFonts w:cstheme="majorBidi"/>
                <w:b/>
                <w:bCs/>
                <w:sz w:val="20"/>
                <w:szCs w:val="20"/>
                <w:lang w:val="fr-FR"/>
              </w:rPr>
              <w:t>desinit</w:t>
            </w:r>
            <w:r w:rsidR="0058193A">
              <w:rPr>
                <w:rFonts w:cstheme="majorBidi"/>
                <w:b/>
                <w:bCs/>
                <w:sz w:val="20"/>
                <w:szCs w:val="20"/>
                <w:lang w:val="fr-FR"/>
              </w:rPr>
              <w:t>,</w:t>
            </w:r>
            <w:r w:rsidR="00391224">
              <w:rPr>
                <w:rFonts w:cstheme="majorBidi"/>
                <w:b/>
                <w:bCs/>
                <w:sz w:val="20"/>
                <w:szCs w:val="20"/>
                <w:lang w:val="fr-FR"/>
              </w:rPr>
              <w:t xml:space="preserve"> </w:t>
            </w:r>
            <w:r w:rsidR="00391224" w:rsidRPr="001E72F8">
              <w:rPr>
                <w:rFonts w:cstheme="majorBidi"/>
                <w:b/>
                <w:bCs/>
                <w:sz w:val="20"/>
                <w:szCs w:val="20"/>
                <w:lang w:val="fr-FR"/>
              </w:rPr>
              <w:t>et econverso.</w:t>
            </w:r>
          </w:p>
        </w:tc>
        <w:tc>
          <w:tcPr>
            <w:tcW w:w="4247" w:type="dxa"/>
          </w:tcPr>
          <w:p w14:paraId="1565538B" w14:textId="2D030ED7" w:rsidR="00244FB6" w:rsidRPr="001E72F8" w:rsidRDefault="009666D7" w:rsidP="00A61EEF">
            <w:pPr>
              <w:ind w:left="567" w:right="567" w:firstLine="0"/>
              <w:rPr>
                <w:rFonts w:cstheme="majorBidi"/>
                <w:sz w:val="20"/>
                <w:szCs w:val="20"/>
                <w:lang w:val="fr-FR"/>
              </w:rPr>
            </w:pPr>
            <w:r>
              <w:rPr>
                <w:rFonts w:cstheme="majorBidi"/>
                <w:sz w:val="20"/>
                <w:szCs w:val="20"/>
                <w:lang w:val="fr-FR"/>
              </w:rPr>
              <w:t>/</w:t>
            </w:r>
            <w:r w:rsidR="00244FB6" w:rsidRPr="001E72F8">
              <w:rPr>
                <w:rFonts w:cstheme="majorBidi"/>
                <w:sz w:val="20"/>
                <w:szCs w:val="20"/>
                <w:lang w:val="fr-FR"/>
              </w:rPr>
              <w:t>103r</w:t>
            </w:r>
            <w:r>
              <w:rPr>
                <w:rFonts w:cstheme="majorBidi"/>
                <w:sz w:val="20"/>
                <w:szCs w:val="20"/>
                <w:lang w:val="fr-FR"/>
              </w:rPr>
              <w:t>/</w:t>
            </w:r>
            <w:r w:rsidR="00244FB6" w:rsidRPr="001E72F8">
              <w:rPr>
                <w:rFonts w:cstheme="majorBidi"/>
                <w:sz w:val="20"/>
                <w:szCs w:val="20"/>
                <w:lang w:val="fr-FR"/>
              </w:rPr>
              <w:t xml:space="preserve"> </w:t>
            </w:r>
            <w:r w:rsidR="00391224" w:rsidRPr="0024144B">
              <w:rPr>
                <w:sz w:val="20"/>
                <w:szCs w:val="20"/>
                <w:lang w:val="fr-FR"/>
              </w:rPr>
              <w:t xml:space="preserve">Sed </w:t>
            </w:r>
            <w:r w:rsidR="00391224" w:rsidRPr="001E72F8">
              <w:rPr>
                <w:rFonts w:cstheme="majorBidi"/>
                <w:b/>
                <w:bCs/>
                <w:sz w:val="20"/>
                <w:szCs w:val="20"/>
                <w:lang w:val="fr-FR"/>
              </w:rPr>
              <w:t xml:space="preserve">malicia </w:t>
            </w:r>
            <w:r w:rsidR="00391224" w:rsidRPr="0024144B">
              <w:rPr>
                <w:sz w:val="20"/>
                <w:szCs w:val="20"/>
                <w:lang w:val="fr-FR"/>
              </w:rPr>
              <w:t>illa</w:t>
            </w:r>
            <w:r w:rsidR="00391224" w:rsidRPr="001E72F8">
              <w:rPr>
                <w:rFonts w:cstheme="majorBidi"/>
                <w:b/>
                <w:bCs/>
                <w:sz w:val="20"/>
                <w:szCs w:val="20"/>
                <w:lang w:val="fr-FR"/>
              </w:rPr>
              <w:t xml:space="preserve"> remittent aliquantulum </w:t>
            </w:r>
            <w:r w:rsidR="00391224" w:rsidRPr="0024144B">
              <w:rPr>
                <w:sz w:val="20"/>
                <w:szCs w:val="20"/>
                <w:lang w:val="fr-FR"/>
              </w:rPr>
              <w:t>vel</w:t>
            </w:r>
            <w:r w:rsidR="00391224" w:rsidRPr="001E72F8">
              <w:rPr>
                <w:rFonts w:cstheme="majorBidi"/>
                <w:b/>
                <w:bCs/>
                <w:sz w:val="20"/>
                <w:szCs w:val="20"/>
                <w:lang w:val="fr-FR"/>
              </w:rPr>
              <w:t xml:space="preserve"> de malis et bonis et econverso conversi</w:t>
            </w:r>
            <w:r w:rsidR="00391224">
              <w:rPr>
                <w:rFonts w:cstheme="majorBidi"/>
                <w:b/>
                <w:bCs/>
                <w:sz w:val="20"/>
                <w:szCs w:val="20"/>
                <w:lang w:val="fr-FR"/>
              </w:rPr>
              <w:t>&lt;m&gt;</w:t>
            </w:r>
            <w:r w:rsidR="00391224" w:rsidRPr="001E72F8">
              <w:rPr>
                <w:rFonts w:cstheme="majorBidi"/>
                <w:b/>
                <w:bCs/>
                <w:sz w:val="20"/>
                <w:szCs w:val="20"/>
                <w:lang w:val="fr-FR"/>
              </w:rPr>
              <w:t xml:space="preserve"> significabit a</w:t>
            </w:r>
            <w:r w:rsidR="00391224">
              <w:rPr>
                <w:rFonts w:cstheme="majorBidi"/>
                <w:b/>
                <w:bCs/>
                <w:sz w:val="20"/>
                <w:szCs w:val="20"/>
                <w:lang w:val="fr-FR"/>
              </w:rPr>
              <w:t xml:space="preserve"> </w:t>
            </w:r>
            <w:r w:rsidR="00391224" w:rsidRPr="001E72F8">
              <w:rPr>
                <w:rFonts w:cstheme="majorBidi"/>
                <w:b/>
                <w:bCs/>
                <w:sz w:val="20"/>
                <w:szCs w:val="20"/>
                <w:lang w:val="fr-FR"/>
              </w:rPr>
              <w:t>predictis et hoc secundum illa de quibus exierit quod si de una bona et alta</w:t>
            </w:r>
            <w:r w:rsidR="00391224">
              <w:rPr>
                <w:rFonts w:cstheme="majorBidi"/>
                <w:b/>
                <w:bCs/>
                <w:sz w:val="20"/>
                <w:szCs w:val="20"/>
                <w:lang w:val="fr-FR"/>
              </w:rPr>
              <w:t>[</w:t>
            </w:r>
            <w:r w:rsidR="00391224" w:rsidRPr="001E72F8">
              <w:rPr>
                <w:rFonts w:cstheme="majorBidi"/>
                <w:b/>
                <w:bCs/>
                <w:sz w:val="20"/>
                <w:szCs w:val="20"/>
                <w:lang w:val="fr-FR"/>
              </w:rPr>
              <w:t>m</w:t>
            </w:r>
            <w:r w:rsidR="00391224">
              <w:rPr>
                <w:rFonts w:cstheme="majorBidi"/>
                <w:b/>
                <w:bCs/>
                <w:sz w:val="20"/>
                <w:szCs w:val="20"/>
                <w:lang w:val="fr-FR"/>
              </w:rPr>
              <w:t>]</w:t>
            </w:r>
            <w:r w:rsidR="00391224" w:rsidRPr="001E72F8">
              <w:rPr>
                <w:rFonts w:cstheme="majorBidi"/>
                <w:b/>
                <w:bCs/>
                <w:sz w:val="20"/>
                <w:szCs w:val="20"/>
                <w:lang w:val="fr-FR"/>
              </w:rPr>
              <w:t xml:space="preserve"> mala exierint</w:t>
            </w:r>
            <w:r w:rsidR="00391224">
              <w:rPr>
                <w:rFonts w:cstheme="majorBidi"/>
                <w:b/>
                <w:bCs/>
                <w:sz w:val="20"/>
                <w:szCs w:val="20"/>
                <w:lang w:val="fr-FR"/>
              </w:rPr>
              <w:t>,</w:t>
            </w:r>
            <w:r w:rsidR="00391224" w:rsidRPr="001E72F8">
              <w:rPr>
                <w:rFonts w:cstheme="majorBidi"/>
                <w:b/>
                <w:bCs/>
                <w:sz w:val="20"/>
                <w:szCs w:val="20"/>
                <w:lang w:val="fr-FR"/>
              </w:rPr>
              <w:t xml:space="preserve"> </w:t>
            </w:r>
            <w:r w:rsidR="00391224" w:rsidRPr="0024144B">
              <w:rPr>
                <w:sz w:val="20"/>
                <w:szCs w:val="20"/>
                <w:lang w:val="fr-FR"/>
              </w:rPr>
              <w:t>bonum</w:t>
            </w:r>
            <w:r w:rsidR="00391224" w:rsidRPr="001E72F8">
              <w:rPr>
                <w:rFonts w:cstheme="majorBidi"/>
                <w:b/>
                <w:bCs/>
                <w:sz w:val="20"/>
                <w:szCs w:val="20"/>
                <w:lang w:val="fr-FR"/>
              </w:rPr>
              <w:t xml:space="preserve"> incipiet et malum</w:t>
            </w:r>
            <w:r w:rsidR="0058193A">
              <w:rPr>
                <w:rFonts w:cstheme="majorBidi"/>
                <w:b/>
                <w:bCs/>
                <w:sz w:val="20"/>
                <w:szCs w:val="20"/>
                <w:lang w:val="fr-FR"/>
              </w:rPr>
              <w:t xml:space="preserve"> </w:t>
            </w:r>
            <w:r w:rsidR="00391224">
              <w:rPr>
                <w:rFonts w:cstheme="majorBidi"/>
                <w:b/>
                <w:bCs/>
                <w:sz w:val="20"/>
                <w:szCs w:val="20"/>
                <w:lang w:val="fr-FR"/>
              </w:rPr>
              <w:t>desinet</w:t>
            </w:r>
            <w:r w:rsidR="0058193A">
              <w:rPr>
                <w:rFonts w:cstheme="majorBidi"/>
                <w:b/>
                <w:bCs/>
                <w:sz w:val="20"/>
                <w:szCs w:val="20"/>
                <w:lang w:val="fr-FR"/>
              </w:rPr>
              <w:t>,</w:t>
            </w:r>
            <w:r w:rsidR="00391224">
              <w:rPr>
                <w:rFonts w:cstheme="majorBidi"/>
                <w:b/>
                <w:bCs/>
                <w:sz w:val="20"/>
                <w:szCs w:val="20"/>
                <w:lang w:val="fr-FR"/>
              </w:rPr>
              <w:t xml:space="preserve"> </w:t>
            </w:r>
            <w:r w:rsidR="00391224" w:rsidRPr="001E72F8">
              <w:rPr>
                <w:rFonts w:cstheme="majorBidi"/>
                <w:b/>
                <w:bCs/>
                <w:sz w:val="20"/>
                <w:szCs w:val="20"/>
                <w:lang w:val="fr-FR"/>
              </w:rPr>
              <w:t>et econverso</w:t>
            </w:r>
            <w:r w:rsidR="00391224" w:rsidRPr="001E72F8">
              <w:rPr>
                <w:rFonts w:cstheme="majorBidi"/>
                <w:sz w:val="20"/>
                <w:szCs w:val="20"/>
                <w:lang w:val="fr-FR"/>
              </w:rPr>
              <w:t>. Considerabit quoque XVa que si fuerit bona vel mala videbit si a bonis vel malis exierint, et secundum hoc iudicabit</w:t>
            </w:r>
            <w:r w:rsidR="00244FB6" w:rsidRPr="001E72F8">
              <w:rPr>
                <w:rFonts w:cstheme="majorBidi"/>
                <w:sz w:val="20"/>
                <w:szCs w:val="20"/>
                <w:lang w:val="fr-FR"/>
              </w:rPr>
              <w:t>.</w:t>
            </w:r>
          </w:p>
          <w:p w14:paraId="6B42A71A" w14:textId="77777777" w:rsidR="00244FB6" w:rsidRPr="001E72F8" w:rsidRDefault="00244FB6" w:rsidP="00A61EEF">
            <w:pPr>
              <w:ind w:left="567" w:right="567" w:firstLine="0"/>
              <w:rPr>
                <w:rFonts w:cstheme="majorBidi"/>
                <w:sz w:val="20"/>
                <w:szCs w:val="20"/>
                <w:lang w:val="fr-FR"/>
              </w:rPr>
            </w:pPr>
          </w:p>
          <w:p w14:paraId="771185B4" w14:textId="77777777" w:rsidR="00244FB6" w:rsidRPr="001E72F8" w:rsidRDefault="00244FB6" w:rsidP="00A61EEF">
            <w:pPr>
              <w:ind w:left="567" w:right="567" w:firstLine="0"/>
              <w:rPr>
                <w:rFonts w:cstheme="majorBidi"/>
                <w:sz w:val="20"/>
                <w:szCs w:val="20"/>
                <w:lang w:val="fr-FR"/>
              </w:rPr>
            </w:pPr>
          </w:p>
        </w:tc>
      </w:tr>
    </w:tbl>
    <w:p w14:paraId="101E291F" w14:textId="084D8412" w:rsidR="00244FB6" w:rsidRDefault="00244FB6" w:rsidP="00244FB6">
      <w:pPr>
        <w:ind w:firstLine="0"/>
        <w:rPr>
          <w:i/>
          <w:iCs/>
        </w:rPr>
      </w:pPr>
      <w:r>
        <w:t>D</w:t>
      </w:r>
      <w:r w:rsidRPr="003C3C87">
        <w:t xml:space="preserve">espite these correspondences, the chapters in which these passages are contained in </w:t>
      </w:r>
      <w:r>
        <w:t xml:space="preserve">the two texts </w:t>
      </w:r>
      <w:r w:rsidRPr="003C3C87">
        <w:t xml:space="preserve">are essentially different in respect to what concerns their purpose. </w:t>
      </w:r>
      <w:r>
        <w:t>T</w:t>
      </w:r>
      <w:r w:rsidRPr="003C3C87">
        <w:t xml:space="preserve">he </w:t>
      </w:r>
      <w:r w:rsidRPr="001E0493">
        <w:rPr>
          <w:i/>
          <w:iCs/>
        </w:rPr>
        <w:t>Liber arenalis scientiae</w:t>
      </w:r>
      <w:r w:rsidRPr="003C3C87">
        <w:t xml:space="preserve"> and the </w:t>
      </w:r>
      <w:r w:rsidRPr="001E0493">
        <w:rPr>
          <w:i/>
          <w:iCs/>
        </w:rPr>
        <w:t>Notandum est</w:t>
      </w:r>
      <w:r w:rsidRPr="003C3C87">
        <w:t xml:space="preserve"> are two very different texts, and apart from these overlaps, the matters discussed are very different. </w:t>
      </w:r>
      <w:r>
        <w:t>The chapter reported above</w:t>
      </w:r>
      <w:r w:rsidRPr="003C3C87">
        <w:t xml:space="preserve"> in Plato’s work is concerned with the discovery of the intention of the inquirer and</w:t>
      </w:r>
      <w:r w:rsidR="00A14775">
        <w:t>,</w:t>
      </w:r>
      <w:r w:rsidRPr="003C3C87">
        <w:t xml:space="preserve"> </w:t>
      </w:r>
      <w:r>
        <w:t xml:space="preserve">as will be discussed later in this thesis, </w:t>
      </w:r>
      <w:r w:rsidRPr="003C3C87">
        <w:t>the role of the intention</w:t>
      </w:r>
      <w:r>
        <w:t xml:space="preserve">s in the geomantic technique </w:t>
      </w:r>
      <w:r w:rsidRPr="003C3C87">
        <w:t xml:space="preserve">is the fil rouge that runs through the whole of </w:t>
      </w:r>
      <w:r>
        <w:t xml:space="preserve">the </w:t>
      </w:r>
      <w:r w:rsidRPr="001E0493">
        <w:rPr>
          <w:i/>
          <w:iCs/>
        </w:rPr>
        <w:t>Liber arenalis scientiae</w:t>
      </w:r>
      <w:r w:rsidRPr="003C3C87">
        <w:t xml:space="preserve">, while </w:t>
      </w:r>
      <w:r>
        <w:t>this matter</w:t>
      </w:r>
      <w:r w:rsidRPr="003C3C87">
        <w:t xml:space="preserve"> is never mentioned or discussed in the </w:t>
      </w:r>
      <w:r w:rsidRPr="001E0493">
        <w:rPr>
          <w:i/>
          <w:iCs/>
        </w:rPr>
        <w:t>Notandum est.</w:t>
      </w:r>
      <w:r>
        <w:rPr>
          <w:i/>
          <w:iCs/>
        </w:rPr>
        <w:t xml:space="preserve"> </w:t>
      </w:r>
    </w:p>
    <w:p w14:paraId="701C4B12" w14:textId="114BEE2A" w:rsidR="00244FB6" w:rsidRDefault="00244FB6" w:rsidP="00244FB6">
      <w:pPr>
        <w:rPr>
          <w:i/>
          <w:iCs/>
        </w:rPr>
      </w:pPr>
      <w:r>
        <w:t>S</w:t>
      </w:r>
      <w:r w:rsidRPr="00402A31">
        <w:t xml:space="preserve">ome terminological correspondences with the </w:t>
      </w:r>
      <w:r w:rsidRPr="00402A31">
        <w:rPr>
          <w:i/>
          <w:iCs/>
        </w:rPr>
        <w:t>Notandum est</w:t>
      </w:r>
      <w:r w:rsidRPr="00402A31">
        <w:t xml:space="preserve">, </w:t>
      </w:r>
      <w:r>
        <w:t xml:space="preserve">can be identified in </w:t>
      </w:r>
      <w:r w:rsidRPr="00402A31">
        <w:t xml:space="preserve">the last chapter of the </w:t>
      </w:r>
      <w:r w:rsidRPr="00402A31">
        <w:rPr>
          <w:i/>
          <w:iCs/>
        </w:rPr>
        <w:t xml:space="preserve">Liber </w:t>
      </w:r>
      <w:r>
        <w:rPr>
          <w:i/>
          <w:iCs/>
        </w:rPr>
        <w:t>a</w:t>
      </w:r>
      <w:r w:rsidRPr="00402A31">
        <w:rPr>
          <w:i/>
          <w:iCs/>
        </w:rPr>
        <w:t>renalis</w:t>
      </w:r>
      <w:r>
        <w:rPr>
          <w:i/>
          <w:iCs/>
        </w:rPr>
        <w:t xml:space="preserve"> scientiae</w:t>
      </w:r>
      <w:r w:rsidRPr="00402A31">
        <w:t>, which contains a list of the sixteen geomantic figures t</w:t>
      </w:r>
      <w:r>
        <w:t>ogether with</w:t>
      </w:r>
      <w:r w:rsidRPr="00402A31">
        <w:t xml:space="preserve"> indications </w:t>
      </w:r>
      <w:r>
        <w:t>on how to</w:t>
      </w:r>
      <w:r w:rsidRPr="00402A31">
        <w:t xml:space="preserve"> know what the inquirer </w:t>
      </w:r>
      <w:r>
        <w:t>has come to ask</w:t>
      </w:r>
      <w:r w:rsidRPr="00402A31">
        <w:t xml:space="preserve">, based on </w:t>
      </w:r>
      <w:r>
        <w:t>the observation of the</w:t>
      </w:r>
      <w:r w:rsidRPr="00402A31">
        <w:t xml:space="preserve"> figures</w:t>
      </w:r>
      <w:r>
        <w:t xml:space="preserve"> in their domiciles</w:t>
      </w:r>
      <w:r w:rsidRPr="00402A31">
        <w:t xml:space="preserve">. </w:t>
      </w:r>
      <w:r>
        <w:t>A</w:t>
      </w:r>
      <w:r w:rsidRPr="00402A31">
        <w:t xml:space="preserve">s </w:t>
      </w:r>
      <w:r>
        <w:t xml:space="preserve">previously </w:t>
      </w:r>
      <w:r w:rsidRPr="00402A31">
        <w:t>mentioned, the</w:t>
      </w:r>
      <w:r>
        <w:t xml:space="preserve"> nomenclature used in the</w:t>
      </w:r>
      <w:r w:rsidRPr="00402A31">
        <w:t xml:space="preserve"> </w:t>
      </w:r>
      <w:r w:rsidRPr="00402A31">
        <w:rPr>
          <w:i/>
          <w:iCs/>
        </w:rPr>
        <w:t xml:space="preserve">Liber </w:t>
      </w:r>
      <w:r>
        <w:rPr>
          <w:i/>
          <w:iCs/>
        </w:rPr>
        <w:t>a</w:t>
      </w:r>
      <w:r w:rsidRPr="00402A31">
        <w:rPr>
          <w:i/>
          <w:iCs/>
        </w:rPr>
        <w:t>renalis</w:t>
      </w:r>
      <w:r>
        <w:rPr>
          <w:i/>
          <w:iCs/>
        </w:rPr>
        <w:t xml:space="preserve"> scientiae</w:t>
      </w:r>
      <w:r w:rsidRPr="00402A31">
        <w:t xml:space="preserve"> </w:t>
      </w:r>
      <w:r>
        <w:t>for the geomantic figures is</w:t>
      </w:r>
      <w:r w:rsidRPr="00402A31">
        <w:t xml:space="preserve"> not consistent </w:t>
      </w:r>
      <w:r>
        <w:t>throughout the text</w:t>
      </w:r>
      <w:r w:rsidRPr="00402A31">
        <w:t xml:space="preserve">, and in this </w:t>
      </w:r>
      <w:r>
        <w:t xml:space="preserve">final </w:t>
      </w:r>
      <w:r w:rsidRPr="00402A31">
        <w:t>chapter some of the names correspond to those found in</w:t>
      </w:r>
      <w:r>
        <w:t xml:space="preserve"> the</w:t>
      </w:r>
      <w:r w:rsidRPr="00402A31">
        <w:t xml:space="preserve"> </w:t>
      </w:r>
      <w:r>
        <w:rPr>
          <w:i/>
          <w:iCs/>
        </w:rPr>
        <w:t>Notandum est</w:t>
      </w:r>
      <w:r w:rsidRPr="00402A31">
        <w:t xml:space="preserve">, such as </w:t>
      </w:r>
      <w:r w:rsidRPr="00402A31">
        <w:rPr>
          <w:i/>
          <w:iCs/>
        </w:rPr>
        <w:t>caput altum, caput imum, associatio, collectio,</w:t>
      </w:r>
      <w:r w:rsidR="00A14775">
        <w:rPr>
          <w:i/>
          <w:iCs/>
        </w:rPr>
        <w:t xml:space="preserve"> </w:t>
      </w:r>
      <w:r w:rsidR="00A14775">
        <w:t>and</w:t>
      </w:r>
      <w:r w:rsidRPr="00402A31">
        <w:rPr>
          <w:i/>
          <w:iCs/>
        </w:rPr>
        <w:t xml:space="preserve"> res sumpta evadens </w:t>
      </w:r>
      <w:r w:rsidRPr="00402A31">
        <w:t xml:space="preserve">(this last one is found in </w:t>
      </w:r>
      <w:r>
        <w:t>the penultimate chapter of Plato’s work</w:t>
      </w:r>
      <w:r w:rsidRPr="00402A31">
        <w:t>). One expression in particular, regarding the description of the figure</w:t>
      </w:r>
      <w:r>
        <w:t xml:space="preserve"> called</w:t>
      </w:r>
      <w:r w:rsidRPr="00402A31">
        <w:t xml:space="preserve"> ‘</w:t>
      </w:r>
      <w:r w:rsidRPr="00402A31">
        <w:rPr>
          <w:i/>
          <w:iCs/>
        </w:rPr>
        <w:t>societas’</w:t>
      </w:r>
      <w:r w:rsidRPr="00402A31">
        <w:t xml:space="preserve"> is </w:t>
      </w:r>
      <w:r>
        <w:t>clearly taken from Digby 50. This is the expression</w:t>
      </w:r>
      <w:r w:rsidRPr="00402A31">
        <w:t xml:space="preserve"> ‘</w:t>
      </w:r>
      <w:r w:rsidRPr="00402A31">
        <w:rPr>
          <w:i/>
          <w:iCs/>
        </w:rPr>
        <w:t xml:space="preserve">figura feretri’, </w:t>
      </w:r>
      <w:r w:rsidRPr="00402A31">
        <w:t>that is, ‘the figure of a bier’</w:t>
      </w:r>
      <w:r>
        <w:t>,</w:t>
      </w:r>
      <w:r w:rsidRPr="00402A31">
        <w:t xml:space="preserve"> </w:t>
      </w:r>
      <w:r>
        <w:t>that</w:t>
      </w:r>
      <w:r w:rsidRPr="00402A31">
        <w:t xml:space="preserve"> has been catalogued by </w:t>
      </w:r>
      <w:r w:rsidRPr="00402A31">
        <w:lastRenderedPageBreak/>
        <w:t xml:space="preserve">Charmasson as </w:t>
      </w:r>
      <w:r>
        <w:t xml:space="preserve">having been </w:t>
      </w:r>
      <w:r w:rsidRPr="00402A31">
        <w:t xml:space="preserve">used by William of Moerbeke, Bartholomew of Parma (who possibly uses the </w:t>
      </w:r>
      <w:r w:rsidRPr="00402A31">
        <w:rPr>
          <w:i/>
          <w:iCs/>
        </w:rPr>
        <w:t>Geomantia</w:t>
      </w:r>
      <w:r w:rsidRPr="00402A31">
        <w:t xml:space="preserve"> of William of Moerbeke as one of his sources</w:t>
      </w:r>
      <w:r w:rsidR="001E0265">
        <w:t>)</w:t>
      </w:r>
      <w:r w:rsidRPr="00402A31">
        <w:rPr>
          <w:rStyle w:val="FootnoteReference"/>
        </w:rPr>
        <w:footnoteReference w:id="183"/>
      </w:r>
      <w:r w:rsidRPr="00402A31">
        <w:t xml:space="preserve"> and Roland</w:t>
      </w:r>
      <w:r>
        <w:t>us Scriptoris</w:t>
      </w:r>
      <w:r w:rsidRPr="00402A31">
        <w:t xml:space="preserve">, the first two </w:t>
      </w:r>
      <w:r>
        <w:t xml:space="preserve">authors </w:t>
      </w:r>
      <w:r w:rsidRPr="00402A31">
        <w:t xml:space="preserve">writing at the end of the thirteenth century, the latter in the fourteenth, </w:t>
      </w:r>
      <w:r>
        <w:t>thus significantly</w:t>
      </w:r>
      <w:r w:rsidRPr="00402A31">
        <w:t xml:space="preserve"> later than the</w:t>
      </w:r>
      <w:r w:rsidRPr="00402A31">
        <w:rPr>
          <w:i/>
          <w:iCs/>
        </w:rPr>
        <w:t xml:space="preserve"> Notandum est, </w:t>
      </w:r>
      <w:r w:rsidRPr="00402A31">
        <w:t xml:space="preserve">which is from the late twelfth century. This suggests that Digby 50 could </w:t>
      </w:r>
      <w:r>
        <w:t>have been</w:t>
      </w:r>
      <w:r w:rsidRPr="00402A31">
        <w:t xml:space="preserve"> a source for these later geomantic </w:t>
      </w:r>
      <w:r>
        <w:t>tracts</w:t>
      </w:r>
      <w:r w:rsidRPr="00402A31">
        <w:t xml:space="preserve">. Further studies on the </w:t>
      </w:r>
      <w:r>
        <w:t>intertextuality between these</w:t>
      </w:r>
      <w:r w:rsidRPr="00402A31">
        <w:t xml:space="preserve"> geomantic works will be possible when their critical editions become available.</w:t>
      </w:r>
      <w:r>
        <w:rPr>
          <w:rStyle w:val="FootnoteReference"/>
        </w:rPr>
        <w:footnoteReference w:id="184"/>
      </w:r>
      <w:r w:rsidRPr="00402A31">
        <w:t xml:space="preserve"> A</w:t>
      </w:r>
      <w:r>
        <w:t>s previously mentioned, a</w:t>
      </w:r>
      <w:r w:rsidRPr="00402A31">
        <w:t xml:space="preserve"> final point of </w:t>
      </w:r>
      <w:r>
        <w:t>contact</w:t>
      </w:r>
      <w:r w:rsidRPr="00402A31">
        <w:t xml:space="preserve"> between </w:t>
      </w:r>
      <w:r>
        <w:t xml:space="preserve">Plato’s work and the </w:t>
      </w:r>
      <w:r w:rsidRPr="001E72F8">
        <w:rPr>
          <w:i/>
          <w:iCs/>
        </w:rPr>
        <w:t>Notandum est</w:t>
      </w:r>
      <w:r>
        <w:t>, is given by the correspondence between the</w:t>
      </w:r>
      <w:r w:rsidRPr="00402A31">
        <w:t xml:space="preserve"> </w:t>
      </w:r>
      <w:r w:rsidR="00C42B30">
        <w:t>last paragraph</w:t>
      </w:r>
      <w:r w:rsidRPr="00402A31">
        <w:t xml:space="preserve"> of the </w:t>
      </w:r>
      <w:r w:rsidRPr="00402A31">
        <w:rPr>
          <w:i/>
          <w:iCs/>
        </w:rPr>
        <w:t xml:space="preserve">Liber </w:t>
      </w:r>
      <w:r>
        <w:rPr>
          <w:i/>
          <w:iCs/>
        </w:rPr>
        <w:t>a</w:t>
      </w:r>
      <w:r w:rsidRPr="00402A31">
        <w:rPr>
          <w:i/>
          <w:iCs/>
        </w:rPr>
        <w:t>renalis</w:t>
      </w:r>
      <w:r>
        <w:rPr>
          <w:i/>
          <w:iCs/>
        </w:rPr>
        <w:t xml:space="preserve"> scientiae</w:t>
      </w:r>
      <w:r w:rsidRPr="00402A31">
        <w:t xml:space="preserve"> </w:t>
      </w:r>
      <w:r>
        <w:t>and</w:t>
      </w:r>
      <w:r w:rsidRPr="00402A31">
        <w:t xml:space="preserve"> the </w:t>
      </w:r>
      <w:r w:rsidR="00C42B30">
        <w:t>first paragraph</w:t>
      </w:r>
      <w:r w:rsidRPr="00402A31">
        <w:t xml:space="preserve"> of the </w:t>
      </w:r>
      <w:r w:rsidRPr="00402A31">
        <w:rPr>
          <w:i/>
          <w:iCs/>
        </w:rPr>
        <w:t>Notandum est:</w:t>
      </w:r>
    </w:p>
    <w:p w14:paraId="0878F651" w14:textId="77777777" w:rsidR="00244FB6" w:rsidRPr="00402A31" w:rsidRDefault="00244FB6" w:rsidP="00244FB6">
      <w:pPr>
        <w:ind w:firstLine="0"/>
        <w:rPr>
          <w:i/>
          <w:iCs/>
        </w:rPr>
      </w:pPr>
    </w:p>
    <w:tbl>
      <w:tblPr>
        <w:tblStyle w:val="TableGrid"/>
        <w:tblW w:w="0" w:type="auto"/>
        <w:tblLook w:val="04A0" w:firstRow="1" w:lastRow="0" w:firstColumn="1" w:lastColumn="0" w:noHBand="0" w:noVBand="1"/>
      </w:tblPr>
      <w:tblGrid>
        <w:gridCol w:w="4307"/>
        <w:gridCol w:w="4307"/>
      </w:tblGrid>
      <w:tr w:rsidR="00244FB6" w:rsidRPr="00402A31" w14:paraId="6E2F80AD" w14:textId="77777777" w:rsidTr="00A61EEF">
        <w:trPr>
          <w:trHeight w:val="314"/>
        </w:trPr>
        <w:tc>
          <w:tcPr>
            <w:tcW w:w="4307" w:type="dxa"/>
            <w:tcBorders>
              <w:top w:val="nil"/>
              <w:left w:val="nil"/>
              <w:bottom w:val="nil"/>
              <w:right w:val="nil"/>
            </w:tcBorders>
          </w:tcPr>
          <w:p w14:paraId="238E2FCF" w14:textId="77777777" w:rsidR="00244FB6" w:rsidRPr="001E72F8" w:rsidRDefault="00244FB6" w:rsidP="00A61EEF">
            <w:pPr>
              <w:spacing w:line="480" w:lineRule="auto"/>
              <w:ind w:firstLine="0"/>
              <w:jc w:val="center"/>
              <w:rPr>
                <w:rFonts w:cstheme="majorBidi"/>
                <w:i/>
                <w:iCs/>
                <w:sz w:val="20"/>
                <w:szCs w:val="20"/>
              </w:rPr>
            </w:pPr>
            <w:r w:rsidRPr="001E72F8">
              <w:rPr>
                <w:rFonts w:cstheme="majorBidi"/>
                <w:i/>
                <w:iCs/>
                <w:sz w:val="20"/>
                <w:szCs w:val="20"/>
              </w:rPr>
              <w:t>Liber arenalis scientiae</w:t>
            </w:r>
          </w:p>
        </w:tc>
        <w:tc>
          <w:tcPr>
            <w:tcW w:w="4307" w:type="dxa"/>
            <w:tcBorders>
              <w:top w:val="nil"/>
              <w:left w:val="nil"/>
              <w:bottom w:val="nil"/>
              <w:right w:val="nil"/>
            </w:tcBorders>
          </w:tcPr>
          <w:p w14:paraId="20CCDC63" w14:textId="77777777" w:rsidR="00244FB6" w:rsidRPr="001E72F8" w:rsidRDefault="00244FB6" w:rsidP="00A61EEF">
            <w:pPr>
              <w:spacing w:line="480" w:lineRule="auto"/>
              <w:ind w:firstLine="0"/>
              <w:jc w:val="center"/>
              <w:rPr>
                <w:rFonts w:cstheme="majorBidi"/>
                <w:i/>
                <w:iCs/>
                <w:sz w:val="20"/>
                <w:szCs w:val="20"/>
                <w:lang w:val="fr-FR"/>
              </w:rPr>
            </w:pPr>
            <w:r w:rsidRPr="001E72F8">
              <w:rPr>
                <w:rFonts w:cstheme="majorBidi"/>
                <w:i/>
                <w:iCs/>
                <w:sz w:val="20"/>
                <w:szCs w:val="20"/>
                <w:lang w:val="fr-FR"/>
              </w:rPr>
              <w:t>Notandum est quod letitia</w:t>
            </w:r>
          </w:p>
        </w:tc>
      </w:tr>
      <w:tr w:rsidR="00244FB6" w:rsidRPr="00402A31" w14:paraId="17B4CD3A" w14:textId="77777777" w:rsidTr="00A61EEF">
        <w:trPr>
          <w:trHeight w:val="3963"/>
        </w:trPr>
        <w:tc>
          <w:tcPr>
            <w:tcW w:w="4307" w:type="dxa"/>
            <w:tcBorders>
              <w:top w:val="nil"/>
              <w:left w:val="nil"/>
              <w:bottom w:val="nil"/>
              <w:right w:val="nil"/>
            </w:tcBorders>
          </w:tcPr>
          <w:p w14:paraId="2F686E53" w14:textId="0B58265C" w:rsidR="00244FB6" w:rsidRPr="001E72F8" w:rsidRDefault="009666D7" w:rsidP="00A61EEF">
            <w:pPr>
              <w:ind w:left="567" w:right="567" w:firstLine="0"/>
              <w:rPr>
                <w:rFonts w:cstheme="majorBidi"/>
                <w:sz w:val="20"/>
                <w:szCs w:val="20"/>
                <w:lang w:val="fr-FR"/>
              </w:rPr>
            </w:pPr>
            <w:r>
              <w:rPr>
                <w:rFonts w:cstheme="majorBidi"/>
                <w:sz w:val="20"/>
                <w:szCs w:val="20"/>
                <w:lang w:val="fr-FR"/>
              </w:rPr>
              <w:t>/</w:t>
            </w:r>
            <w:r w:rsidR="00244FB6" w:rsidRPr="001E72F8">
              <w:rPr>
                <w:rFonts w:cstheme="majorBidi"/>
                <w:sz w:val="20"/>
                <w:szCs w:val="20"/>
                <w:lang w:val="fr-FR"/>
              </w:rPr>
              <w:t>125v</w:t>
            </w:r>
            <w:r>
              <w:rPr>
                <w:rFonts w:cstheme="majorBidi"/>
                <w:sz w:val="20"/>
                <w:szCs w:val="20"/>
                <w:lang w:val="fr-FR"/>
              </w:rPr>
              <w:t>/</w:t>
            </w:r>
            <w:r w:rsidR="00244FB6" w:rsidRPr="001E72F8">
              <w:rPr>
                <w:rFonts w:cstheme="majorBidi"/>
                <w:sz w:val="20"/>
                <w:szCs w:val="20"/>
                <w:lang w:val="fr-FR"/>
              </w:rPr>
              <w:t xml:space="preserve"> </w:t>
            </w:r>
            <w:r w:rsidR="0066267E" w:rsidRPr="001E72F8">
              <w:rPr>
                <w:rFonts w:cstheme="majorBidi"/>
                <w:b/>
                <w:bCs/>
                <w:sz w:val="20"/>
                <w:szCs w:val="20"/>
                <w:lang w:val="fr-FR"/>
              </w:rPr>
              <w:t>Notandum quod letitia</w:t>
            </w:r>
            <w:r w:rsidR="0066267E" w:rsidRPr="001E72F8">
              <w:rPr>
                <w:rFonts w:cstheme="majorBidi"/>
                <w:sz w:val="20"/>
                <w:szCs w:val="20"/>
                <w:lang w:val="fr-FR"/>
              </w:rPr>
              <w:t xml:space="preserve"> (1222), </w:t>
            </w:r>
            <w:r w:rsidR="0066267E" w:rsidRPr="001E72F8">
              <w:rPr>
                <w:rFonts w:cstheme="majorBidi"/>
                <w:b/>
                <w:bCs/>
                <w:sz w:val="20"/>
                <w:szCs w:val="20"/>
                <w:lang w:val="fr-FR"/>
              </w:rPr>
              <w:t>adquisitio</w:t>
            </w:r>
            <w:r w:rsidR="0066267E" w:rsidRPr="001E72F8">
              <w:rPr>
                <w:rFonts w:cstheme="majorBidi"/>
                <w:sz w:val="20"/>
                <w:szCs w:val="20"/>
                <w:lang w:val="fr-FR"/>
              </w:rPr>
              <w:t xml:space="preserve"> (2121), </w:t>
            </w:r>
            <w:r w:rsidR="0066267E" w:rsidRPr="001E72F8">
              <w:rPr>
                <w:rFonts w:cstheme="majorBidi"/>
                <w:b/>
                <w:bCs/>
                <w:sz w:val="20"/>
                <w:szCs w:val="20"/>
                <w:lang w:val="fr-FR"/>
              </w:rPr>
              <w:t>fortuna</w:t>
            </w:r>
            <w:r w:rsidR="0066267E" w:rsidRPr="001E72F8">
              <w:rPr>
                <w:rFonts w:cstheme="majorBidi"/>
                <w:sz w:val="20"/>
                <w:szCs w:val="20"/>
                <w:lang w:val="fr-FR"/>
              </w:rPr>
              <w:t xml:space="preserve"> </w:t>
            </w:r>
            <w:r w:rsidR="0066267E" w:rsidRPr="001E72F8">
              <w:rPr>
                <w:rFonts w:cstheme="majorBidi"/>
                <w:b/>
                <w:bCs/>
                <w:sz w:val="20"/>
                <w:szCs w:val="20"/>
                <w:lang w:val="fr-FR"/>
              </w:rPr>
              <w:t>maior</w:t>
            </w:r>
            <w:r w:rsidR="0066267E" w:rsidRPr="001E72F8">
              <w:rPr>
                <w:rFonts w:cstheme="majorBidi"/>
                <w:sz w:val="20"/>
                <w:szCs w:val="20"/>
                <w:lang w:val="fr-FR"/>
              </w:rPr>
              <w:t xml:space="preserve"> (2211), </w:t>
            </w:r>
            <w:r w:rsidR="0066267E" w:rsidRPr="0024144B">
              <w:rPr>
                <w:b/>
                <w:bCs/>
                <w:sz w:val="20"/>
                <w:szCs w:val="20"/>
                <w:lang w:val="fr-FR"/>
              </w:rPr>
              <w:t xml:space="preserve">albus </w:t>
            </w:r>
            <w:r w:rsidR="0066267E" w:rsidRPr="001E72F8">
              <w:rPr>
                <w:rFonts w:cstheme="majorBidi"/>
                <w:sz w:val="20"/>
                <w:szCs w:val="20"/>
                <w:lang w:val="fr-FR"/>
              </w:rPr>
              <w:t xml:space="preserve">(2212), </w:t>
            </w:r>
            <w:r w:rsidR="0066267E" w:rsidRPr="001E72F8">
              <w:rPr>
                <w:rFonts w:cstheme="majorBidi"/>
                <w:b/>
                <w:bCs/>
                <w:sz w:val="20"/>
                <w:szCs w:val="20"/>
                <w:lang w:val="fr-FR"/>
              </w:rPr>
              <w:t>limes superior</w:t>
            </w:r>
            <w:r w:rsidR="0066267E" w:rsidRPr="001E72F8">
              <w:rPr>
                <w:rFonts w:cstheme="majorBidi"/>
                <w:sz w:val="20"/>
                <w:szCs w:val="20"/>
                <w:lang w:val="fr-FR"/>
              </w:rPr>
              <w:t xml:space="preserve"> (2111), </w:t>
            </w:r>
            <w:r w:rsidR="0066267E" w:rsidRPr="001E72F8">
              <w:rPr>
                <w:rFonts w:cstheme="majorBidi"/>
                <w:b/>
                <w:bCs/>
                <w:sz w:val="20"/>
                <w:szCs w:val="20"/>
                <w:lang w:val="fr-FR"/>
              </w:rPr>
              <w:t>puer</w:t>
            </w:r>
            <w:r w:rsidR="0066267E" w:rsidRPr="001E72F8">
              <w:rPr>
                <w:rFonts w:cstheme="majorBidi"/>
                <w:sz w:val="20"/>
                <w:szCs w:val="20"/>
                <w:lang w:val="fr-FR"/>
              </w:rPr>
              <w:t xml:space="preserve"> (1211) </w:t>
            </w:r>
            <w:r w:rsidR="0066267E" w:rsidRPr="001E72F8">
              <w:rPr>
                <w:rFonts w:cstheme="majorBidi"/>
                <w:b/>
                <w:bCs/>
                <w:sz w:val="20"/>
                <w:szCs w:val="20"/>
                <w:lang w:val="fr-FR"/>
              </w:rPr>
              <w:t xml:space="preserve">sunt in superiori bonitate bona. Tristitia </w:t>
            </w:r>
            <w:r w:rsidR="0066267E" w:rsidRPr="001E72F8">
              <w:rPr>
                <w:rFonts w:cstheme="majorBidi"/>
                <w:sz w:val="20"/>
                <w:szCs w:val="20"/>
                <w:lang w:val="fr-FR"/>
              </w:rPr>
              <w:t xml:space="preserve">(2221), </w:t>
            </w:r>
            <w:r w:rsidR="0066267E" w:rsidRPr="001E72F8">
              <w:rPr>
                <w:rFonts w:cstheme="majorBidi"/>
                <w:b/>
                <w:bCs/>
                <w:sz w:val="20"/>
                <w:szCs w:val="20"/>
                <w:lang w:val="fr-FR"/>
              </w:rPr>
              <w:t xml:space="preserve">rubeus </w:t>
            </w:r>
            <w:r w:rsidR="0066267E" w:rsidRPr="001E72F8">
              <w:rPr>
                <w:rFonts w:cstheme="majorBidi"/>
                <w:sz w:val="20"/>
                <w:szCs w:val="20"/>
                <w:lang w:val="fr-FR"/>
              </w:rPr>
              <w:t xml:space="preserve">(2122), </w:t>
            </w:r>
            <w:r w:rsidR="0066267E" w:rsidRPr="001E72F8">
              <w:rPr>
                <w:rFonts w:cstheme="majorBidi"/>
                <w:b/>
                <w:bCs/>
                <w:sz w:val="20"/>
                <w:szCs w:val="20"/>
                <w:lang w:val="fr-FR"/>
              </w:rPr>
              <w:t>amissio</w:t>
            </w:r>
            <w:r w:rsidR="0066267E" w:rsidRPr="001E72F8">
              <w:rPr>
                <w:rFonts w:cstheme="majorBidi"/>
                <w:sz w:val="20"/>
                <w:szCs w:val="20"/>
                <w:lang w:val="fr-FR"/>
              </w:rPr>
              <w:t xml:space="preserve"> (1212), </w:t>
            </w:r>
            <w:r w:rsidR="0066267E" w:rsidRPr="001E72F8">
              <w:rPr>
                <w:rFonts w:cstheme="majorBidi"/>
                <w:b/>
                <w:bCs/>
                <w:sz w:val="20"/>
                <w:szCs w:val="20"/>
                <w:lang w:val="fr-FR"/>
              </w:rPr>
              <w:t xml:space="preserve">limes inferior </w:t>
            </w:r>
            <w:r w:rsidR="0066267E" w:rsidRPr="001E72F8">
              <w:rPr>
                <w:rFonts w:cstheme="majorBidi"/>
                <w:sz w:val="20"/>
                <w:szCs w:val="20"/>
                <w:lang w:val="fr-FR"/>
              </w:rPr>
              <w:t xml:space="preserve">(1112), </w:t>
            </w:r>
            <w:r w:rsidR="0066267E" w:rsidRPr="001E72F8">
              <w:rPr>
                <w:rFonts w:cstheme="majorBidi"/>
                <w:b/>
                <w:bCs/>
                <w:sz w:val="20"/>
                <w:szCs w:val="20"/>
                <w:lang w:val="fr-FR"/>
              </w:rPr>
              <w:t>puella</w:t>
            </w:r>
            <w:r w:rsidR="0066267E" w:rsidRPr="001E72F8">
              <w:rPr>
                <w:rFonts w:cstheme="majorBidi"/>
                <w:sz w:val="20"/>
                <w:szCs w:val="20"/>
                <w:lang w:val="fr-FR"/>
              </w:rPr>
              <w:t xml:space="preserve"> (1121), </w:t>
            </w:r>
            <w:r w:rsidR="0066267E" w:rsidRPr="001E72F8">
              <w:rPr>
                <w:rFonts w:cstheme="majorBidi"/>
                <w:b/>
                <w:bCs/>
                <w:sz w:val="20"/>
                <w:szCs w:val="20"/>
                <w:lang w:val="fr-FR"/>
              </w:rPr>
              <w:t xml:space="preserve">sunt in </w:t>
            </w:r>
            <w:r w:rsidR="0066267E" w:rsidRPr="0024144B">
              <w:rPr>
                <w:sz w:val="20"/>
                <w:szCs w:val="20"/>
                <w:lang w:val="fr-FR"/>
              </w:rPr>
              <w:t>extrema malitia</w:t>
            </w:r>
            <w:r w:rsidR="0066267E" w:rsidRPr="001E72F8">
              <w:rPr>
                <w:rFonts w:cstheme="majorBidi"/>
                <w:b/>
                <w:bCs/>
                <w:sz w:val="20"/>
                <w:szCs w:val="20"/>
                <w:lang w:val="fr-FR"/>
              </w:rPr>
              <w:t xml:space="preserve"> mala. </w:t>
            </w:r>
            <w:r w:rsidR="0066267E" w:rsidRPr="001E72F8">
              <w:rPr>
                <w:rFonts w:cstheme="majorBidi"/>
                <w:b/>
                <w:bCs/>
                <w:sz w:val="20"/>
                <w:szCs w:val="20"/>
              </w:rPr>
              <w:t>Fortuna minor</w:t>
            </w:r>
            <w:r w:rsidR="0066267E" w:rsidRPr="001E72F8">
              <w:rPr>
                <w:rFonts w:cstheme="majorBidi"/>
                <w:sz w:val="20"/>
                <w:szCs w:val="20"/>
              </w:rPr>
              <w:t xml:space="preserve"> (1122), </w:t>
            </w:r>
            <w:r w:rsidR="0066267E" w:rsidRPr="001E72F8">
              <w:rPr>
                <w:rFonts w:cstheme="majorBidi"/>
                <w:b/>
                <w:bCs/>
                <w:sz w:val="20"/>
                <w:szCs w:val="20"/>
              </w:rPr>
              <w:t>via</w:t>
            </w:r>
            <w:r w:rsidR="0066267E" w:rsidRPr="001E72F8">
              <w:rPr>
                <w:rFonts w:cstheme="majorBidi"/>
                <w:sz w:val="20"/>
                <w:szCs w:val="20"/>
              </w:rPr>
              <w:t xml:space="preserve"> (1111), </w:t>
            </w:r>
            <w:r w:rsidR="0066267E" w:rsidRPr="001E72F8">
              <w:rPr>
                <w:rFonts w:cstheme="majorBidi"/>
                <w:b/>
                <w:bCs/>
                <w:sz w:val="20"/>
                <w:szCs w:val="20"/>
              </w:rPr>
              <w:t>temperate sunt bona. Populus vero</w:t>
            </w:r>
            <w:r w:rsidR="0066267E" w:rsidRPr="001E72F8">
              <w:rPr>
                <w:rFonts w:cstheme="majorBidi"/>
                <w:sz w:val="20"/>
                <w:szCs w:val="20"/>
              </w:rPr>
              <w:t xml:space="preserve"> (2222) </w:t>
            </w:r>
            <w:r w:rsidR="0066267E" w:rsidRPr="001E72F8">
              <w:rPr>
                <w:rFonts w:cstheme="majorBidi"/>
                <w:b/>
                <w:bCs/>
                <w:sz w:val="20"/>
                <w:szCs w:val="20"/>
              </w:rPr>
              <w:t>et adunatio</w:t>
            </w:r>
            <w:r w:rsidR="0066267E" w:rsidRPr="001E72F8">
              <w:rPr>
                <w:rFonts w:cstheme="majorBidi"/>
                <w:sz w:val="20"/>
                <w:szCs w:val="20"/>
              </w:rPr>
              <w:t xml:space="preserve"> (2112) </w:t>
            </w:r>
            <w:r w:rsidR="0066267E" w:rsidRPr="001E72F8">
              <w:rPr>
                <w:rFonts w:cstheme="majorBidi"/>
                <w:b/>
                <w:bCs/>
                <w:sz w:val="20"/>
                <w:szCs w:val="20"/>
              </w:rPr>
              <w:t xml:space="preserve">multitudinem </w:t>
            </w:r>
            <w:r w:rsidR="0066267E" w:rsidRPr="0024144B">
              <w:rPr>
                <w:sz w:val="20"/>
                <w:szCs w:val="20"/>
              </w:rPr>
              <w:t>significant in bono et in malo</w:t>
            </w:r>
            <w:r w:rsidR="0066267E" w:rsidRPr="001E72F8">
              <w:rPr>
                <w:rFonts w:cstheme="majorBidi"/>
                <w:b/>
                <w:bCs/>
                <w:sz w:val="20"/>
                <w:szCs w:val="20"/>
              </w:rPr>
              <w:t xml:space="preserve">. </w:t>
            </w:r>
            <w:r w:rsidR="0066267E" w:rsidRPr="001E72F8">
              <w:rPr>
                <w:rFonts w:cstheme="majorBidi"/>
                <w:b/>
                <w:bCs/>
                <w:sz w:val="20"/>
                <w:szCs w:val="20"/>
                <w:lang w:val="fr-FR"/>
              </w:rPr>
              <w:t>Carcer</w:t>
            </w:r>
            <w:r w:rsidR="0066267E" w:rsidRPr="001E72F8">
              <w:rPr>
                <w:rFonts w:cstheme="majorBidi"/>
                <w:sz w:val="20"/>
                <w:szCs w:val="20"/>
                <w:lang w:val="fr-FR"/>
              </w:rPr>
              <w:t xml:space="preserve"> (1221) </w:t>
            </w:r>
            <w:r w:rsidR="0066267E" w:rsidRPr="001E72F8">
              <w:rPr>
                <w:rFonts w:cstheme="majorBidi"/>
                <w:b/>
                <w:bCs/>
                <w:sz w:val="20"/>
                <w:szCs w:val="20"/>
                <w:lang w:val="fr-FR"/>
              </w:rPr>
              <w:t>in omnibus retentionem significat.</w:t>
            </w:r>
          </w:p>
        </w:tc>
        <w:tc>
          <w:tcPr>
            <w:tcW w:w="4307" w:type="dxa"/>
            <w:tcBorders>
              <w:top w:val="nil"/>
              <w:left w:val="nil"/>
              <w:bottom w:val="nil"/>
              <w:right w:val="nil"/>
            </w:tcBorders>
          </w:tcPr>
          <w:p w14:paraId="545D3B32" w14:textId="67BE3DB2" w:rsidR="00244FB6" w:rsidRPr="001E72F8" w:rsidRDefault="009666D7" w:rsidP="00A61EEF">
            <w:pPr>
              <w:ind w:left="567" w:right="567" w:firstLine="0"/>
              <w:rPr>
                <w:rFonts w:cstheme="majorBidi"/>
                <w:sz w:val="20"/>
                <w:szCs w:val="20"/>
                <w:lang w:val="fr-FR"/>
              </w:rPr>
            </w:pPr>
            <w:r>
              <w:rPr>
                <w:rFonts w:cstheme="majorBidi"/>
                <w:sz w:val="20"/>
                <w:szCs w:val="20"/>
                <w:lang w:val="fr-FR"/>
              </w:rPr>
              <w:t>/</w:t>
            </w:r>
            <w:r w:rsidR="00244FB6" w:rsidRPr="001E72F8">
              <w:rPr>
                <w:rFonts w:cstheme="majorBidi"/>
                <w:sz w:val="20"/>
                <w:szCs w:val="20"/>
                <w:lang w:val="fr-FR"/>
              </w:rPr>
              <w:t>93r</w:t>
            </w:r>
            <w:r>
              <w:rPr>
                <w:rFonts w:cstheme="majorBidi"/>
                <w:sz w:val="20"/>
                <w:szCs w:val="20"/>
                <w:lang w:val="fr-FR"/>
              </w:rPr>
              <w:t>/</w:t>
            </w:r>
            <w:r w:rsidR="00244FB6" w:rsidRPr="001E72F8">
              <w:rPr>
                <w:rFonts w:cstheme="majorBidi"/>
                <w:sz w:val="20"/>
                <w:szCs w:val="20"/>
                <w:lang w:val="fr-FR"/>
              </w:rPr>
              <w:t xml:space="preserve"> </w:t>
            </w:r>
            <w:r w:rsidR="0066267E" w:rsidRPr="001E72F8">
              <w:rPr>
                <w:rFonts w:cstheme="majorBidi"/>
                <w:b/>
                <w:bCs/>
                <w:sz w:val="20"/>
                <w:szCs w:val="20"/>
                <w:lang w:val="fr-FR"/>
              </w:rPr>
              <w:t xml:space="preserve">Notandum est quod letitia et acquisitio et fortuna maior, albus </w:t>
            </w:r>
            <w:r w:rsidR="0066267E" w:rsidRPr="0024144B">
              <w:rPr>
                <w:sz w:val="20"/>
                <w:szCs w:val="20"/>
                <w:lang w:val="fr-FR"/>
              </w:rPr>
              <w:t>et</w:t>
            </w:r>
            <w:r w:rsidR="0066267E" w:rsidRPr="001E72F8">
              <w:rPr>
                <w:rFonts w:cstheme="majorBidi"/>
                <w:b/>
                <w:bCs/>
                <w:sz w:val="20"/>
                <w:szCs w:val="20"/>
                <w:lang w:val="fr-FR"/>
              </w:rPr>
              <w:t xml:space="preserve"> limes superior </w:t>
            </w:r>
            <w:r w:rsidR="0066267E" w:rsidRPr="0024144B">
              <w:rPr>
                <w:sz w:val="20"/>
                <w:szCs w:val="20"/>
                <w:lang w:val="fr-FR"/>
              </w:rPr>
              <w:t>et</w:t>
            </w:r>
            <w:r w:rsidR="0066267E" w:rsidRPr="001E72F8">
              <w:rPr>
                <w:rFonts w:cstheme="majorBidi"/>
                <w:b/>
                <w:bCs/>
                <w:sz w:val="20"/>
                <w:szCs w:val="20"/>
                <w:lang w:val="fr-FR"/>
              </w:rPr>
              <w:t xml:space="preserve"> puer sunt in superiore bonitate bona. Populus vero et </w:t>
            </w:r>
            <w:r w:rsidR="0066267E" w:rsidRPr="0024144B">
              <w:rPr>
                <w:sz w:val="20"/>
                <w:szCs w:val="20"/>
                <w:lang w:val="fr-FR"/>
              </w:rPr>
              <w:t>coadunatum</w:t>
            </w:r>
            <w:r w:rsidR="0066267E">
              <w:rPr>
                <w:rFonts w:cstheme="majorBidi"/>
                <w:b/>
                <w:bCs/>
                <w:sz w:val="20"/>
                <w:szCs w:val="20"/>
                <w:lang w:val="fr-FR"/>
              </w:rPr>
              <w:t xml:space="preserve"> </w:t>
            </w:r>
            <w:r w:rsidR="0066267E" w:rsidRPr="001E72F8">
              <w:rPr>
                <w:rFonts w:cstheme="majorBidi"/>
                <w:b/>
                <w:bCs/>
                <w:sz w:val="20"/>
                <w:szCs w:val="20"/>
                <w:lang w:val="fr-FR"/>
              </w:rPr>
              <w:t xml:space="preserve">in multitudinem boni, </w:t>
            </w:r>
            <w:r w:rsidR="0066267E" w:rsidRPr="0024144B">
              <w:rPr>
                <w:sz w:val="20"/>
                <w:szCs w:val="20"/>
                <w:lang w:val="fr-FR"/>
              </w:rPr>
              <w:t>in</w:t>
            </w:r>
            <w:r w:rsidR="0066267E" w:rsidRPr="001E72F8">
              <w:rPr>
                <w:rFonts w:cstheme="majorBidi"/>
                <w:b/>
                <w:bCs/>
                <w:sz w:val="20"/>
                <w:szCs w:val="20"/>
                <w:lang w:val="fr-FR"/>
              </w:rPr>
              <w:t xml:space="preserve"> multitudinem mali. </w:t>
            </w:r>
            <w:r w:rsidR="0066267E" w:rsidRPr="00FB6FDC">
              <w:rPr>
                <w:rFonts w:cstheme="majorBidi"/>
                <w:b/>
                <w:bCs/>
                <w:sz w:val="20"/>
                <w:szCs w:val="20"/>
                <w:lang w:val="fr-FR"/>
              </w:rPr>
              <w:t>Puella, limes inferior et</w:t>
            </w:r>
            <w:r w:rsidR="0066267E" w:rsidRPr="001E72F8">
              <w:rPr>
                <w:rFonts w:cstheme="majorBidi"/>
                <w:b/>
                <w:bCs/>
                <w:sz w:val="20"/>
                <w:szCs w:val="20"/>
                <w:lang w:val="fr-FR"/>
              </w:rPr>
              <w:t xml:space="preserve"> rubeus sunt</w:t>
            </w:r>
            <w:r w:rsidR="0066267E" w:rsidRPr="0024144B">
              <w:rPr>
                <w:sz w:val="20"/>
                <w:szCs w:val="20"/>
                <w:lang w:val="fr-FR"/>
              </w:rPr>
              <w:t xml:space="preserve"> in superiori</w:t>
            </w:r>
            <w:r w:rsidR="0066267E" w:rsidRPr="001E72F8">
              <w:rPr>
                <w:rFonts w:cstheme="majorBidi"/>
                <w:b/>
                <w:bCs/>
                <w:sz w:val="20"/>
                <w:szCs w:val="20"/>
                <w:lang w:val="fr-FR"/>
              </w:rPr>
              <w:t xml:space="preserve"> mali. Tristitia et amissio, fortuna minor </w:t>
            </w:r>
            <w:r w:rsidR="0066267E" w:rsidRPr="0024144B">
              <w:rPr>
                <w:sz w:val="20"/>
                <w:szCs w:val="20"/>
                <w:lang w:val="fr-FR"/>
              </w:rPr>
              <w:t>minus mala</w:t>
            </w:r>
            <w:r w:rsidR="0066267E" w:rsidRPr="001E72F8">
              <w:rPr>
                <w:rFonts w:cstheme="majorBidi"/>
                <w:b/>
                <w:bCs/>
                <w:sz w:val="20"/>
                <w:szCs w:val="20"/>
                <w:lang w:val="fr-FR"/>
              </w:rPr>
              <w:t>. Via temperate bonum. Carcer vero in omnibus retemptionem significat.</w:t>
            </w:r>
          </w:p>
        </w:tc>
      </w:tr>
    </w:tbl>
    <w:p w14:paraId="63DDE34A" w14:textId="3C2FD004" w:rsidR="00EC3271" w:rsidRDefault="00244FB6" w:rsidP="00F862BE">
      <w:pPr>
        <w:ind w:firstLine="0"/>
      </w:pPr>
      <w:r>
        <w:tab/>
        <w:t xml:space="preserve">Interestingly, part of the material included in the </w:t>
      </w:r>
      <w:r w:rsidRPr="00250260">
        <w:rPr>
          <w:i/>
          <w:iCs/>
        </w:rPr>
        <w:t>Liber arenalis scientiae</w:t>
      </w:r>
      <w:r>
        <w:t xml:space="preserve"> by the compiler is found in two manuscripts in vernacular, one in English, the codex </w:t>
      </w:r>
      <w:r w:rsidRPr="00250260">
        <w:t xml:space="preserve">Oxford, Bodleian Library, Ashmole 1478, </w:t>
      </w:r>
      <w:r>
        <w:t>(</w:t>
      </w:r>
      <w:r w:rsidRPr="00250260">
        <w:t>XVI-XVII c</w:t>
      </w:r>
      <w:r>
        <w:t xml:space="preserve">.), and one in Middle French, codex </w:t>
      </w:r>
      <w:r w:rsidRPr="00250260">
        <w:t xml:space="preserve">Oxford, </w:t>
      </w:r>
      <w:r w:rsidRPr="00250260">
        <w:lastRenderedPageBreak/>
        <w:t>Bodleian Library, Bodley 625</w:t>
      </w:r>
      <w:r>
        <w:t xml:space="preserve"> (</w:t>
      </w:r>
      <w:r w:rsidRPr="00250260">
        <w:t>XIII-XIV c.</w:t>
      </w:r>
      <w:r>
        <w:t xml:space="preserve">), both produced in England. What these two geomantic compilations contain correspond to the last chapter in the </w:t>
      </w:r>
      <w:r w:rsidRPr="00882E1D">
        <w:rPr>
          <w:i/>
          <w:iCs/>
        </w:rPr>
        <w:t>Liber arenalis scientiae</w:t>
      </w:r>
      <w:r>
        <w:t xml:space="preserve">, </w:t>
      </w:r>
      <w:r w:rsidR="00781C57">
        <w:t>en</w:t>
      </w:r>
      <w:r>
        <w:t>titled ‘On the rules for discovering the intention according to the astrologer Aephata’ (</w:t>
      </w:r>
      <w:r w:rsidRPr="00525E13">
        <w:rPr>
          <w:i/>
          <w:iCs/>
        </w:rPr>
        <w:t>De regulis inveniendi intentionem secundum aephata astrologum</w:t>
      </w:r>
      <w:r>
        <w:t xml:space="preserve">), in </w:t>
      </w:r>
      <w:r w:rsidRPr="00250260">
        <w:t>Ashmole 1478</w:t>
      </w:r>
      <w:r w:rsidRPr="00F50A7D">
        <w:t xml:space="preserve"> </w:t>
      </w:r>
      <w:r>
        <w:t>‘</w:t>
      </w:r>
      <w:r w:rsidRPr="00F50A7D">
        <w:t>To know the intente of the querente</w:t>
      </w:r>
      <w:r>
        <w:t xml:space="preserve">,’ and in </w:t>
      </w:r>
      <w:r w:rsidRPr="00250260">
        <w:t>Bodley 625</w:t>
      </w:r>
      <w:r>
        <w:t xml:space="preserve"> </w:t>
      </w:r>
      <w:r w:rsidRPr="00F50A7D">
        <w:t>‘</w:t>
      </w:r>
      <w:r>
        <w:t>D</w:t>
      </w:r>
      <w:r w:rsidRPr="00F50A7D">
        <w:t>es rueles de trouver l’entencion del demaundant</w:t>
      </w:r>
      <w:r>
        <w:t>.</w:t>
      </w:r>
      <w:r w:rsidRPr="00F50A7D">
        <w:t>’</w:t>
      </w:r>
      <w:r w:rsidRPr="006434E6">
        <w:t xml:space="preserve"> </w:t>
      </w:r>
      <w:r w:rsidRPr="00250260">
        <w:t>Bodley 625</w:t>
      </w:r>
      <w:r>
        <w:t xml:space="preserve"> is a composite manuscript containing texts on astrology, astronomy and geomancy, with some sections dating from the thirteenth century and others from the fourteenth, some of the works contained in it are in Latin, while others are in Old French, and written by different hands. The first part of this codex dates from the first half of the fourteenth century, and contains four different short texts on geomancy, among which a chapter in Old French on how to discover the querent’s intention, and some material that draws from the </w:t>
      </w:r>
      <w:r w:rsidRPr="001941B1">
        <w:rPr>
          <w:i/>
          <w:iCs/>
        </w:rPr>
        <w:t xml:space="preserve">Estimaverunt Indi </w:t>
      </w:r>
      <w:r>
        <w:t xml:space="preserve">and Hugo Sanctelliensis’ </w:t>
      </w:r>
      <w:r w:rsidRPr="001941B1">
        <w:rPr>
          <w:i/>
          <w:iCs/>
        </w:rPr>
        <w:t>Ars geomantiae</w:t>
      </w:r>
      <w:r>
        <w:t xml:space="preserve">. Following these geomantic texts is an astronomical canon written in Latin and dating from the end of the thirteenth century, a treatise on the astrolabe also in Latin and from the same period, and a copy of </w:t>
      </w:r>
      <w:r w:rsidR="00667A81">
        <w:t>Honorius Augustodunensis’</w:t>
      </w:r>
      <w:r>
        <w:t xml:space="preserve"> </w:t>
      </w:r>
      <w:r w:rsidRPr="001941B1">
        <w:rPr>
          <w:i/>
          <w:iCs/>
        </w:rPr>
        <w:t>Imago mundi</w:t>
      </w:r>
      <w:r>
        <w:t xml:space="preserve">. MS. Ashmole 1478 contains a collection of alchemical and Rosicrucian texts in English, of which the chapter on the intention of the querent represents the only texts dealing with geomancy. </w:t>
      </w:r>
      <w:r w:rsidR="00525E13">
        <w:t>Table 4 displays</w:t>
      </w:r>
      <w:r>
        <w:t xml:space="preserve"> the text of Ashmole 1478 and </w:t>
      </w:r>
      <w:r w:rsidRPr="00250260">
        <w:t>Bodley 625</w:t>
      </w:r>
      <w:r>
        <w:t xml:space="preserve"> together with the text of the </w:t>
      </w:r>
      <w:r w:rsidRPr="00B90351">
        <w:rPr>
          <w:i/>
          <w:iCs/>
        </w:rPr>
        <w:t>Liber arenalis scientiae</w:t>
      </w:r>
      <w:r>
        <w:t xml:space="preserve"> in the codex </w:t>
      </w:r>
      <w:r w:rsidRPr="003F5BC2">
        <w:t>Cambridge, Magdalen Coll., F.4.27</w:t>
      </w:r>
      <w:r>
        <w:t xml:space="preserve"> that exhibits the same material, showing how these three manuscripts draw from a common source for this section on the investigation of the querent’s intention. Unfortunately, the text in </w:t>
      </w:r>
      <w:r w:rsidRPr="00250260">
        <w:t>Bodley 625</w:t>
      </w:r>
      <w:r>
        <w:t xml:space="preserve"> is in large part faded so </w:t>
      </w:r>
      <w:r w:rsidR="00F63CDD">
        <w:t>only a partial transcription of it has been possible.</w:t>
      </w:r>
    </w:p>
    <w:p w14:paraId="681C0F20" w14:textId="77777777" w:rsidR="00F862BE" w:rsidRDefault="00F862BE" w:rsidP="00F862BE">
      <w:pPr>
        <w:ind w:firstLine="0"/>
      </w:pPr>
    </w:p>
    <w:p w14:paraId="2BBEE773" w14:textId="5257F0A4" w:rsidR="00244FB6" w:rsidRDefault="00244FB6" w:rsidP="00B704E5">
      <w:pPr>
        <w:spacing w:line="240" w:lineRule="auto"/>
        <w:ind w:firstLine="0"/>
      </w:pPr>
      <w:r w:rsidRPr="008258BD">
        <w:rPr>
          <w:b/>
          <w:bCs/>
        </w:rPr>
        <w:t xml:space="preserve">Table </w:t>
      </w:r>
      <w:r w:rsidR="00525E13">
        <w:rPr>
          <w:b/>
          <w:bCs/>
        </w:rPr>
        <w:t>4</w:t>
      </w:r>
      <w:r w:rsidRPr="008258BD">
        <w:rPr>
          <w:b/>
          <w:bCs/>
        </w:rPr>
        <w:t>.</w:t>
      </w:r>
      <w:r>
        <w:t xml:space="preserve"> Material concerning the the discovery of the querent’s intention common to the manuscripts </w:t>
      </w:r>
      <w:r w:rsidRPr="00355784">
        <w:t>Magdalen Coll., F.4.27</w:t>
      </w:r>
      <w:r>
        <w:t xml:space="preserve">, Ashmole </w:t>
      </w:r>
      <w:bookmarkStart w:id="54" w:name="_Hlk146795633"/>
      <w:r>
        <w:t>1478</w:t>
      </w:r>
      <w:bookmarkEnd w:id="54"/>
      <w:r>
        <w:t xml:space="preserve">, </w:t>
      </w:r>
      <w:r w:rsidRPr="00250260">
        <w:t>Bodley 625</w:t>
      </w:r>
      <w:r>
        <w:t>.</w:t>
      </w:r>
    </w:p>
    <w:p w14:paraId="55C20124" w14:textId="77777777" w:rsidR="00244FB6" w:rsidRDefault="00244FB6" w:rsidP="00244FB6">
      <w:pPr>
        <w:ind w:firstLine="0"/>
      </w:pPr>
    </w:p>
    <w:tbl>
      <w:tblPr>
        <w:tblStyle w:val="TableGrid"/>
        <w:tblW w:w="9072" w:type="dxa"/>
        <w:tblInd w:w="-5" w:type="dxa"/>
        <w:tblLook w:val="04A0" w:firstRow="1" w:lastRow="0" w:firstColumn="1" w:lastColumn="0" w:noHBand="0" w:noVBand="1"/>
      </w:tblPr>
      <w:tblGrid>
        <w:gridCol w:w="2977"/>
        <w:gridCol w:w="3119"/>
        <w:gridCol w:w="2976"/>
      </w:tblGrid>
      <w:tr w:rsidR="00244FB6" w:rsidRPr="004D7265" w14:paraId="3E9D437F" w14:textId="77777777" w:rsidTr="00B704E5">
        <w:trPr>
          <w:trHeight w:val="557"/>
        </w:trPr>
        <w:tc>
          <w:tcPr>
            <w:tcW w:w="2977" w:type="dxa"/>
          </w:tcPr>
          <w:p w14:paraId="0EB29E2B" w14:textId="77777777" w:rsidR="00244FB6" w:rsidRPr="00CE58AC" w:rsidRDefault="00244FB6" w:rsidP="00A61EEF">
            <w:pPr>
              <w:ind w:firstLine="0"/>
              <w:rPr>
                <w:sz w:val="20"/>
                <w:szCs w:val="20"/>
              </w:rPr>
            </w:pPr>
            <w:bookmarkStart w:id="55" w:name="_Hlk146706873"/>
            <w:r w:rsidRPr="00CE58AC">
              <w:rPr>
                <w:sz w:val="20"/>
                <w:szCs w:val="20"/>
              </w:rPr>
              <w:lastRenderedPageBreak/>
              <w:t xml:space="preserve">Cambridge, Magdalen Coll., </w:t>
            </w:r>
            <w:r w:rsidRPr="00CE58AC">
              <w:rPr>
                <w:sz w:val="20"/>
                <w:szCs w:val="20"/>
                <w:lang w:val="pt-PT"/>
              </w:rPr>
              <w:t xml:space="preserve">F.4.27, </w:t>
            </w:r>
            <w:bookmarkEnd w:id="55"/>
            <w:r w:rsidRPr="00CE58AC">
              <w:rPr>
                <w:sz w:val="20"/>
                <w:szCs w:val="20"/>
                <w:lang w:val="pt-PT"/>
              </w:rPr>
              <w:t>XIV c.</w:t>
            </w:r>
          </w:p>
        </w:tc>
        <w:tc>
          <w:tcPr>
            <w:tcW w:w="3119" w:type="dxa"/>
          </w:tcPr>
          <w:p w14:paraId="756A9429" w14:textId="77777777" w:rsidR="00244FB6" w:rsidRPr="004D7265" w:rsidRDefault="00244FB6" w:rsidP="00A61EEF">
            <w:pPr>
              <w:ind w:firstLine="0"/>
              <w:rPr>
                <w:sz w:val="20"/>
                <w:szCs w:val="20"/>
              </w:rPr>
            </w:pPr>
            <w:r w:rsidRPr="004D7265">
              <w:rPr>
                <w:sz w:val="20"/>
                <w:szCs w:val="20"/>
              </w:rPr>
              <w:t>Oxford, Bodleian Library, Ashmole 1478</w:t>
            </w:r>
            <w:r>
              <w:rPr>
                <w:sz w:val="20"/>
                <w:szCs w:val="20"/>
              </w:rPr>
              <w:t>, XVI-XVII c.</w:t>
            </w:r>
            <w:r w:rsidRPr="004D7265">
              <w:rPr>
                <w:sz w:val="20"/>
                <w:szCs w:val="20"/>
              </w:rPr>
              <w:t xml:space="preserve"> </w:t>
            </w:r>
          </w:p>
          <w:p w14:paraId="14C2E01C" w14:textId="77777777" w:rsidR="00244FB6" w:rsidRPr="004D7265" w:rsidRDefault="00244FB6" w:rsidP="00A61EEF">
            <w:pPr>
              <w:rPr>
                <w:sz w:val="20"/>
                <w:szCs w:val="20"/>
              </w:rPr>
            </w:pPr>
          </w:p>
        </w:tc>
        <w:tc>
          <w:tcPr>
            <w:tcW w:w="2976" w:type="dxa"/>
          </w:tcPr>
          <w:p w14:paraId="131C455A" w14:textId="77777777" w:rsidR="00244FB6" w:rsidRPr="004D7265" w:rsidRDefault="00244FB6" w:rsidP="00A61EEF">
            <w:pPr>
              <w:ind w:firstLine="0"/>
              <w:rPr>
                <w:sz w:val="20"/>
                <w:szCs w:val="20"/>
              </w:rPr>
            </w:pPr>
            <w:r>
              <w:rPr>
                <w:sz w:val="20"/>
                <w:szCs w:val="20"/>
              </w:rPr>
              <w:t xml:space="preserve">Oxford, Bodleian Library, Bodley 625, XIII-XIV c. </w:t>
            </w:r>
          </w:p>
        </w:tc>
      </w:tr>
      <w:tr w:rsidR="00244FB6" w:rsidRPr="004D7265" w14:paraId="323A06E0" w14:textId="77777777" w:rsidTr="00B704E5">
        <w:trPr>
          <w:trHeight w:val="5519"/>
        </w:trPr>
        <w:tc>
          <w:tcPr>
            <w:tcW w:w="2977" w:type="dxa"/>
          </w:tcPr>
          <w:p w14:paraId="323322A6" w14:textId="3339C5BB" w:rsidR="00244FB6" w:rsidRPr="00B704E5" w:rsidRDefault="00B704E5" w:rsidP="00A61EEF">
            <w:pPr>
              <w:ind w:firstLine="0"/>
              <w:rPr>
                <w:sz w:val="20"/>
                <w:szCs w:val="20"/>
                <w:lang w:val="pt-PT"/>
              </w:rPr>
            </w:pPr>
            <w:r>
              <w:rPr>
                <w:sz w:val="20"/>
                <w:szCs w:val="20"/>
              </w:rPr>
              <w:t>/</w:t>
            </w:r>
            <w:r w:rsidR="00244FB6" w:rsidRPr="00CE58AC">
              <w:rPr>
                <w:sz w:val="20"/>
                <w:szCs w:val="20"/>
              </w:rPr>
              <w:t>123v</w:t>
            </w:r>
            <w:r>
              <w:rPr>
                <w:sz w:val="20"/>
                <w:szCs w:val="20"/>
              </w:rPr>
              <w:t>/</w:t>
            </w:r>
            <w:r w:rsidR="00244FB6" w:rsidRPr="00CE58AC">
              <w:rPr>
                <w:sz w:val="20"/>
                <w:szCs w:val="20"/>
              </w:rPr>
              <w:t xml:space="preserve"> </w:t>
            </w:r>
            <w:r w:rsidR="00244FB6" w:rsidRPr="00B704E5">
              <w:rPr>
                <w:sz w:val="20"/>
                <w:szCs w:val="20"/>
                <w:lang w:val="pt-PT"/>
              </w:rPr>
              <w:t>De regulis inveniendi intentionem secundum aephata astrologum.</w:t>
            </w:r>
          </w:p>
          <w:p w14:paraId="6EC50707" w14:textId="77777777" w:rsidR="00244FB6" w:rsidRDefault="00244FB6" w:rsidP="00A61EEF">
            <w:pPr>
              <w:rPr>
                <w:sz w:val="20"/>
                <w:szCs w:val="20"/>
              </w:rPr>
            </w:pPr>
          </w:p>
          <w:p w14:paraId="17AB97C0" w14:textId="77777777" w:rsidR="00244FB6" w:rsidRPr="00CE58AC" w:rsidRDefault="00244FB6" w:rsidP="00A61EEF">
            <w:pPr>
              <w:rPr>
                <w:sz w:val="20"/>
                <w:szCs w:val="20"/>
              </w:rPr>
            </w:pPr>
          </w:p>
          <w:p w14:paraId="2CE94C23" w14:textId="77777777" w:rsidR="00244FB6" w:rsidRPr="00CE58AC" w:rsidRDefault="00244FB6" w:rsidP="00A61EEF">
            <w:pPr>
              <w:ind w:firstLine="0"/>
              <w:rPr>
                <w:sz w:val="20"/>
                <w:szCs w:val="20"/>
                <w:lang w:val="pt-PT"/>
              </w:rPr>
            </w:pPr>
            <w:r w:rsidRPr="00CE58AC">
              <w:rPr>
                <w:sz w:val="20"/>
                <w:szCs w:val="20"/>
                <w:lang w:val="pt-PT"/>
              </w:rPr>
              <w:t xml:space="preserve">Hec sunt regule quas excepit aephatan sapiens astronomicus cum quibus operatus est in vita sua et post illum arabes usion(?) et egiptii ceterique sapientes. Iste sunt IIIIor regule que te docebunt quid velint vel quid cogitant homines. Prius t&lt;amen&gt; manifestum sit quid in corde teneatur. Quas regulas sine numero series. </w:t>
            </w:r>
          </w:p>
          <w:p w14:paraId="0D1A94B6" w14:textId="77777777" w:rsidR="00244FB6" w:rsidRPr="00CE58AC" w:rsidRDefault="00244FB6" w:rsidP="00A61EEF">
            <w:pPr>
              <w:rPr>
                <w:sz w:val="20"/>
                <w:szCs w:val="20"/>
                <w:lang w:val="pt-PT"/>
              </w:rPr>
            </w:pPr>
          </w:p>
          <w:p w14:paraId="4FC7D438" w14:textId="77777777" w:rsidR="00244FB6" w:rsidRDefault="00244FB6" w:rsidP="00A61EEF">
            <w:pPr>
              <w:rPr>
                <w:sz w:val="20"/>
                <w:szCs w:val="20"/>
                <w:lang w:val="pt-PT"/>
              </w:rPr>
            </w:pPr>
          </w:p>
          <w:p w14:paraId="40255AD6" w14:textId="77777777" w:rsidR="00244FB6" w:rsidRPr="00CE58AC" w:rsidRDefault="00244FB6" w:rsidP="00A61EEF">
            <w:pPr>
              <w:rPr>
                <w:sz w:val="20"/>
                <w:szCs w:val="20"/>
                <w:lang w:val="pt-PT"/>
              </w:rPr>
            </w:pPr>
          </w:p>
          <w:p w14:paraId="741A8C32" w14:textId="477F66E8" w:rsidR="00244FB6" w:rsidRPr="00CE58AC" w:rsidRDefault="00244FB6" w:rsidP="00A61EEF">
            <w:pPr>
              <w:ind w:firstLine="0"/>
              <w:rPr>
                <w:sz w:val="20"/>
                <w:szCs w:val="20"/>
                <w:lang w:val="pt-PT"/>
              </w:rPr>
            </w:pPr>
            <w:r w:rsidRPr="00CE58AC">
              <w:rPr>
                <w:sz w:val="20"/>
                <w:szCs w:val="20"/>
                <w:lang w:val="pt-PT"/>
              </w:rPr>
              <w:t>Et si remanserit in ultima computatione tale singnum (1111), dic ei: ‘Tu interrogas me pro motione vel itinere de loco ad locum’. Si responderit: ‘Verum’, dic quod custodiat de socio suo qui tradet eum, seducet vel de corpore suo, vel pecunia</w:t>
            </w:r>
            <w:r w:rsidR="00F862BE">
              <w:rPr>
                <w:sz w:val="20"/>
                <w:szCs w:val="20"/>
                <w:lang w:val="pt-PT"/>
              </w:rPr>
              <w:t>.</w:t>
            </w:r>
            <w:r w:rsidRPr="00CE58AC">
              <w:rPr>
                <w:sz w:val="20"/>
                <w:szCs w:val="20"/>
                <w:lang w:val="pt-PT"/>
              </w:rPr>
              <w:t xml:space="preserve"> </w:t>
            </w:r>
            <w:r w:rsidR="00F862BE">
              <w:rPr>
                <w:sz w:val="20"/>
                <w:szCs w:val="20"/>
                <w:lang w:val="pt-PT"/>
              </w:rPr>
              <w:t>Q</w:t>
            </w:r>
            <w:r w:rsidRPr="00CE58AC">
              <w:rPr>
                <w:sz w:val="20"/>
                <w:szCs w:val="20"/>
                <w:lang w:val="pt-PT"/>
              </w:rPr>
              <w:t>uod si dixerit: ‘Volo iter ager</w:t>
            </w:r>
            <w:r w:rsidR="00F862BE">
              <w:rPr>
                <w:sz w:val="20"/>
                <w:szCs w:val="20"/>
                <w:lang w:val="pt-PT"/>
              </w:rPr>
              <w:t>e</w:t>
            </w:r>
            <w:r w:rsidRPr="00CE58AC">
              <w:rPr>
                <w:sz w:val="20"/>
                <w:szCs w:val="20"/>
                <w:lang w:val="pt-PT"/>
              </w:rPr>
              <w:t>’, dic ei: ‘Inquiris pro homine qui est in itinere, vel pro homine qui a te elongatus est, aut pro re perdita que exivit de manu tua quam recuperabis, et serviens simul cum furto motus est de loco ad locum. Et hec sors bona est in emendo vel vendendo, et in dare vel accipere et res quam vis accipere bona erit, et res iam perdita non revertetur, nisi deo placuerit’.</w:t>
            </w:r>
          </w:p>
          <w:p w14:paraId="39814CCE" w14:textId="77777777" w:rsidR="00244FB6" w:rsidRPr="00CE58AC" w:rsidRDefault="00244FB6" w:rsidP="00A61EEF">
            <w:pPr>
              <w:rPr>
                <w:sz w:val="20"/>
                <w:szCs w:val="20"/>
                <w:lang w:val="pt-PT"/>
              </w:rPr>
            </w:pPr>
          </w:p>
          <w:p w14:paraId="306C5161" w14:textId="77777777" w:rsidR="00244FB6" w:rsidRPr="00CE58AC" w:rsidRDefault="00244FB6" w:rsidP="00A61EEF">
            <w:pPr>
              <w:rPr>
                <w:sz w:val="20"/>
                <w:szCs w:val="20"/>
                <w:lang w:val="pt-PT"/>
              </w:rPr>
            </w:pPr>
          </w:p>
          <w:p w14:paraId="467AC836" w14:textId="53A1133A" w:rsidR="00244FB6" w:rsidRPr="00CE58AC" w:rsidRDefault="00244FB6" w:rsidP="00A61EEF">
            <w:pPr>
              <w:ind w:firstLine="0"/>
              <w:rPr>
                <w:sz w:val="20"/>
                <w:szCs w:val="20"/>
                <w:lang w:val="pt-PT"/>
              </w:rPr>
            </w:pPr>
            <w:r w:rsidRPr="00B704E5">
              <w:rPr>
                <w:sz w:val="20"/>
                <w:szCs w:val="20"/>
                <w:lang w:val="pt-PT"/>
              </w:rPr>
              <w:t>De significatione limitis exeuntis.</w:t>
            </w:r>
            <w:r w:rsidRPr="00CE58AC">
              <w:rPr>
                <w:sz w:val="20"/>
                <w:szCs w:val="20"/>
                <w:lang w:val="pt-PT"/>
              </w:rPr>
              <w:t xml:space="preserve"> Si venerint tres a duo in hac similitudine (1112) dic: ‘Tu inquiris pro itinere agendo vel parente qui a te elongatur, vel re perdita quam non recuperabis’. Qui hec sors ceciderit, non habet bonam horam nisi in itinere, &lt;nec&gt; sponsalia[s] facere </w:t>
            </w:r>
            <w:r w:rsidR="00B704E5">
              <w:rPr>
                <w:sz w:val="20"/>
                <w:szCs w:val="20"/>
                <w:lang w:val="pt-PT"/>
              </w:rPr>
              <w:t>/</w:t>
            </w:r>
            <w:r w:rsidRPr="00CE58AC">
              <w:rPr>
                <w:sz w:val="20"/>
                <w:szCs w:val="20"/>
                <w:lang w:val="pt-PT"/>
              </w:rPr>
              <w:t>124r</w:t>
            </w:r>
            <w:r w:rsidR="00B704E5">
              <w:rPr>
                <w:sz w:val="20"/>
                <w:szCs w:val="20"/>
                <w:lang w:val="pt-PT"/>
              </w:rPr>
              <w:t>/</w:t>
            </w:r>
            <w:r w:rsidRPr="00CE58AC">
              <w:rPr>
                <w:sz w:val="20"/>
                <w:szCs w:val="20"/>
                <w:lang w:val="pt-PT"/>
              </w:rPr>
              <w:t xml:space="preserve"> neque nubere bonum est. Infirmus morietur vel infirmitas prolongabitur et homo qui foras exivit non revertetur domum, neque res perdita, aventura sua bona cecid&lt;er&gt;it, domusque deserta et casu malo adveniente, </w:t>
            </w:r>
            <w:r w:rsidRPr="00CE58AC">
              <w:rPr>
                <w:sz w:val="20"/>
                <w:szCs w:val="20"/>
                <w:lang w:val="pt-PT"/>
              </w:rPr>
              <w:lastRenderedPageBreak/>
              <w:t xml:space="preserve">et </w:t>
            </w:r>
            <w:r w:rsidR="00BC5722">
              <w:rPr>
                <w:sz w:val="20"/>
                <w:szCs w:val="20"/>
                <w:lang w:val="pt-PT"/>
              </w:rPr>
              <w:t>C</w:t>
            </w:r>
            <w:r w:rsidRPr="00CE58AC">
              <w:rPr>
                <w:sz w:val="20"/>
                <w:szCs w:val="20"/>
                <w:lang w:val="pt-PT"/>
              </w:rPr>
              <w:t>reator plus sapiens est.</w:t>
            </w:r>
          </w:p>
          <w:p w14:paraId="6F5F8E84" w14:textId="77777777" w:rsidR="00244FB6" w:rsidRPr="00CE58AC" w:rsidRDefault="00244FB6" w:rsidP="00A61EEF">
            <w:pPr>
              <w:rPr>
                <w:sz w:val="20"/>
                <w:szCs w:val="20"/>
                <w:lang w:val="pt-PT"/>
              </w:rPr>
            </w:pPr>
          </w:p>
          <w:p w14:paraId="3FEB420F" w14:textId="77777777" w:rsidR="00244FB6" w:rsidRPr="00CE58AC" w:rsidRDefault="00244FB6" w:rsidP="00A61EEF">
            <w:pPr>
              <w:rPr>
                <w:sz w:val="20"/>
                <w:szCs w:val="20"/>
                <w:lang w:val="pt-PT"/>
              </w:rPr>
            </w:pPr>
          </w:p>
          <w:p w14:paraId="3F5206B3" w14:textId="77777777" w:rsidR="00244FB6" w:rsidRPr="00CE58AC" w:rsidRDefault="00244FB6" w:rsidP="00A61EEF">
            <w:pPr>
              <w:ind w:firstLine="0"/>
              <w:rPr>
                <w:sz w:val="20"/>
                <w:szCs w:val="20"/>
              </w:rPr>
            </w:pPr>
            <w:r w:rsidRPr="00B704E5">
              <w:rPr>
                <w:sz w:val="20"/>
                <w:szCs w:val="20"/>
              </w:rPr>
              <w:t>De significatione fortune minoris.</w:t>
            </w:r>
            <w:r w:rsidRPr="00CE58AC">
              <w:rPr>
                <w:sz w:val="20"/>
                <w:szCs w:val="20"/>
              </w:rPr>
              <w:t xml:space="preserve"> Si exierint duo inparia et duo paria ut hic (1122), ipse inquirit pro itinere vel pro mutatione domus, &lt;vel&gt; de loco ad locum, et est in omni re bonum. Si dixerit: ‘Nolo istud facere quod dicis’, dic ei: ‘Tu interrogas me pro homine qui exierit a te, et queris illud separare a te, sicut est mulier vel serviens, vel animal, aut pro persona que non revertetur. Et ad presens aliquid perdes, et infirmus quem habes manibus infirmatur, et homo qui a te exiverit mare transfretavit qui et longam faciet moram, et omnia que queris accipere grave tibi evenient et in loco in quo dubitas milites ibi tecum sunt et inimici. Custodi animam tuam’.</w:t>
            </w:r>
          </w:p>
          <w:p w14:paraId="48D7E548" w14:textId="77777777" w:rsidR="00244FB6" w:rsidRPr="00CE58AC" w:rsidRDefault="00244FB6" w:rsidP="00A61EEF">
            <w:pPr>
              <w:rPr>
                <w:sz w:val="20"/>
                <w:szCs w:val="20"/>
              </w:rPr>
            </w:pPr>
          </w:p>
          <w:p w14:paraId="1D83D659" w14:textId="77777777" w:rsidR="00244FB6" w:rsidRPr="00CE58AC" w:rsidRDefault="00244FB6" w:rsidP="00A61EEF">
            <w:pPr>
              <w:rPr>
                <w:sz w:val="20"/>
                <w:szCs w:val="20"/>
              </w:rPr>
            </w:pPr>
          </w:p>
          <w:p w14:paraId="65C2C9FB" w14:textId="77777777" w:rsidR="00244FB6" w:rsidRDefault="00244FB6" w:rsidP="00A61EEF">
            <w:pPr>
              <w:rPr>
                <w:sz w:val="20"/>
                <w:szCs w:val="20"/>
              </w:rPr>
            </w:pPr>
          </w:p>
          <w:p w14:paraId="39D25698" w14:textId="77777777" w:rsidR="00B704E5" w:rsidRPr="00CE58AC" w:rsidRDefault="00B704E5" w:rsidP="00A61EEF">
            <w:pPr>
              <w:rPr>
                <w:sz w:val="20"/>
                <w:szCs w:val="20"/>
              </w:rPr>
            </w:pPr>
          </w:p>
          <w:p w14:paraId="7CCB7E1E" w14:textId="12788490" w:rsidR="00244FB6" w:rsidRPr="00CE58AC" w:rsidRDefault="00244FB6" w:rsidP="00A61EEF">
            <w:pPr>
              <w:ind w:firstLine="0"/>
              <w:rPr>
                <w:sz w:val="20"/>
                <w:szCs w:val="20"/>
              </w:rPr>
            </w:pPr>
            <w:r w:rsidRPr="00B704E5">
              <w:rPr>
                <w:sz w:val="20"/>
                <w:szCs w:val="20"/>
              </w:rPr>
              <w:t>De significatione capitis alti</w:t>
            </w:r>
            <w:r w:rsidRPr="00CE58AC">
              <w:rPr>
                <w:b/>
                <w:bCs/>
                <w:sz w:val="20"/>
                <w:szCs w:val="20"/>
              </w:rPr>
              <w:t>.</w:t>
            </w:r>
            <w:r w:rsidRPr="00CE58AC">
              <w:rPr>
                <w:sz w:val="20"/>
                <w:szCs w:val="20"/>
              </w:rPr>
              <w:t xml:space="preserve"> Si ceciderit hec sors (1222), interrogat pro patre qui ab eo recessit, vel avunculo, vel pro servo quem queris vendere vel a se separare, bonum est iter agere, hominem qui recessit tarde revertetur, et rem quam vendere queris bonum, et quicquid petis cito habebis, bonum est vendere vel iter arripere, et infirmus moveat se de loco ad locum et sanabitur. Mulier pariet filiam et quicumque ex manu tua exibunt non redibunt, Deus novit plus quam ego.</w:t>
            </w:r>
          </w:p>
          <w:p w14:paraId="25B2403B" w14:textId="77777777" w:rsidR="00244FB6" w:rsidRDefault="00244FB6" w:rsidP="00A61EEF">
            <w:pPr>
              <w:rPr>
                <w:sz w:val="20"/>
                <w:szCs w:val="20"/>
              </w:rPr>
            </w:pPr>
          </w:p>
          <w:p w14:paraId="4B15E11F" w14:textId="77777777" w:rsidR="00B704E5" w:rsidRPr="00CE58AC" w:rsidRDefault="00B704E5" w:rsidP="00A61EEF">
            <w:pPr>
              <w:rPr>
                <w:sz w:val="20"/>
                <w:szCs w:val="20"/>
              </w:rPr>
            </w:pPr>
          </w:p>
          <w:p w14:paraId="4256F0AC" w14:textId="77777777" w:rsidR="00244FB6" w:rsidRPr="00CE58AC" w:rsidRDefault="00244FB6" w:rsidP="00A61EEF">
            <w:pPr>
              <w:ind w:firstLine="0"/>
              <w:rPr>
                <w:b/>
                <w:bCs/>
                <w:sz w:val="20"/>
                <w:szCs w:val="20"/>
                <w:lang w:val="fr-FR"/>
              </w:rPr>
            </w:pPr>
            <w:r w:rsidRPr="00B704E5">
              <w:rPr>
                <w:sz w:val="20"/>
                <w:szCs w:val="20"/>
                <w:lang w:val="pt-PT"/>
              </w:rPr>
              <w:t>De significatione capitis imi.</w:t>
            </w:r>
            <w:r w:rsidRPr="00CE58AC">
              <w:rPr>
                <w:b/>
                <w:bCs/>
                <w:sz w:val="20"/>
                <w:szCs w:val="20"/>
                <w:lang w:val="pt-PT"/>
              </w:rPr>
              <w:t xml:space="preserve"> </w:t>
            </w:r>
            <w:r w:rsidRPr="00CE58AC">
              <w:rPr>
                <w:sz w:val="20"/>
                <w:szCs w:val="20"/>
                <w:lang w:val="pt-PT"/>
              </w:rPr>
              <w:t xml:space="preserve">Si ceciderit hec sors (2221), scias quod te interrogat pro fratribus suis vel parentibus, vel amicis, vel nuncio bono qui venit cum carta, vel cito veniet, vel homo qui exivit ab eo cito redibit. </w:t>
            </w:r>
            <w:r w:rsidRPr="00CE58AC">
              <w:rPr>
                <w:sz w:val="20"/>
                <w:szCs w:val="20"/>
                <w:lang w:val="fr-FR"/>
              </w:rPr>
              <w:t xml:space="preserve">Aut interrogat pro sponsaliis, aut pro puella si iam corrupta est, aut pro pregnante que iam pariet filium, et homo qui venit ab te mare transibit vel flumen magnum. Sed male serviens cito redibit in domum, furtum et res perdita cito </w:t>
            </w:r>
            <w:r w:rsidRPr="00CE58AC">
              <w:rPr>
                <w:sz w:val="20"/>
                <w:szCs w:val="20"/>
                <w:lang w:val="fr-FR"/>
              </w:rPr>
              <w:lastRenderedPageBreak/>
              <w:t>revertetur, et hec sors bona est pro accipere et mala pro dare.</w:t>
            </w:r>
          </w:p>
          <w:p w14:paraId="1C5BDD23" w14:textId="77777777" w:rsidR="00244FB6" w:rsidRDefault="00244FB6" w:rsidP="00A61EEF">
            <w:pPr>
              <w:rPr>
                <w:sz w:val="20"/>
                <w:szCs w:val="20"/>
              </w:rPr>
            </w:pPr>
          </w:p>
          <w:p w14:paraId="56D5FD29" w14:textId="77777777" w:rsidR="00B704E5" w:rsidRDefault="00B704E5" w:rsidP="00A61EEF">
            <w:pPr>
              <w:rPr>
                <w:sz w:val="20"/>
                <w:szCs w:val="20"/>
              </w:rPr>
            </w:pPr>
          </w:p>
          <w:p w14:paraId="33054123" w14:textId="77777777" w:rsidR="00B704E5" w:rsidRPr="00CE58AC" w:rsidRDefault="00B704E5" w:rsidP="00A61EEF">
            <w:pPr>
              <w:rPr>
                <w:sz w:val="20"/>
                <w:szCs w:val="20"/>
              </w:rPr>
            </w:pPr>
          </w:p>
          <w:p w14:paraId="0B3F5BB7" w14:textId="6EA9CA76" w:rsidR="00244FB6" w:rsidRPr="00CE58AC" w:rsidRDefault="00244FB6" w:rsidP="00A61EEF">
            <w:pPr>
              <w:ind w:firstLine="0"/>
              <w:rPr>
                <w:sz w:val="20"/>
                <w:szCs w:val="20"/>
                <w:lang w:val="fr-FR"/>
              </w:rPr>
            </w:pPr>
            <w:r w:rsidRPr="00B704E5">
              <w:rPr>
                <w:sz w:val="20"/>
                <w:szCs w:val="20"/>
                <w:lang w:val="fr-FR"/>
              </w:rPr>
              <w:t>De significatione collectionis.</w:t>
            </w:r>
            <w:r w:rsidRPr="00CE58AC">
              <w:rPr>
                <w:b/>
                <w:bCs/>
                <w:sz w:val="20"/>
                <w:szCs w:val="20"/>
                <w:lang w:val="fr-FR"/>
              </w:rPr>
              <w:t xml:space="preserve"> </w:t>
            </w:r>
            <w:r w:rsidRPr="00CE58AC">
              <w:rPr>
                <w:sz w:val="20"/>
                <w:szCs w:val="20"/>
                <w:lang w:val="fr-FR"/>
              </w:rPr>
              <w:t xml:space="preserve">Si ceciderit hec sors (2222), ipse qui te interrogat iturus est supra mare vel iter habebit, pluvias, et in hiis tamen salvamen habebit. Interrogas pro homine qui a te exivit et mulier[is] pregnata si paritura est cum salute, et pro perdita bestiarum, et pro itinere excercitus de quo cum salute redibit, et pro revertione </w:t>
            </w:r>
            <w:r w:rsidR="00B704E5">
              <w:rPr>
                <w:sz w:val="20"/>
                <w:szCs w:val="20"/>
                <w:lang w:val="fr-FR"/>
              </w:rPr>
              <w:t>/</w:t>
            </w:r>
            <w:r w:rsidRPr="00CE58AC">
              <w:rPr>
                <w:sz w:val="20"/>
                <w:szCs w:val="20"/>
                <w:lang w:val="fr-FR"/>
              </w:rPr>
              <w:t>124v</w:t>
            </w:r>
            <w:r w:rsidR="00B704E5">
              <w:rPr>
                <w:sz w:val="20"/>
                <w:szCs w:val="20"/>
                <w:lang w:val="fr-FR"/>
              </w:rPr>
              <w:t>/</w:t>
            </w:r>
            <w:r w:rsidRPr="00CE58AC">
              <w:rPr>
                <w:sz w:val="20"/>
                <w:szCs w:val="20"/>
                <w:lang w:val="fr-FR"/>
              </w:rPr>
              <w:t xml:space="preserve"> patre, et pro iudicio domorum quas cupis habere, pro vincta hominum qui conveniunt, super infirmum qui habet metum mortis. Hec sors concedit omnia bona scilicet sponsalia&lt;s&gt; facere, et homo qui foras est veniet cum salute. Infirmus sanabitur, omne bonum concedit. Salutis, prosperitatem, honorem et quicquid queris habebit, factum unum bonum erit, nec dimittas facere me (?) habes in animo perutile tibi erit.</w:t>
            </w:r>
          </w:p>
          <w:p w14:paraId="18AE2059" w14:textId="77777777" w:rsidR="00244FB6" w:rsidRPr="00CE58AC" w:rsidRDefault="00244FB6" w:rsidP="00A61EEF">
            <w:pPr>
              <w:rPr>
                <w:sz w:val="20"/>
                <w:szCs w:val="20"/>
                <w:lang w:val="fr-FR"/>
              </w:rPr>
            </w:pPr>
          </w:p>
          <w:p w14:paraId="6B1BB7E4" w14:textId="77777777" w:rsidR="00244FB6" w:rsidRPr="00CE58AC" w:rsidRDefault="00244FB6" w:rsidP="00A61EEF">
            <w:pPr>
              <w:ind w:firstLine="0"/>
              <w:rPr>
                <w:sz w:val="20"/>
                <w:szCs w:val="20"/>
              </w:rPr>
            </w:pPr>
            <w:r w:rsidRPr="00B704E5">
              <w:rPr>
                <w:sz w:val="20"/>
                <w:szCs w:val="20"/>
              </w:rPr>
              <w:t>De significatione fortune maioris.</w:t>
            </w:r>
            <w:r w:rsidRPr="00CE58AC">
              <w:rPr>
                <w:sz w:val="20"/>
                <w:szCs w:val="20"/>
              </w:rPr>
              <w:t xml:space="preserve"> Si ceciderint duo paria et duo inparia hoc modo (2211), scias quod te interrogat pro animali rubeo quod querit habere, quod vel emit vel exivitt a manu quod cito recuperabis. Si dixerit: ‘Non’, dic ei: ‘Interrogas pro muliere pregnante que paritura est filium et homine qui exivit a te et cito veniet, vel littere eius tibi venient, vel nuncius eius nec(?) iam venit; vel perquiris de denariis qui ventura sunt in manu tua, vel bestia, vel muliere, et est bonum iter arripere, sponsalia facere, bellum inire, et res furata cito domum redibit. Infirmus sanabitur et de eo sanguis exibit, et homo qui est in itinere infirmus redibit, et quicquid interrogasti iam tecum est. Et quod tenes in mente facere fac, quia bonum tibi erit, si deo placuerit’.</w:t>
            </w:r>
          </w:p>
          <w:p w14:paraId="216AA38F" w14:textId="77777777" w:rsidR="00244FB6" w:rsidRPr="00CE58AC" w:rsidRDefault="00244FB6" w:rsidP="00A61EEF">
            <w:pPr>
              <w:rPr>
                <w:sz w:val="20"/>
                <w:szCs w:val="20"/>
              </w:rPr>
            </w:pPr>
          </w:p>
          <w:p w14:paraId="200EEA82" w14:textId="326B1DE1" w:rsidR="00244FB6" w:rsidRPr="00CE58AC" w:rsidRDefault="00244FB6" w:rsidP="00B704E5">
            <w:pPr>
              <w:ind w:firstLine="0"/>
              <w:rPr>
                <w:sz w:val="20"/>
                <w:szCs w:val="20"/>
                <w:lang w:val="fr-FR"/>
              </w:rPr>
            </w:pPr>
            <w:r w:rsidRPr="00B704E5">
              <w:rPr>
                <w:sz w:val="20"/>
                <w:szCs w:val="20"/>
                <w:lang w:val="fr-FR"/>
              </w:rPr>
              <w:t>De significatione limitis intrantis.</w:t>
            </w:r>
            <w:r w:rsidR="00B704E5">
              <w:rPr>
                <w:sz w:val="20"/>
                <w:szCs w:val="20"/>
                <w:lang w:val="fr-FR"/>
              </w:rPr>
              <w:t xml:space="preserve"> </w:t>
            </w:r>
            <w:r w:rsidRPr="00CE58AC">
              <w:rPr>
                <w:sz w:val="20"/>
                <w:szCs w:val="20"/>
                <w:lang w:val="fr-FR"/>
              </w:rPr>
              <w:t xml:space="preserve">Si ceciderint duo paria et tria inparia sic (2111), scias quod te interrogat pro honore quem cupit </w:t>
            </w:r>
            <w:r w:rsidRPr="00CE58AC">
              <w:rPr>
                <w:sz w:val="20"/>
                <w:szCs w:val="20"/>
                <w:lang w:val="fr-FR"/>
              </w:rPr>
              <w:lastRenderedPageBreak/>
              <w:t>habere et pro desponsaliis que querunt facere, et gaudium quod querit habere vel facere, et persone(?) et divitie et omne bonum, et honor qui tibi venturus est, bonum est nisi in itinere et quando vis vendere, sed si fecerit iter ad dominum suum, iter hoc utile est sibi, quia adquiret inde honorem, mulier pariet filium. Qui est in itinere redit. Infirmus sanatur. Res perdita vel furata redit de domo est qui furatus est eam, sed cito reponet eam in domo, et quis reputaverit in hac sorte pro thesauro suspecto in terra abscondito, ibi est in quo cogitat, et quicquid petierit inpetrabit. In omni faciendo bona est nisi iter arripere vel vendere, sicut supradiximus, et quicquid voluerit utile erit, sed deus novit plus quam ego.</w:t>
            </w:r>
          </w:p>
          <w:p w14:paraId="774736D8" w14:textId="77777777" w:rsidR="00244FB6" w:rsidRPr="00CE58AC" w:rsidRDefault="00244FB6" w:rsidP="00A61EEF">
            <w:pPr>
              <w:rPr>
                <w:sz w:val="20"/>
                <w:szCs w:val="20"/>
                <w:lang w:val="fr-FR"/>
              </w:rPr>
            </w:pPr>
          </w:p>
          <w:p w14:paraId="020FF076" w14:textId="1E53BA5B" w:rsidR="00244FB6" w:rsidRPr="00CE58AC" w:rsidRDefault="00244FB6" w:rsidP="00A61EEF">
            <w:pPr>
              <w:ind w:firstLine="0"/>
              <w:rPr>
                <w:b/>
                <w:bCs/>
                <w:sz w:val="20"/>
                <w:szCs w:val="20"/>
                <w:lang w:val="fr-FR"/>
              </w:rPr>
            </w:pPr>
            <w:r w:rsidRPr="00B704E5">
              <w:rPr>
                <w:sz w:val="20"/>
                <w:szCs w:val="20"/>
                <w:lang w:val="fr-FR"/>
              </w:rPr>
              <w:t>De significatione pueri.</w:t>
            </w:r>
            <w:r w:rsidRPr="00CE58AC">
              <w:rPr>
                <w:b/>
                <w:bCs/>
                <w:sz w:val="20"/>
                <w:szCs w:val="20"/>
                <w:lang w:val="fr-FR"/>
              </w:rPr>
              <w:t xml:space="preserve"> </w:t>
            </w:r>
            <w:r w:rsidRPr="00CE58AC">
              <w:rPr>
                <w:sz w:val="20"/>
                <w:szCs w:val="20"/>
                <w:lang w:val="fr-FR"/>
              </w:rPr>
              <w:t xml:space="preserve">Si ceciderit unum inpar et unum par et duo inpar sic (1211), interrogat te pro pecunia accipere vel causis, vel terris sub quibus magnus thesaurus absconditur. Si dixerit ‘Non’, dic ei quod querit nubere, aut amicus venit, omni quo&lt;que&gt;  gaudium habebit, vel associabitur cum participe cum quo omne bonum habebit, hec sors pro omni re bona est acceptus, mulier pregnata paret filium, et cui hec sors ceciderit, multam pecuniam feliciter lucrabitur, pro qua nullum patietur detrimentum, neque iram dei sui. Cuidam iam cecidit hec figura, </w:t>
            </w:r>
            <w:r w:rsidR="00B704E5">
              <w:rPr>
                <w:sz w:val="20"/>
                <w:szCs w:val="20"/>
                <w:lang w:val="fr-FR"/>
              </w:rPr>
              <w:t>/</w:t>
            </w:r>
            <w:r w:rsidRPr="00CE58AC">
              <w:rPr>
                <w:sz w:val="20"/>
                <w:szCs w:val="20"/>
                <w:lang w:val="fr-FR"/>
              </w:rPr>
              <w:t>125r</w:t>
            </w:r>
            <w:r w:rsidR="00B704E5">
              <w:rPr>
                <w:sz w:val="20"/>
                <w:szCs w:val="20"/>
                <w:lang w:val="fr-FR"/>
              </w:rPr>
              <w:t>/</w:t>
            </w:r>
            <w:r w:rsidRPr="00CE58AC">
              <w:rPr>
                <w:sz w:val="20"/>
                <w:szCs w:val="20"/>
                <w:lang w:val="fr-FR"/>
              </w:rPr>
              <w:t xml:space="preserve"> qui vendidit alteri mille marbotinos et exiens negotiari lucratus est tria milia.</w:t>
            </w:r>
          </w:p>
          <w:p w14:paraId="3888993D" w14:textId="77777777" w:rsidR="00244FB6" w:rsidRPr="00CE58AC" w:rsidRDefault="00244FB6" w:rsidP="00A61EEF">
            <w:pPr>
              <w:rPr>
                <w:sz w:val="20"/>
                <w:szCs w:val="20"/>
                <w:lang w:val="fr-FR"/>
              </w:rPr>
            </w:pPr>
          </w:p>
          <w:p w14:paraId="6B6B7FBE" w14:textId="77777777" w:rsidR="00244FB6" w:rsidRPr="00CE58AC" w:rsidRDefault="00244FB6" w:rsidP="00A61EEF">
            <w:pPr>
              <w:rPr>
                <w:sz w:val="20"/>
                <w:szCs w:val="20"/>
                <w:lang w:val="fr-FR"/>
              </w:rPr>
            </w:pPr>
          </w:p>
          <w:p w14:paraId="161090EA" w14:textId="273EAF7C" w:rsidR="00244FB6" w:rsidRPr="00CE58AC" w:rsidRDefault="00244FB6" w:rsidP="00A61EEF">
            <w:pPr>
              <w:ind w:firstLine="0"/>
              <w:rPr>
                <w:sz w:val="20"/>
                <w:szCs w:val="20"/>
                <w:lang w:val="fr-FR"/>
              </w:rPr>
            </w:pPr>
            <w:r w:rsidRPr="00B704E5">
              <w:rPr>
                <w:sz w:val="20"/>
                <w:szCs w:val="20"/>
                <w:lang w:val="fr-FR"/>
              </w:rPr>
              <w:t>De significatione amissionis.</w:t>
            </w:r>
            <w:r w:rsidRPr="00CE58AC">
              <w:rPr>
                <w:b/>
                <w:bCs/>
                <w:sz w:val="20"/>
                <w:szCs w:val="20"/>
                <w:lang w:val="fr-FR"/>
              </w:rPr>
              <w:t xml:space="preserve"> </w:t>
            </w:r>
            <w:r w:rsidRPr="00CE58AC">
              <w:rPr>
                <w:sz w:val="20"/>
                <w:szCs w:val="20"/>
              </w:rPr>
              <w:t xml:space="preserve">Si hec sors ceciderit (1212), scias quod pro seipso interrogat et pro homine suo. Dic ei omne bonum [omne] tibi veniet. Si dixerit: ‘Non quero pro hiis’, dicit ei: ‘Tu queris pro marito tuo qui a te exivit et magnum inter te et ipsum est, vel pro itinere super aquas, vel pro re quam perdidisti. </w:t>
            </w:r>
            <w:r w:rsidRPr="00CE58AC">
              <w:rPr>
                <w:sz w:val="20"/>
                <w:szCs w:val="20"/>
                <w:lang w:val="fr-FR"/>
              </w:rPr>
              <w:t xml:space="preserve">Hec sors est bona in mutare de loco ad locum, et omnis res que perdita est non recuperabitur. Sed </w:t>
            </w:r>
            <w:r w:rsidRPr="00CE58AC">
              <w:rPr>
                <w:sz w:val="20"/>
                <w:szCs w:val="20"/>
                <w:lang w:val="fr-FR"/>
              </w:rPr>
              <w:lastRenderedPageBreak/>
              <w:t>vendere bonum est, rem quam vis a te auferre malum est, et quicquid perdidisti et a te exivit non revertetur, bonum est pro infirmo, et captivo in vinculis, pregnata pariet filium, serviens cito redibit’. Deus plus novit quam ego.</w:t>
            </w:r>
          </w:p>
          <w:p w14:paraId="14942246" w14:textId="77777777" w:rsidR="00244FB6" w:rsidRPr="00CE58AC" w:rsidRDefault="00244FB6" w:rsidP="00A61EEF">
            <w:pPr>
              <w:rPr>
                <w:b/>
                <w:bCs/>
                <w:sz w:val="20"/>
                <w:szCs w:val="20"/>
                <w:lang w:val="fr-FR"/>
              </w:rPr>
            </w:pPr>
          </w:p>
          <w:p w14:paraId="11F392ED" w14:textId="40918647" w:rsidR="00244FB6" w:rsidRPr="00B704E5" w:rsidRDefault="00244FB6" w:rsidP="00A61EEF">
            <w:pPr>
              <w:ind w:firstLine="0"/>
              <w:rPr>
                <w:sz w:val="20"/>
                <w:szCs w:val="20"/>
                <w:lang w:val="fr-FR"/>
              </w:rPr>
            </w:pPr>
            <w:r w:rsidRPr="00B704E5">
              <w:rPr>
                <w:sz w:val="20"/>
                <w:szCs w:val="20"/>
                <w:lang w:val="fr-FR"/>
              </w:rPr>
              <w:t>De significatione adquisitionis.</w:t>
            </w:r>
          </w:p>
          <w:p w14:paraId="48584A1D" w14:textId="77777777" w:rsidR="00244FB6" w:rsidRPr="00CE58AC" w:rsidRDefault="00244FB6" w:rsidP="00A61EEF">
            <w:pPr>
              <w:ind w:firstLine="0"/>
              <w:rPr>
                <w:sz w:val="20"/>
                <w:szCs w:val="20"/>
                <w:lang w:val="fr-FR"/>
              </w:rPr>
            </w:pPr>
            <w:r w:rsidRPr="00CE58AC">
              <w:rPr>
                <w:sz w:val="20"/>
                <w:szCs w:val="20"/>
                <w:lang w:val="fr-FR"/>
              </w:rPr>
              <w:t>Si ceciderit hec sors (2121), interrogat pro bestia et pro pecunia quam intrabit manum suam. Nuncius veniet cum bono omine, omnis res perdita domum redibit, bonum est iter arripere, et si quid est a se separare, malum est, mulier pregnata pariet filium, infirmus sanabitur, si deus voluerit.</w:t>
            </w:r>
          </w:p>
          <w:p w14:paraId="7E202754" w14:textId="77777777" w:rsidR="00244FB6" w:rsidRPr="00CE58AC" w:rsidRDefault="00244FB6" w:rsidP="00A61EEF">
            <w:pPr>
              <w:rPr>
                <w:sz w:val="20"/>
                <w:szCs w:val="20"/>
                <w:lang w:val="fr-FR"/>
              </w:rPr>
            </w:pPr>
          </w:p>
          <w:p w14:paraId="3291B7D4" w14:textId="296CCDB3" w:rsidR="00244FB6" w:rsidRPr="00CE58AC" w:rsidRDefault="00244FB6" w:rsidP="00A61EEF">
            <w:pPr>
              <w:ind w:firstLine="0"/>
              <w:rPr>
                <w:sz w:val="20"/>
                <w:szCs w:val="20"/>
                <w:lang w:val="fr-FR"/>
              </w:rPr>
            </w:pPr>
            <w:r w:rsidRPr="00B704E5">
              <w:rPr>
                <w:sz w:val="20"/>
                <w:szCs w:val="20"/>
                <w:lang w:val="fr-FR"/>
              </w:rPr>
              <w:t>De significatione puelle.</w:t>
            </w:r>
            <w:r w:rsidRPr="00CE58AC">
              <w:rPr>
                <w:b/>
                <w:bCs/>
                <w:sz w:val="20"/>
                <w:szCs w:val="20"/>
                <w:lang w:val="fr-FR"/>
              </w:rPr>
              <w:t xml:space="preserve"> </w:t>
            </w:r>
            <w:r w:rsidRPr="00CE58AC">
              <w:rPr>
                <w:sz w:val="20"/>
                <w:szCs w:val="20"/>
                <w:lang w:val="fr-FR"/>
              </w:rPr>
              <w:t>Si ceciderit hec sors (1121), scias quod te interrogat pro muliere quam vult desponsare. Et par[t]itura si pregnata est, cum salute necne. Si dixerit tibi: ‘Non’, dic ei: ‘Tu queris pro pecunia que a te exivit, vel pro thesauro sub terra abscondito quod vis accipere, vel pro homine tuo et fratribus et amicis, vel de sponsaliis, vel pro bestia et thesauro quem de terra subtrahes. Hec sors bona est in omnibus et quamvis moram fecerit, recuperabis. Et homo qui a te exivit, inter te et ipsum aque maxime montes permagni sunt, et bonum est vendere vel accipere in omni re utilis est, si deus voluerit’.</w:t>
            </w:r>
          </w:p>
          <w:p w14:paraId="1B4612AA" w14:textId="77777777" w:rsidR="00244FB6" w:rsidRPr="00CE58AC" w:rsidRDefault="00244FB6" w:rsidP="00A61EEF">
            <w:pPr>
              <w:rPr>
                <w:b/>
                <w:bCs/>
                <w:sz w:val="20"/>
                <w:szCs w:val="20"/>
                <w:lang w:val="fr-FR"/>
              </w:rPr>
            </w:pPr>
          </w:p>
          <w:p w14:paraId="6A46C4A5" w14:textId="0C90F6E5" w:rsidR="00244FB6" w:rsidRPr="00CE58AC" w:rsidRDefault="00244FB6" w:rsidP="00A61EEF">
            <w:pPr>
              <w:ind w:firstLine="0"/>
              <w:rPr>
                <w:sz w:val="20"/>
                <w:szCs w:val="20"/>
                <w:lang w:val="fr-FR"/>
              </w:rPr>
            </w:pPr>
            <w:r w:rsidRPr="00B704E5">
              <w:rPr>
                <w:sz w:val="20"/>
                <w:szCs w:val="20"/>
                <w:lang w:val="fr-FR"/>
              </w:rPr>
              <w:t>De significatione candidi</w:t>
            </w:r>
            <w:r w:rsidRPr="00CE58AC">
              <w:rPr>
                <w:b/>
                <w:bCs/>
                <w:sz w:val="20"/>
                <w:szCs w:val="20"/>
                <w:lang w:val="fr-FR"/>
              </w:rPr>
              <w:t xml:space="preserve">. </w:t>
            </w:r>
            <w:r w:rsidRPr="00CE58AC">
              <w:rPr>
                <w:sz w:val="20"/>
                <w:szCs w:val="20"/>
                <w:lang w:val="fr-FR"/>
              </w:rPr>
              <w:t>Si ceciderit hec sors (2212), interrogat pro iudiciis que sunt inter se et parentes suos, vel participe cum quo se iunget, aut pro infirmo, aut pro nuncio, muliere quam querit habere, et est bonum pro itinere, grave est tibi a te rem separare, et est bona in omni re accipere, pregnata pariet filium. Servus revertetur et quicquid perditum fuerit recuperabitur.</w:t>
            </w:r>
          </w:p>
          <w:p w14:paraId="37F2D352" w14:textId="77777777" w:rsidR="00244FB6" w:rsidRPr="00CE58AC" w:rsidRDefault="00244FB6" w:rsidP="00A61EEF">
            <w:pPr>
              <w:rPr>
                <w:b/>
                <w:bCs/>
                <w:sz w:val="20"/>
                <w:szCs w:val="20"/>
                <w:lang w:val="fr-FR"/>
              </w:rPr>
            </w:pPr>
          </w:p>
          <w:p w14:paraId="79A1C169" w14:textId="17BA68FB" w:rsidR="00244FB6" w:rsidRPr="00CE58AC" w:rsidRDefault="00244FB6" w:rsidP="00A61EEF">
            <w:pPr>
              <w:ind w:firstLine="0"/>
              <w:rPr>
                <w:sz w:val="20"/>
                <w:szCs w:val="20"/>
                <w:lang w:val="fr-FR"/>
              </w:rPr>
            </w:pPr>
            <w:r w:rsidRPr="00B704E5">
              <w:rPr>
                <w:sz w:val="20"/>
                <w:szCs w:val="20"/>
                <w:lang w:val="fr-FR"/>
              </w:rPr>
              <w:t>De significatione rubei</w:t>
            </w:r>
            <w:r w:rsidRPr="00CE58AC">
              <w:rPr>
                <w:b/>
                <w:bCs/>
                <w:sz w:val="20"/>
                <w:szCs w:val="20"/>
                <w:lang w:val="fr-FR"/>
              </w:rPr>
              <w:t xml:space="preserve">. </w:t>
            </w:r>
            <w:r w:rsidRPr="00CE58AC">
              <w:rPr>
                <w:sz w:val="20"/>
                <w:szCs w:val="20"/>
                <w:lang w:val="fr-FR"/>
              </w:rPr>
              <w:t xml:space="preserve">Si ceciderit hec sors (2122), interrogat pro muliere quam </w:t>
            </w:r>
            <w:r w:rsidRPr="00CE58AC">
              <w:rPr>
                <w:sz w:val="20"/>
                <w:szCs w:val="20"/>
                <w:lang w:val="fr-FR"/>
              </w:rPr>
              <w:lastRenderedPageBreak/>
              <w:t xml:space="preserve">querit habere, vel pro capto, vel infirmo super quem habet metum mortis, vel pro thesauro sub terra abscondito, vel pro marito quem non habebit, et non est bona in omni re, et super eum </w:t>
            </w:r>
            <w:r w:rsidR="00B704E5">
              <w:rPr>
                <w:sz w:val="20"/>
                <w:szCs w:val="20"/>
                <w:lang w:val="fr-FR"/>
              </w:rPr>
              <w:t>/</w:t>
            </w:r>
            <w:r w:rsidRPr="00CE58AC">
              <w:rPr>
                <w:sz w:val="20"/>
                <w:szCs w:val="20"/>
                <w:lang w:val="fr-FR"/>
              </w:rPr>
              <w:t>125v</w:t>
            </w:r>
            <w:r w:rsidR="00B704E5">
              <w:rPr>
                <w:sz w:val="20"/>
                <w:szCs w:val="20"/>
                <w:lang w:val="fr-FR"/>
              </w:rPr>
              <w:t>/</w:t>
            </w:r>
            <w:r w:rsidRPr="00CE58AC">
              <w:rPr>
                <w:sz w:val="20"/>
                <w:szCs w:val="20"/>
                <w:lang w:val="fr-FR"/>
              </w:rPr>
              <w:t xml:space="preserve"> laborare bonum est iter arripere et rem a te non speres, infirmus morietur aliquo morbo calido, et homo qui a te exivit vel mortuus est vel captus, quam captivitatem evadet.</w:t>
            </w:r>
          </w:p>
          <w:p w14:paraId="4D85C411" w14:textId="77777777" w:rsidR="00244FB6" w:rsidRPr="00CE58AC" w:rsidRDefault="00244FB6" w:rsidP="00A61EEF">
            <w:pPr>
              <w:rPr>
                <w:b/>
                <w:bCs/>
                <w:sz w:val="20"/>
                <w:szCs w:val="20"/>
                <w:lang w:val="fr-FR"/>
              </w:rPr>
            </w:pPr>
          </w:p>
          <w:p w14:paraId="1FBFA1CF" w14:textId="7E148C71" w:rsidR="00244FB6" w:rsidRPr="00C97B8E" w:rsidRDefault="00244FB6" w:rsidP="00A61EEF">
            <w:pPr>
              <w:ind w:firstLine="0"/>
              <w:rPr>
                <w:b/>
                <w:bCs/>
                <w:sz w:val="20"/>
                <w:szCs w:val="20"/>
                <w:lang w:val="fr-FR"/>
              </w:rPr>
            </w:pPr>
            <w:r w:rsidRPr="00B704E5">
              <w:rPr>
                <w:sz w:val="20"/>
                <w:szCs w:val="20"/>
                <w:lang w:val="fr-FR"/>
              </w:rPr>
              <w:t>De significatione societatis.</w:t>
            </w:r>
            <w:r w:rsidRPr="00CE58AC">
              <w:rPr>
                <w:b/>
                <w:bCs/>
                <w:sz w:val="20"/>
                <w:szCs w:val="20"/>
                <w:lang w:val="fr-FR"/>
              </w:rPr>
              <w:t xml:space="preserve"> </w:t>
            </w:r>
            <w:r w:rsidRPr="00CE58AC">
              <w:rPr>
                <w:sz w:val="20"/>
                <w:szCs w:val="20"/>
                <w:lang w:val="fr-FR"/>
              </w:rPr>
              <w:t>Si ceciderit hec sors (2112), inquirit pro infirmo, cum sit figura feretri, sicut pro marito, vel parente, vel servo quem sibi applicare, vel pro bestia, vel pro homine qui de longe venit et salutabis eum qui veniendo magnas aquas et magnos montes transibit, et habebit iudicia et placita, et venit cum testiis( ?) oneratis. Iter arripere malum est, et de loco ad locum mutare, vendere, dare, accipere, servus redibit, pregnata pariet filiam et que petieris habebis.</w:t>
            </w:r>
          </w:p>
          <w:p w14:paraId="15AF4FAE" w14:textId="77777777" w:rsidR="00244FB6" w:rsidRPr="00CE58AC" w:rsidRDefault="00244FB6" w:rsidP="00A61EEF">
            <w:pPr>
              <w:ind w:firstLine="0"/>
              <w:rPr>
                <w:sz w:val="20"/>
                <w:szCs w:val="20"/>
                <w:lang w:val="fr-FR"/>
              </w:rPr>
            </w:pPr>
          </w:p>
          <w:p w14:paraId="019072A6" w14:textId="229C415F" w:rsidR="00244FB6" w:rsidRPr="00CE58AC" w:rsidRDefault="00244FB6" w:rsidP="00A61EEF">
            <w:pPr>
              <w:ind w:firstLine="0"/>
              <w:rPr>
                <w:sz w:val="20"/>
                <w:szCs w:val="20"/>
              </w:rPr>
            </w:pPr>
          </w:p>
          <w:p w14:paraId="1D8AF2C5" w14:textId="77777777" w:rsidR="00244FB6" w:rsidRPr="00CE58AC" w:rsidRDefault="00244FB6" w:rsidP="00A61EEF">
            <w:pPr>
              <w:rPr>
                <w:sz w:val="20"/>
                <w:szCs w:val="20"/>
              </w:rPr>
            </w:pPr>
          </w:p>
          <w:p w14:paraId="76902656" w14:textId="77777777" w:rsidR="00244FB6" w:rsidRPr="00CE58AC" w:rsidRDefault="00244FB6" w:rsidP="00A61EEF">
            <w:pPr>
              <w:rPr>
                <w:sz w:val="20"/>
                <w:szCs w:val="20"/>
              </w:rPr>
            </w:pPr>
          </w:p>
          <w:p w14:paraId="131BB47B" w14:textId="77777777" w:rsidR="00244FB6" w:rsidRPr="00CE58AC" w:rsidRDefault="00244FB6" w:rsidP="00A61EEF">
            <w:pPr>
              <w:rPr>
                <w:sz w:val="20"/>
                <w:szCs w:val="20"/>
              </w:rPr>
            </w:pPr>
          </w:p>
          <w:p w14:paraId="28E79EE3" w14:textId="77777777" w:rsidR="00244FB6" w:rsidRPr="00CE58AC" w:rsidRDefault="00244FB6" w:rsidP="00A61EEF">
            <w:pPr>
              <w:rPr>
                <w:sz w:val="20"/>
                <w:szCs w:val="20"/>
              </w:rPr>
            </w:pPr>
          </w:p>
          <w:p w14:paraId="58C739E3" w14:textId="77777777" w:rsidR="00244FB6" w:rsidRPr="00CE58AC" w:rsidRDefault="00244FB6" w:rsidP="00A61EEF">
            <w:pPr>
              <w:rPr>
                <w:sz w:val="20"/>
                <w:szCs w:val="20"/>
              </w:rPr>
            </w:pPr>
          </w:p>
          <w:p w14:paraId="6E04A7FB" w14:textId="77777777" w:rsidR="00244FB6" w:rsidRPr="00CE58AC" w:rsidRDefault="00244FB6" w:rsidP="00A61EEF">
            <w:pPr>
              <w:rPr>
                <w:sz w:val="20"/>
                <w:szCs w:val="20"/>
              </w:rPr>
            </w:pPr>
          </w:p>
          <w:p w14:paraId="43AD4550" w14:textId="77777777" w:rsidR="00244FB6" w:rsidRPr="00CE58AC" w:rsidRDefault="00244FB6" w:rsidP="00A61EEF">
            <w:pPr>
              <w:rPr>
                <w:sz w:val="20"/>
                <w:szCs w:val="20"/>
              </w:rPr>
            </w:pPr>
          </w:p>
          <w:p w14:paraId="6948F516" w14:textId="77777777" w:rsidR="00244FB6" w:rsidRPr="00CE58AC" w:rsidRDefault="00244FB6" w:rsidP="00A61EEF">
            <w:pPr>
              <w:rPr>
                <w:sz w:val="20"/>
                <w:szCs w:val="20"/>
              </w:rPr>
            </w:pPr>
          </w:p>
        </w:tc>
        <w:tc>
          <w:tcPr>
            <w:tcW w:w="3119" w:type="dxa"/>
          </w:tcPr>
          <w:p w14:paraId="2EEF43D4" w14:textId="618BA1EB" w:rsidR="00244FB6" w:rsidRPr="00B704E5" w:rsidRDefault="00B704E5" w:rsidP="00A61EEF">
            <w:pPr>
              <w:ind w:firstLine="0"/>
              <w:rPr>
                <w:sz w:val="20"/>
                <w:szCs w:val="20"/>
              </w:rPr>
            </w:pPr>
            <w:r>
              <w:rPr>
                <w:sz w:val="20"/>
                <w:szCs w:val="20"/>
              </w:rPr>
              <w:lastRenderedPageBreak/>
              <w:t>/</w:t>
            </w:r>
            <w:r w:rsidR="00244FB6" w:rsidRPr="00B704E5">
              <w:rPr>
                <w:sz w:val="20"/>
                <w:szCs w:val="20"/>
              </w:rPr>
              <w:t>120r</w:t>
            </w:r>
            <w:r w:rsidRPr="00B704E5">
              <w:rPr>
                <w:sz w:val="20"/>
                <w:szCs w:val="20"/>
              </w:rPr>
              <w:t>/</w:t>
            </w:r>
            <w:r w:rsidR="00244FB6" w:rsidRPr="00B704E5">
              <w:rPr>
                <w:sz w:val="20"/>
                <w:szCs w:val="20"/>
              </w:rPr>
              <w:t xml:space="preserve"> To know the intente of the querente.</w:t>
            </w:r>
          </w:p>
          <w:p w14:paraId="2C09F901" w14:textId="77777777" w:rsidR="00244FB6" w:rsidRPr="004D7265" w:rsidRDefault="00244FB6" w:rsidP="00A61EEF">
            <w:pPr>
              <w:rPr>
                <w:sz w:val="20"/>
                <w:szCs w:val="20"/>
              </w:rPr>
            </w:pPr>
          </w:p>
          <w:p w14:paraId="15A25ECD" w14:textId="77777777" w:rsidR="00244FB6" w:rsidRDefault="00244FB6" w:rsidP="00A61EEF">
            <w:pPr>
              <w:rPr>
                <w:sz w:val="20"/>
                <w:szCs w:val="20"/>
              </w:rPr>
            </w:pPr>
          </w:p>
          <w:p w14:paraId="111BA43C" w14:textId="77777777" w:rsidR="00244FB6" w:rsidRDefault="00244FB6" w:rsidP="00A61EEF">
            <w:pPr>
              <w:rPr>
                <w:sz w:val="20"/>
                <w:szCs w:val="20"/>
              </w:rPr>
            </w:pPr>
          </w:p>
          <w:p w14:paraId="6C784964" w14:textId="3F8F6F5C" w:rsidR="00244FB6" w:rsidRPr="004D7265" w:rsidRDefault="00244FB6" w:rsidP="00A61EEF">
            <w:pPr>
              <w:ind w:firstLine="0"/>
              <w:rPr>
                <w:sz w:val="20"/>
                <w:szCs w:val="20"/>
              </w:rPr>
            </w:pPr>
            <w:r w:rsidRPr="004D7265">
              <w:rPr>
                <w:sz w:val="20"/>
                <w:szCs w:val="20"/>
              </w:rPr>
              <w:t xml:space="preserve">Thes be rules which Periti..nce the Auctor of this science and a wise philosopher hath compiled in his Lyfe time, after the use of the Arabyes and many other Auctors of Egipte hath made and proved. Theire be foure rules which I shall teache the, what a man intendes or thinke or ever it be knowen to the what is in his harte the which rules thow shalt beare with the, that is the </w:t>
            </w:r>
            <w:r w:rsidRPr="00C64B79">
              <w:rPr>
                <w:sz w:val="20"/>
                <w:szCs w:val="20"/>
              </w:rPr>
              <w:t>eightene figure.</w:t>
            </w:r>
          </w:p>
          <w:p w14:paraId="5DA478FD" w14:textId="77777777" w:rsidR="00244FB6" w:rsidRDefault="00244FB6" w:rsidP="00A61EEF">
            <w:pPr>
              <w:rPr>
                <w:sz w:val="20"/>
                <w:szCs w:val="20"/>
              </w:rPr>
            </w:pPr>
          </w:p>
          <w:p w14:paraId="09C25EE6" w14:textId="77777777" w:rsidR="00244FB6" w:rsidRPr="004D7265" w:rsidRDefault="00244FB6" w:rsidP="00A61EEF">
            <w:pPr>
              <w:rPr>
                <w:sz w:val="20"/>
                <w:szCs w:val="20"/>
              </w:rPr>
            </w:pPr>
          </w:p>
          <w:p w14:paraId="00BF60FF" w14:textId="5F033A7A" w:rsidR="00244FB6" w:rsidRPr="004D7265" w:rsidRDefault="00244FB6" w:rsidP="00A61EEF">
            <w:pPr>
              <w:ind w:firstLine="0"/>
              <w:rPr>
                <w:sz w:val="20"/>
                <w:szCs w:val="20"/>
              </w:rPr>
            </w:pPr>
            <w:r w:rsidRPr="004D7265">
              <w:rPr>
                <w:sz w:val="20"/>
                <w:szCs w:val="20"/>
              </w:rPr>
              <w:t xml:space="preserve">And if there remains in the ullemeste? computation this figure (1111) then tell him his question is for death(?) from one place to another. If the sais it is trew, then … him kepe him from his fellow that shall deceive him ather(?) of Body or of monye; and if he sais it is not so, then tell him his question is for yan..? that is in a journeye, or for a man that is long from the, of for a thinge loste onte of thy hand, and thow shalto reconer(?) it, And thy servant  … theste(?) is moved from place to place, and this figure is good in buyinge and sellinge and in gevinge or takinge, and that thow takeste shalbe good, and the thynge loste shall not come agayne, excepte it be good.  </w:t>
            </w:r>
          </w:p>
          <w:p w14:paraId="48F8B608" w14:textId="77777777" w:rsidR="00244FB6" w:rsidRDefault="00244FB6" w:rsidP="00A61EEF">
            <w:pPr>
              <w:rPr>
                <w:sz w:val="20"/>
                <w:szCs w:val="20"/>
              </w:rPr>
            </w:pPr>
          </w:p>
          <w:p w14:paraId="086C2EDF" w14:textId="77777777" w:rsidR="00244FB6" w:rsidRPr="004D7265" w:rsidRDefault="00244FB6" w:rsidP="00A61EEF">
            <w:pPr>
              <w:rPr>
                <w:sz w:val="20"/>
                <w:szCs w:val="20"/>
              </w:rPr>
            </w:pPr>
          </w:p>
          <w:p w14:paraId="394ED769" w14:textId="4C896C75" w:rsidR="00244FB6" w:rsidRPr="004D7265" w:rsidRDefault="00244FB6" w:rsidP="00A61EEF">
            <w:pPr>
              <w:ind w:firstLine="0"/>
              <w:rPr>
                <w:sz w:val="20"/>
                <w:szCs w:val="20"/>
              </w:rPr>
            </w:pPr>
            <w:r w:rsidRPr="004D7265">
              <w:rPr>
                <w:sz w:val="20"/>
                <w:szCs w:val="20"/>
              </w:rPr>
              <w:t xml:space="preserve">And if there are two or three of these (1112) figures, say he enquires for a journaye to be done, or for a great man that is long from the, or for a thinge loste that mayt not be recovered and to whom the figures falles </w:t>
            </w:r>
            <w:r w:rsidR="00134B32">
              <w:rPr>
                <w:sz w:val="20"/>
                <w:szCs w:val="20"/>
              </w:rPr>
              <w:t>/</w:t>
            </w:r>
            <w:r w:rsidRPr="004D7265">
              <w:rPr>
                <w:sz w:val="20"/>
                <w:szCs w:val="20"/>
              </w:rPr>
              <w:t>120v</w:t>
            </w:r>
            <w:r w:rsidR="00134B32">
              <w:rPr>
                <w:sz w:val="20"/>
                <w:szCs w:val="20"/>
              </w:rPr>
              <w:t>/</w:t>
            </w:r>
            <w:r w:rsidRPr="004D7265">
              <w:rPr>
                <w:sz w:val="20"/>
                <w:szCs w:val="20"/>
              </w:rPr>
              <w:t xml:space="preserve"> he shall have no good houre but in journaye, to make no weddinge no matrimoniye it is not good, and the sike man shall die ore lie longe sicke, the man gon&lt;e&gt; o</w:t>
            </w:r>
            <w:r w:rsidR="00BC5722">
              <w:rPr>
                <w:sz w:val="20"/>
                <w:szCs w:val="20"/>
              </w:rPr>
              <w:t>u</w:t>
            </w:r>
            <w:r w:rsidRPr="004D7265">
              <w:rPr>
                <w:sz w:val="20"/>
                <w:szCs w:val="20"/>
              </w:rPr>
              <w:t xml:space="preserve">te shall not  return home agayne nor the thinge in adventure for gayne, shall not fall, and his house shalbe forsaken </w:t>
            </w:r>
            <w:r w:rsidR="00BC5722">
              <w:rPr>
                <w:sz w:val="20"/>
                <w:szCs w:val="20"/>
              </w:rPr>
              <w:t>thruh</w:t>
            </w:r>
            <w:r w:rsidRPr="004D7265">
              <w:rPr>
                <w:sz w:val="20"/>
                <w:szCs w:val="20"/>
              </w:rPr>
              <w:t xml:space="preserve"> a greate infortunatye. </w:t>
            </w:r>
          </w:p>
          <w:p w14:paraId="20AAAC0A" w14:textId="77777777" w:rsidR="00244FB6" w:rsidRPr="004D7265" w:rsidRDefault="00244FB6" w:rsidP="00A61EEF">
            <w:pPr>
              <w:rPr>
                <w:sz w:val="20"/>
                <w:szCs w:val="20"/>
              </w:rPr>
            </w:pPr>
          </w:p>
          <w:p w14:paraId="4E96CDC1" w14:textId="77777777" w:rsidR="00244FB6" w:rsidRDefault="00244FB6" w:rsidP="00A61EEF">
            <w:pPr>
              <w:rPr>
                <w:sz w:val="20"/>
                <w:szCs w:val="20"/>
              </w:rPr>
            </w:pPr>
          </w:p>
          <w:p w14:paraId="0A6041F4" w14:textId="77777777" w:rsidR="00244FB6" w:rsidRPr="004D7265" w:rsidRDefault="00244FB6" w:rsidP="00A61EEF">
            <w:pPr>
              <w:rPr>
                <w:sz w:val="20"/>
                <w:szCs w:val="20"/>
              </w:rPr>
            </w:pPr>
          </w:p>
          <w:p w14:paraId="29CEE324" w14:textId="77777777" w:rsidR="00244FB6" w:rsidRPr="004D7265" w:rsidRDefault="00244FB6" w:rsidP="00A61EEF">
            <w:pPr>
              <w:ind w:firstLine="0"/>
              <w:rPr>
                <w:sz w:val="20"/>
                <w:szCs w:val="20"/>
              </w:rPr>
            </w:pPr>
            <w:r w:rsidRPr="004D7265">
              <w:rPr>
                <w:sz w:val="20"/>
                <w:szCs w:val="20"/>
              </w:rPr>
              <w:t>And if there fall this figure (1122) he demannde the for journayes, or for channginge of a house or going from one place to annother, and it is good in everye thinge, and if he saye ‘naye it is not so’, then saye he aske for a man that is gone frome the and thou sekes him to be departed from the, or it is a woman or a beste or for a person that shall not turne agayne, and at this time thow shalt loose somethinge, and the sike man sha&lt;ll&gt; continewe in his sicknes. And the man gone awaye hath passed the sea, or some water the which hath ma..? longe tarrymge(?), and all that thow sekeste shalbe greve to take and great greife shalbe to the in a place that thou dubtes and theire be knightes or gentilmen with the and they be thyne enymies, keep well thy selfe and y</w:t>
            </w:r>
            <w:r w:rsidRPr="004D7265">
              <w:rPr>
                <w:sz w:val="20"/>
                <w:szCs w:val="20"/>
                <w:vertAlign w:val="superscript"/>
              </w:rPr>
              <w:t>i</w:t>
            </w:r>
            <w:r w:rsidRPr="004D7265">
              <w:rPr>
                <w:sz w:val="20"/>
                <w:szCs w:val="20"/>
              </w:rPr>
              <w:t>(your?)</w:t>
            </w:r>
            <w:r w:rsidRPr="004D7265">
              <w:rPr>
                <w:sz w:val="20"/>
                <w:szCs w:val="20"/>
                <w:vertAlign w:val="superscript"/>
              </w:rPr>
              <w:t xml:space="preserve">  </w:t>
            </w:r>
            <w:r w:rsidRPr="004D7265">
              <w:rPr>
                <w:sz w:val="20"/>
                <w:szCs w:val="20"/>
              </w:rPr>
              <w:t>soul.</w:t>
            </w:r>
          </w:p>
          <w:p w14:paraId="00ECAA15" w14:textId="77777777" w:rsidR="00244FB6" w:rsidRDefault="00244FB6" w:rsidP="00A61EEF">
            <w:pPr>
              <w:rPr>
                <w:sz w:val="20"/>
                <w:szCs w:val="20"/>
              </w:rPr>
            </w:pPr>
          </w:p>
          <w:p w14:paraId="12459E7B" w14:textId="77777777" w:rsidR="00244FB6" w:rsidRPr="004D7265" w:rsidRDefault="00244FB6" w:rsidP="00A61EEF">
            <w:pPr>
              <w:rPr>
                <w:sz w:val="20"/>
                <w:szCs w:val="20"/>
              </w:rPr>
            </w:pPr>
          </w:p>
          <w:p w14:paraId="13DD86AA" w14:textId="77777777" w:rsidR="00244FB6" w:rsidRPr="004D7265" w:rsidRDefault="00244FB6" w:rsidP="00A61EEF">
            <w:pPr>
              <w:ind w:firstLine="0"/>
              <w:rPr>
                <w:sz w:val="20"/>
                <w:szCs w:val="20"/>
              </w:rPr>
            </w:pPr>
            <w:r w:rsidRPr="004D7265">
              <w:rPr>
                <w:sz w:val="20"/>
                <w:szCs w:val="20"/>
              </w:rPr>
              <w:t>And if this figure (1222) fall, then he asks for his fath&lt;er&gt; that is gone, or for his handmade or servannts, the w….? he sekes to sell or parte from, it is good to go a jurnay and he that is gone it shalbe longe or he return agayne, and the thinge that thow desirest to sell is good, and y…? thow askest shall return Lyghtly, it is good to sell, ot to ta&lt;ke&gt;?, a journaye and lett the sicke man remove hym to an other place, and he shalbe hole, the woman with(?) childe shall have a daughter, and that thing that y</w:t>
            </w:r>
            <w:r w:rsidRPr="004D7265">
              <w:rPr>
                <w:sz w:val="20"/>
                <w:szCs w:val="20"/>
                <w:vertAlign w:val="superscript"/>
              </w:rPr>
              <w:t>f</w:t>
            </w:r>
            <w:r w:rsidRPr="004D7265">
              <w:rPr>
                <w:sz w:val="20"/>
                <w:szCs w:val="20"/>
              </w:rPr>
              <w:t xml:space="preserve">  is gone out of thy handes shalbe long or it return agayne.</w:t>
            </w:r>
          </w:p>
          <w:p w14:paraId="3483ECA8" w14:textId="77777777" w:rsidR="00244FB6" w:rsidRDefault="00244FB6" w:rsidP="00A61EEF">
            <w:pPr>
              <w:rPr>
                <w:sz w:val="20"/>
                <w:szCs w:val="20"/>
              </w:rPr>
            </w:pPr>
          </w:p>
          <w:p w14:paraId="441AB067" w14:textId="4F129F17" w:rsidR="00244FB6" w:rsidRPr="004D7265" w:rsidRDefault="00B704E5" w:rsidP="00A61EEF">
            <w:pPr>
              <w:ind w:firstLine="0"/>
              <w:rPr>
                <w:sz w:val="20"/>
                <w:szCs w:val="20"/>
              </w:rPr>
            </w:pPr>
            <w:r>
              <w:rPr>
                <w:sz w:val="20"/>
                <w:szCs w:val="20"/>
              </w:rPr>
              <w:t>/</w:t>
            </w:r>
            <w:r w:rsidR="00244FB6" w:rsidRPr="004D7265">
              <w:rPr>
                <w:sz w:val="20"/>
                <w:szCs w:val="20"/>
              </w:rPr>
              <w:t>121v</w:t>
            </w:r>
            <w:r>
              <w:rPr>
                <w:sz w:val="20"/>
                <w:szCs w:val="20"/>
              </w:rPr>
              <w:t>/</w:t>
            </w:r>
            <w:r w:rsidR="00244FB6" w:rsidRPr="004D7265">
              <w:rPr>
                <w:sz w:val="20"/>
                <w:szCs w:val="20"/>
              </w:rPr>
              <w:t xml:space="preserve"> And if this figure 2221 fall, then he askes for his father or mother , for his frendes or for some god messnnger that shall bringe good writings, other he shall return sone, or the man that is gone shall come annone(?), or he askes for a weddinge, or for a mayden not corrupte or for a woman with childe, the which shall have a man childe. And the man that is gone from the shall come agayne, and passe the sea or a great flood and full(?) hardly, the servant shall </w:t>
            </w:r>
            <w:r w:rsidR="00244FB6" w:rsidRPr="004D7265">
              <w:rPr>
                <w:sz w:val="20"/>
                <w:szCs w:val="20"/>
              </w:rPr>
              <w:lastRenderedPageBreak/>
              <w:t>come annone(?), and the thifte and the thinge lost shall come home sone, and it is good to take in this signe, and it eule(?) to gyve.</w:t>
            </w:r>
          </w:p>
          <w:p w14:paraId="4EEE2690" w14:textId="77777777" w:rsidR="00244FB6" w:rsidRDefault="00244FB6" w:rsidP="00A61EEF">
            <w:pPr>
              <w:rPr>
                <w:sz w:val="20"/>
                <w:szCs w:val="20"/>
              </w:rPr>
            </w:pPr>
          </w:p>
          <w:p w14:paraId="214A3AE1" w14:textId="54C1FAE0" w:rsidR="00244FB6" w:rsidRPr="004D7265" w:rsidRDefault="00244FB6" w:rsidP="00A61EEF">
            <w:pPr>
              <w:ind w:firstLine="0"/>
              <w:rPr>
                <w:sz w:val="20"/>
                <w:szCs w:val="20"/>
              </w:rPr>
            </w:pPr>
            <w:r w:rsidRPr="004D7265">
              <w:rPr>
                <w:sz w:val="20"/>
                <w:szCs w:val="20"/>
              </w:rPr>
              <w:t>And yf this figure (2222), he that askes shall go over the sea and he shall have Raynes, and shall have a safegarde, and his question is for a man that(?) is gone from him, and for a woman with child the which shall be delivered well, or for teefyng(?) of some cattle, or for the journaye of a company the which shall come home with health or for the l…ing(?) agayne of a countrye or for the judgement of a house the which thow seekeste for(?) things necessarye to some syke amn, and he hathe the moving of death.</w:t>
            </w:r>
          </w:p>
          <w:p w14:paraId="37C1980A" w14:textId="77777777" w:rsidR="00244FB6" w:rsidRDefault="00244FB6" w:rsidP="00A61EEF">
            <w:pPr>
              <w:rPr>
                <w:sz w:val="20"/>
                <w:szCs w:val="20"/>
              </w:rPr>
            </w:pPr>
          </w:p>
          <w:p w14:paraId="18F28A5B" w14:textId="77777777" w:rsidR="00244FB6" w:rsidRPr="004D7265" w:rsidRDefault="00244FB6" w:rsidP="00A61EEF">
            <w:pPr>
              <w:rPr>
                <w:sz w:val="20"/>
                <w:szCs w:val="20"/>
              </w:rPr>
            </w:pPr>
          </w:p>
          <w:p w14:paraId="2BB28CEB" w14:textId="77777777" w:rsidR="00244FB6" w:rsidRDefault="00244FB6" w:rsidP="00A61EEF">
            <w:pPr>
              <w:rPr>
                <w:sz w:val="20"/>
                <w:szCs w:val="20"/>
              </w:rPr>
            </w:pPr>
          </w:p>
          <w:p w14:paraId="7BD4CE43" w14:textId="77777777" w:rsidR="00244FB6" w:rsidRDefault="00244FB6" w:rsidP="00A61EEF">
            <w:pPr>
              <w:rPr>
                <w:sz w:val="20"/>
                <w:szCs w:val="20"/>
              </w:rPr>
            </w:pPr>
          </w:p>
          <w:p w14:paraId="2DF9D7B4" w14:textId="77777777" w:rsidR="00244FB6" w:rsidRDefault="00244FB6" w:rsidP="00A61EEF">
            <w:pPr>
              <w:rPr>
                <w:sz w:val="20"/>
                <w:szCs w:val="20"/>
              </w:rPr>
            </w:pPr>
          </w:p>
          <w:p w14:paraId="64D4D580" w14:textId="77777777" w:rsidR="00244FB6" w:rsidRDefault="00244FB6" w:rsidP="00A61EEF">
            <w:pPr>
              <w:rPr>
                <w:sz w:val="20"/>
                <w:szCs w:val="20"/>
              </w:rPr>
            </w:pPr>
          </w:p>
          <w:p w14:paraId="1B6681CD" w14:textId="77777777" w:rsidR="00B704E5" w:rsidRDefault="00B704E5" w:rsidP="00A61EEF">
            <w:pPr>
              <w:rPr>
                <w:sz w:val="20"/>
                <w:szCs w:val="20"/>
              </w:rPr>
            </w:pPr>
          </w:p>
          <w:p w14:paraId="5C3DDC30" w14:textId="77777777" w:rsidR="00B704E5" w:rsidRDefault="00B704E5" w:rsidP="00A61EEF">
            <w:pPr>
              <w:rPr>
                <w:sz w:val="20"/>
                <w:szCs w:val="20"/>
              </w:rPr>
            </w:pPr>
          </w:p>
          <w:p w14:paraId="540F89C8" w14:textId="77777777" w:rsidR="00244FB6" w:rsidRDefault="00244FB6" w:rsidP="00A61EEF">
            <w:pPr>
              <w:rPr>
                <w:sz w:val="20"/>
                <w:szCs w:val="20"/>
              </w:rPr>
            </w:pPr>
          </w:p>
          <w:p w14:paraId="7325A847" w14:textId="77777777" w:rsidR="00244FB6" w:rsidRDefault="00244FB6" w:rsidP="00A61EEF">
            <w:pPr>
              <w:rPr>
                <w:sz w:val="20"/>
                <w:szCs w:val="20"/>
              </w:rPr>
            </w:pPr>
          </w:p>
          <w:p w14:paraId="06B597D8" w14:textId="3F5A21D9" w:rsidR="00244FB6" w:rsidRPr="004D7265" w:rsidRDefault="00B704E5" w:rsidP="00A61EEF">
            <w:pPr>
              <w:ind w:firstLine="0"/>
              <w:rPr>
                <w:sz w:val="20"/>
                <w:szCs w:val="20"/>
              </w:rPr>
            </w:pPr>
            <w:r>
              <w:rPr>
                <w:sz w:val="20"/>
                <w:szCs w:val="20"/>
              </w:rPr>
              <w:t>/</w:t>
            </w:r>
            <w:r w:rsidR="00244FB6" w:rsidRPr="004D7265">
              <w:rPr>
                <w:sz w:val="20"/>
                <w:szCs w:val="20"/>
              </w:rPr>
              <w:t>121r</w:t>
            </w:r>
            <w:r>
              <w:rPr>
                <w:sz w:val="20"/>
                <w:szCs w:val="20"/>
              </w:rPr>
              <w:t>/</w:t>
            </w:r>
            <w:r w:rsidR="00244FB6" w:rsidRPr="004D7265">
              <w:rPr>
                <w:sz w:val="20"/>
                <w:szCs w:val="20"/>
              </w:rPr>
              <w:t xml:space="preserve"> And if this figure (2211), then he demanndeth for a redde beaste that he hath bought, or hath gone onte of his hande, the with he shall sone reconer(?) and if he saye naye, he demanndeth none suche, then saye he aske for a woman with childe, that shall beare a man childe, and the man gone from the, thow shalt here sone or his name message or writinge, or ells he aske for monye that(?)</w:t>
            </w:r>
            <w:r w:rsidR="00244FB6" w:rsidRPr="004D7265">
              <w:rPr>
                <w:sz w:val="20"/>
                <w:szCs w:val="20"/>
                <w:vertAlign w:val="superscript"/>
              </w:rPr>
              <w:t xml:space="preserve"> </w:t>
            </w:r>
            <w:r w:rsidR="00244FB6" w:rsidRPr="004D7265">
              <w:rPr>
                <w:sz w:val="20"/>
                <w:szCs w:val="20"/>
              </w:rPr>
              <w:t xml:space="preserve"> shall return to his handes, or of battell, or of women and it is good to take jornaye or make weddinge or deffend battell and the sicke shalbe whole, and he shall bleade, and the(?)  man that(?) is in journay shall come home sicke and that thou haste asked for is with thou, and  that(?) thow thinkest good to be done, do it.</w:t>
            </w:r>
          </w:p>
          <w:p w14:paraId="7F8EEA3E" w14:textId="77777777" w:rsidR="00244FB6" w:rsidRPr="004D7265" w:rsidRDefault="00244FB6" w:rsidP="00A61EEF">
            <w:pPr>
              <w:rPr>
                <w:sz w:val="20"/>
                <w:szCs w:val="20"/>
              </w:rPr>
            </w:pPr>
          </w:p>
          <w:p w14:paraId="28BD563E" w14:textId="77777777" w:rsidR="00244FB6" w:rsidRDefault="00244FB6" w:rsidP="00A61EEF">
            <w:pPr>
              <w:rPr>
                <w:sz w:val="20"/>
                <w:szCs w:val="20"/>
              </w:rPr>
            </w:pPr>
          </w:p>
          <w:p w14:paraId="02A25CF9" w14:textId="77777777" w:rsidR="00244FB6" w:rsidRDefault="00244FB6" w:rsidP="00A61EEF">
            <w:pPr>
              <w:rPr>
                <w:sz w:val="20"/>
                <w:szCs w:val="20"/>
              </w:rPr>
            </w:pPr>
          </w:p>
          <w:p w14:paraId="29D564C5" w14:textId="77777777" w:rsidR="00244FB6" w:rsidRPr="004D7265" w:rsidRDefault="00244FB6" w:rsidP="00A61EEF">
            <w:pPr>
              <w:rPr>
                <w:sz w:val="20"/>
                <w:szCs w:val="20"/>
              </w:rPr>
            </w:pPr>
          </w:p>
          <w:p w14:paraId="7A87A8C4" w14:textId="77777777" w:rsidR="00244FB6" w:rsidRPr="004D7265" w:rsidRDefault="00244FB6" w:rsidP="00A61EEF">
            <w:pPr>
              <w:ind w:firstLine="0"/>
              <w:rPr>
                <w:sz w:val="20"/>
                <w:szCs w:val="20"/>
              </w:rPr>
            </w:pPr>
            <w:r w:rsidRPr="004D7265">
              <w:rPr>
                <w:sz w:val="20"/>
                <w:szCs w:val="20"/>
              </w:rPr>
              <w:t xml:space="preserve">And if this figure (2111) falle, then his question is for worshipp that he desirith to have or for weddinge that he desyrith to do, or for joy that he desirith to have and all joy, good </w:t>
            </w:r>
            <w:r w:rsidRPr="004D7265">
              <w:rPr>
                <w:sz w:val="20"/>
                <w:szCs w:val="20"/>
              </w:rPr>
              <w:lastRenderedPageBreak/>
              <w:t>and worship shall return unto the, and be good withoute it be in journayes, but and yf thow make a journay to a lorde that shalbe good, for thow shalt get worship; the woman shall beare a sone and he that is in jornay shall come home and shall be whole, and the thynge lost or stolen shall come agayn and he is of the same house that(?) stole it, and he shall sone putt it in thow howse and what so ever in this signe is hidden, yt is there in ..?, yearth as he thinke and what so ever(?) he askes to be done it is goo&lt;d&gt; in all thinge excepte it be in journaye, taking or to se&lt;lling&gt;?.</w:t>
            </w:r>
          </w:p>
          <w:p w14:paraId="416257D2" w14:textId="77777777" w:rsidR="00244FB6" w:rsidRPr="004D7265" w:rsidRDefault="00244FB6" w:rsidP="00A61EEF">
            <w:pPr>
              <w:rPr>
                <w:sz w:val="20"/>
                <w:szCs w:val="20"/>
              </w:rPr>
            </w:pPr>
          </w:p>
          <w:p w14:paraId="74CFED6D" w14:textId="77777777" w:rsidR="00244FB6" w:rsidRDefault="00244FB6" w:rsidP="00A61EEF">
            <w:pPr>
              <w:rPr>
                <w:sz w:val="20"/>
                <w:szCs w:val="20"/>
              </w:rPr>
            </w:pPr>
          </w:p>
          <w:p w14:paraId="67D45C24" w14:textId="77777777" w:rsidR="00244FB6" w:rsidRDefault="00244FB6" w:rsidP="00A61EEF">
            <w:pPr>
              <w:rPr>
                <w:sz w:val="20"/>
                <w:szCs w:val="20"/>
              </w:rPr>
            </w:pPr>
          </w:p>
          <w:p w14:paraId="58DFC07F" w14:textId="77777777" w:rsidR="00244FB6" w:rsidRDefault="00244FB6" w:rsidP="00A61EEF">
            <w:pPr>
              <w:rPr>
                <w:sz w:val="20"/>
                <w:szCs w:val="20"/>
              </w:rPr>
            </w:pPr>
          </w:p>
          <w:p w14:paraId="4F88C970" w14:textId="77777777" w:rsidR="00B704E5" w:rsidRPr="004D7265" w:rsidRDefault="00B704E5" w:rsidP="00A61EEF">
            <w:pPr>
              <w:rPr>
                <w:sz w:val="20"/>
                <w:szCs w:val="20"/>
              </w:rPr>
            </w:pPr>
          </w:p>
          <w:p w14:paraId="1AE8A5CD" w14:textId="77777777" w:rsidR="00244FB6" w:rsidRPr="004D7265" w:rsidRDefault="00244FB6" w:rsidP="00A61EEF">
            <w:pPr>
              <w:rPr>
                <w:sz w:val="20"/>
                <w:szCs w:val="20"/>
              </w:rPr>
            </w:pPr>
          </w:p>
          <w:p w14:paraId="6A2D5EE5" w14:textId="77777777" w:rsidR="00244FB6" w:rsidRPr="004D7265" w:rsidRDefault="00244FB6" w:rsidP="00A61EEF">
            <w:pPr>
              <w:ind w:firstLine="0"/>
              <w:rPr>
                <w:sz w:val="20"/>
                <w:szCs w:val="20"/>
              </w:rPr>
            </w:pPr>
            <w:r w:rsidRPr="004D7265">
              <w:rPr>
                <w:sz w:val="20"/>
                <w:szCs w:val="20"/>
              </w:rPr>
              <w:t xml:space="preserve">And if this figure (1211) fall, then he demanndes for monye or for causes of for landes that greate </w:t>
            </w:r>
          </w:p>
          <w:p w14:paraId="699E6496" w14:textId="77777777" w:rsidR="00244FB6" w:rsidRPr="004D7265" w:rsidRDefault="00244FB6" w:rsidP="00A61EEF">
            <w:pPr>
              <w:rPr>
                <w:sz w:val="20"/>
                <w:szCs w:val="20"/>
              </w:rPr>
            </w:pPr>
          </w:p>
          <w:p w14:paraId="7C85AFD2" w14:textId="77777777" w:rsidR="00244FB6" w:rsidRPr="004D7265" w:rsidRDefault="00244FB6" w:rsidP="00A61EEF">
            <w:pPr>
              <w:rPr>
                <w:sz w:val="20"/>
                <w:szCs w:val="20"/>
              </w:rPr>
            </w:pPr>
          </w:p>
          <w:p w14:paraId="2FB7099F" w14:textId="77777777" w:rsidR="00244FB6" w:rsidRPr="004D7265" w:rsidRDefault="00244FB6" w:rsidP="00A61EEF">
            <w:pPr>
              <w:rPr>
                <w:sz w:val="20"/>
                <w:szCs w:val="20"/>
              </w:rPr>
            </w:pPr>
          </w:p>
          <w:p w14:paraId="1BF8D5D5" w14:textId="77777777" w:rsidR="00244FB6" w:rsidRPr="004D7265" w:rsidRDefault="00244FB6" w:rsidP="00A61EEF">
            <w:pPr>
              <w:rPr>
                <w:sz w:val="20"/>
                <w:szCs w:val="20"/>
              </w:rPr>
            </w:pPr>
          </w:p>
          <w:p w14:paraId="34300148" w14:textId="77777777" w:rsidR="00244FB6" w:rsidRPr="004D7265" w:rsidRDefault="00244FB6" w:rsidP="00A61EEF">
            <w:pPr>
              <w:rPr>
                <w:sz w:val="20"/>
                <w:szCs w:val="20"/>
              </w:rPr>
            </w:pPr>
          </w:p>
          <w:p w14:paraId="30ADE3C6" w14:textId="77777777" w:rsidR="00244FB6" w:rsidRPr="004D7265" w:rsidRDefault="00244FB6" w:rsidP="00A61EEF">
            <w:pPr>
              <w:rPr>
                <w:sz w:val="20"/>
                <w:szCs w:val="20"/>
              </w:rPr>
            </w:pPr>
          </w:p>
          <w:p w14:paraId="1A07FAC0" w14:textId="77777777" w:rsidR="00244FB6" w:rsidRPr="004D7265" w:rsidRDefault="00244FB6" w:rsidP="00A61EEF">
            <w:pPr>
              <w:rPr>
                <w:sz w:val="20"/>
                <w:szCs w:val="20"/>
              </w:rPr>
            </w:pPr>
          </w:p>
          <w:p w14:paraId="3F2B46BB" w14:textId="77777777" w:rsidR="00244FB6" w:rsidRPr="004D7265" w:rsidRDefault="00244FB6" w:rsidP="00A61EEF">
            <w:pPr>
              <w:rPr>
                <w:sz w:val="20"/>
                <w:szCs w:val="20"/>
              </w:rPr>
            </w:pPr>
          </w:p>
          <w:p w14:paraId="7A454980" w14:textId="77777777" w:rsidR="00244FB6" w:rsidRPr="004D7265" w:rsidRDefault="00244FB6" w:rsidP="00A61EEF">
            <w:pPr>
              <w:rPr>
                <w:sz w:val="20"/>
                <w:szCs w:val="20"/>
              </w:rPr>
            </w:pPr>
          </w:p>
          <w:p w14:paraId="4F219DF9" w14:textId="77777777" w:rsidR="00244FB6" w:rsidRPr="004D7265" w:rsidRDefault="00244FB6" w:rsidP="00A61EEF">
            <w:pPr>
              <w:rPr>
                <w:sz w:val="20"/>
                <w:szCs w:val="20"/>
              </w:rPr>
            </w:pPr>
          </w:p>
          <w:p w14:paraId="57B637A4" w14:textId="77777777" w:rsidR="00244FB6" w:rsidRPr="004D7265" w:rsidRDefault="00244FB6" w:rsidP="00A61EEF">
            <w:pPr>
              <w:rPr>
                <w:sz w:val="20"/>
                <w:szCs w:val="20"/>
              </w:rPr>
            </w:pPr>
          </w:p>
          <w:p w14:paraId="048174C9" w14:textId="77777777" w:rsidR="00244FB6" w:rsidRPr="004D7265" w:rsidRDefault="00244FB6" w:rsidP="00A61EEF">
            <w:pPr>
              <w:rPr>
                <w:sz w:val="20"/>
                <w:szCs w:val="20"/>
              </w:rPr>
            </w:pPr>
          </w:p>
          <w:p w14:paraId="7569ED34" w14:textId="77777777" w:rsidR="00244FB6" w:rsidRDefault="00244FB6" w:rsidP="00A61EEF">
            <w:pPr>
              <w:rPr>
                <w:sz w:val="20"/>
                <w:szCs w:val="20"/>
              </w:rPr>
            </w:pPr>
          </w:p>
          <w:p w14:paraId="7BBDC7D7" w14:textId="77777777" w:rsidR="00244FB6" w:rsidRDefault="00244FB6" w:rsidP="00A61EEF">
            <w:pPr>
              <w:rPr>
                <w:sz w:val="20"/>
                <w:szCs w:val="20"/>
              </w:rPr>
            </w:pPr>
          </w:p>
          <w:p w14:paraId="3AA88F4C" w14:textId="77777777" w:rsidR="00244FB6" w:rsidRDefault="00244FB6" w:rsidP="00A61EEF">
            <w:pPr>
              <w:rPr>
                <w:sz w:val="20"/>
                <w:szCs w:val="20"/>
              </w:rPr>
            </w:pPr>
          </w:p>
          <w:p w14:paraId="66498AEC" w14:textId="4DA4A368" w:rsidR="00244FB6" w:rsidRDefault="00244FB6" w:rsidP="00B704E5">
            <w:pPr>
              <w:ind w:firstLine="0"/>
              <w:rPr>
                <w:sz w:val="20"/>
                <w:szCs w:val="20"/>
              </w:rPr>
            </w:pPr>
            <w:r>
              <w:rPr>
                <w:sz w:val="20"/>
                <w:szCs w:val="20"/>
              </w:rPr>
              <w:t>_</w:t>
            </w:r>
          </w:p>
          <w:p w14:paraId="2E637C44" w14:textId="77777777" w:rsidR="00244FB6" w:rsidRDefault="00244FB6" w:rsidP="00A61EEF">
            <w:pPr>
              <w:rPr>
                <w:sz w:val="20"/>
                <w:szCs w:val="20"/>
              </w:rPr>
            </w:pPr>
          </w:p>
          <w:p w14:paraId="39A31232" w14:textId="77777777" w:rsidR="00244FB6" w:rsidRDefault="00244FB6" w:rsidP="00A61EEF">
            <w:pPr>
              <w:rPr>
                <w:sz w:val="20"/>
                <w:szCs w:val="20"/>
              </w:rPr>
            </w:pPr>
          </w:p>
          <w:p w14:paraId="34B2CBEF" w14:textId="07F17CAA" w:rsidR="00B704E5" w:rsidRPr="00B704E5" w:rsidRDefault="00B704E5" w:rsidP="00B704E5">
            <w:pPr>
              <w:ind w:firstLine="0"/>
              <w:rPr>
                <w:sz w:val="20"/>
                <w:szCs w:val="20"/>
              </w:rPr>
            </w:pPr>
          </w:p>
          <w:p w14:paraId="6A9F9EC1" w14:textId="1407092C" w:rsidR="00244FB6" w:rsidRDefault="00244FB6" w:rsidP="00B704E5">
            <w:pPr>
              <w:ind w:firstLine="0"/>
              <w:rPr>
                <w:sz w:val="20"/>
                <w:szCs w:val="20"/>
              </w:rPr>
            </w:pPr>
          </w:p>
          <w:p w14:paraId="089A3087" w14:textId="77777777" w:rsidR="00244FB6" w:rsidRDefault="00244FB6" w:rsidP="00A61EEF">
            <w:pPr>
              <w:rPr>
                <w:sz w:val="20"/>
                <w:szCs w:val="20"/>
              </w:rPr>
            </w:pPr>
          </w:p>
          <w:p w14:paraId="1E44596D" w14:textId="77777777" w:rsidR="00244FB6" w:rsidRDefault="00244FB6" w:rsidP="00A61EEF">
            <w:pPr>
              <w:rPr>
                <w:sz w:val="20"/>
                <w:szCs w:val="20"/>
              </w:rPr>
            </w:pPr>
          </w:p>
          <w:p w14:paraId="3F276EC8" w14:textId="77777777" w:rsidR="00244FB6" w:rsidRDefault="00244FB6" w:rsidP="00A61EEF">
            <w:pPr>
              <w:rPr>
                <w:sz w:val="20"/>
                <w:szCs w:val="20"/>
              </w:rPr>
            </w:pPr>
          </w:p>
          <w:p w14:paraId="66D1D3BC" w14:textId="77777777" w:rsidR="00244FB6" w:rsidRDefault="00244FB6" w:rsidP="00A61EEF">
            <w:pPr>
              <w:rPr>
                <w:sz w:val="20"/>
                <w:szCs w:val="20"/>
              </w:rPr>
            </w:pPr>
          </w:p>
          <w:p w14:paraId="1AB4AE6A" w14:textId="77777777" w:rsidR="00244FB6" w:rsidRDefault="00244FB6" w:rsidP="00A61EEF">
            <w:pPr>
              <w:rPr>
                <w:sz w:val="20"/>
                <w:szCs w:val="20"/>
              </w:rPr>
            </w:pPr>
          </w:p>
          <w:p w14:paraId="2093C731" w14:textId="77777777" w:rsidR="00244FB6" w:rsidRDefault="00244FB6" w:rsidP="00A61EEF">
            <w:pPr>
              <w:rPr>
                <w:sz w:val="20"/>
                <w:szCs w:val="20"/>
              </w:rPr>
            </w:pPr>
          </w:p>
          <w:p w14:paraId="604D5C7E" w14:textId="77777777" w:rsidR="00244FB6" w:rsidRDefault="00244FB6" w:rsidP="00A61EEF">
            <w:pPr>
              <w:rPr>
                <w:sz w:val="20"/>
                <w:szCs w:val="20"/>
              </w:rPr>
            </w:pPr>
          </w:p>
          <w:p w14:paraId="12E248BC" w14:textId="77777777" w:rsidR="00244FB6" w:rsidRDefault="00244FB6" w:rsidP="00A61EEF">
            <w:pPr>
              <w:rPr>
                <w:sz w:val="20"/>
                <w:szCs w:val="20"/>
              </w:rPr>
            </w:pPr>
          </w:p>
          <w:p w14:paraId="0E0D0A8C" w14:textId="77777777" w:rsidR="00244FB6" w:rsidRDefault="00244FB6" w:rsidP="00A61EEF">
            <w:pPr>
              <w:rPr>
                <w:sz w:val="20"/>
                <w:szCs w:val="20"/>
              </w:rPr>
            </w:pPr>
          </w:p>
          <w:p w14:paraId="74BAA9F7" w14:textId="6EF2619C" w:rsidR="00244FB6" w:rsidRDefault="00244FB6" w:rsidP="00B704E5">
            <w:pPr>
              <w:ind w:firstLine="0"/>
              <w:rPr>
                <w:sz w:val="20"/>
                <w:szCs w:val="20"/>
              </w:rPr>
            </w:pPr>
          </w:p>
          <w:p w14:paraId="38177200" w14:textId="77777777" w:rsidR="00244FB6" w:rsidRDefault="00244FB6" w:rsidP="00A61EEF">
            <w:pPr>
              <w:rPr>
                <w:sz w:val="20"/>
                <w:szCs w:val="20"/>
              </w:rPr>
            </w:pPr>
          </w:p>
          <w:p w14:paraId="767D3AD8" w14:textId="77777777" w:rsidR="00244FB6" w:rsidRDefault="00244FB6" w:rsidP="00A61EEF">
            <w:pPr>
              <w:rPr>
                <w:sz w:val="20"/>
                <w:szCs w:val="20"/>
              </w:rPr>
            </w:pPr>
          </w:p>
          <w:p w14:paraId="3D47704C" w14:textId="77777777" w:rsidR="00244FB6" w:rsidRDefault="00244FB6" w:rsidP="00A61EEF">
            <w:pPr>
              <w:rPr>
                <w:sz w:val="20"/>
                <w:szCs w:val="20"/>
              </w:rPr>
            </w:pPr>
          </w:p>
          <w:p w14:paraId="78ABE8F3" w14:textId="77777777" w:rsidR="00244FB6" w:rsidRDefault="00244FB6" w:rsidP="00A61EEF">
            <w:pPr>
              <w:rPr>
                <w:sz w:val="20"/>
                <w:szCs w:val="20"/>
              </w:rPr>
            </w:pPr>
          </w:p>
          <w:p w14:paraId="7614AE35" w14:textId="77777777" w:rsidR="00244FB6" w:rsidRDefault="00244FB6" w:rsidP="00A61EEF">
            <w:pPr>
              <w:rPr>
                <w:sz w:val="20"/>
                <w:szCs w:val="20"/>
              </w:rPr>
            </w:pPr>
          </w:p>
          <w:p w14:paraId="126C11E1" w14:textId="77777777" w:rsidR="00244FB6" w:rsidRDefault="00244FB6" w:rsidP="00A61EEF">
            <w:pPr>
              <w:rPr>
                <w:sz w:val="20"/>
                <w:szCs w:val="20"/>
              </w:rPr>
            </w:pPr>
          </w:p>
          <w:p w14:paraId="56F6AA7F" w14:textId="77777777" w:rsidR="00244FB6" w:rsidRDefault="00244FB6" w:rsidP="00A61EEF">
            <w:pPr>
              <w:ind w:firstLine="0"/>
              <w:rPr>
                <w:sz w:val="20"/>
                <w:szCs w:val="20"/>
              </w:rPr>
            </w:pPr>
          </w:p>
          <w:p w14:paraId="4FF7A819" w14:textId="77777777" w:rsidR="00244FB6" w:rsidRPr="004D7265" w:rsidRDefault="00244FB6" w:rsidP="00A61EEF">
            <w:pPr>
              <w:ind w:firstLine="0"/>
              <w:rPr>
                <w:sz w:val="20"/>
                <w:szCs w:val="20"/>
              </w:rPr>
            </w:pPr>
          </w:p>
          <w:p w14:paraId="6AF89860" w14:textId="77777777" w:rsidR="00244FB6" w:rsidRDefault="00244FB6" w:rsidP="00A61EEF">
            <w:pPr>
              <w:rPr>
                <w:sz w:val="20"/>
                <w:szCs w:val="20"/>
              </w:rPr>
            </w:pPr>
          </w:p>
          <w:p w14:paraId="5DFA9E26" w14:textId="77777777" w:rsidR="00244FB6" w:rsidRDefault="00244FB6" w:rsidP="00A61EEF">
            <w:pPr>
              <w:rPr>
                <w:sz w:val="20"/>
                <w:szCs w:val="20"/>
              </w:rPr>
            </w:pPr>
          </w:p>
          <w:p w14:paraId="7291FAA2" w14:textId="77777777" w:rsidR="00244FB6" w:rsidRDefault="00244FB6" w:rsidP="00A61EEF">
            <w:pPr>
              <w:rPr>
                <w:sz w:val="20"/>
                <w:szCs w:val="20"/>
              </w:rPr>
            </w:pPr>
          </w:p>
          <w:p w14:paraId="45CDA2F5" w14:textId="77777777" w:rsidR="00B704E5" w:rsidRDefault="00B704E5" w:rsidP="00A61EEF">
            <w:pPr>
              <w:rPr>
                <w:sz w:val="20"/>
                <w:szCs w:val="20"/>
              </w:rPr>
            </w:pPr>
          </w:p>
          <w:p w14:paraId="52FBE4E4" w14:textId="77777777" w:rsidR="00B704E5" w:rsidRDefault="00B704E5" w:rsidP="00A61EEF">
            <w:pPr>
              <w:rPr>
                <w:sz w:val="20"/>
                <w:szCs w:val="20"/>
              </w:rPr>
            </w:pPr>
          </w:p>
          <w:p w14:paraId="342E844A" w14:textId="77777777" w:rsidR="00B704E5" w:rsidRDefault="00B704E5" w:rsidP="00A61EEF">
            <w:pPr>
              <w:rPr>
                <w:sz w:val="20"/>
                <w:szCs w:val="20"/>
              </w:rPr>
            </w:pPr>
          </w:p>
          <w:p w14:paraId="4B82E9BE" w14:textId="77777777" w:rsidR="00B704E5" w:rsidRDefault="00B704E5" w:rsidP="00A61EEF">
            <w:pPr>
              <w:rPr>
                <w:sz w:val="20"/>
                <w:szCs w:val="20"/>
              </w:rPr>
            </w:pPr>
          </w:p>
          <w:p w14:paraId="6241A9EC" w14:textId="77777777" w:rsidR="00B704E5" w:rsidRDefault="00B704E5" w:rsidP="00A61EEF">
            <w:pPr>
              <w:rPr>
                <w:sz w:val="20"/>
                <w:szCs w:val="20"/>
              </w:rPr>
            </w:pPr>
          </w:p>
          <w:p w14:paraId="5AE6FC47" w14:textId="77777777" w:rsidR="00B704E5" w:rsidRDefault="00B704E5" w:rsidP="00A61EEF">
            <w:pPr>
              <w:rPr>
                <w:sz w:val="20"/>
                <w:szCs w:val="20"/>
              </w:rPr>
            </w:pPr>
          </w:p>
          <w:p w14:paraId="5E917042" w14:textId="77777777" w:rsidR="00B704E5" w:rsidRDefault="00B704E5" w:rsidP="00A61EEF">
            <w:pPr>
              <w:rPr>
                <w:sz w:val="20"/>
                <w:szCs w:val="20"/>
              </w:rPr>
            </w:pPr>
          </w:p>
          <w:p w14:paraId="049CA2BD" w14:textId="77777777" w:rsidR="00B704E5" w:rsidRDefault="00B704E5" w:rsidP="00A61EEF">
            <w:pPr>
              <w:rPr>
                <w:sz w:val="20"/>
                <w:szCs w:val="20"/>
              </w:rPr>
            </w:pPr>
          </w:p>
          <w:p w14:paraId="2D98513D" w14:textId="77777777" w:rsidR="00B704E5" w:rsidRDefault="00B704E5" w:rsidP="00A61EEF">
            <w:pPr>
              <w:rPr>
                <w:sz w:val="20"/>
                <w:szCs w:val="20"/>
              </w:rPr>
            </w:pPr>
          </w:p>
          <w:p w14:paraId="60F560C8" w14:textId="77777777" w:rsidR="00B704E5" w:rsidRDefault="00B704E5" w:rsidP="00A61EEF">
            <w:pPr>
              <w:rPr>
                <w:sz w:val="20"/>
                <w:szCs w:val="20"/>
              </w:rPr>
            </w:pPr>
          </w:p>
          <w:p w14:paraId="3D17C72C" w14:textId="77777777" w:rsidR="00B704E5" w:rsidRDefault="00B704E5" w:rsidP="00A61EEF">
            <w:pPr>
              <w:rPr>
                <w:sz w:val="20"/>
                <w:szCs w:val="20"/>
              </w:rPr>
            </w:pPr>
          </w:p>
          <w:p w14:paraId="5156CACF" w14:textId="77777777" w:rsidR="00B704E5" w:rsidRDefault="00B704E5" w:rsidP="00A61EEF">
            <w:pPr>
              <w:rPr>
                <w:sz w:val="20"/>
                <w:szCs w:val="20"/>
              </w:rPr>
            </w:pPr>
          </w:p>
          <w:p w14:paraId="237BAD03" w14:textId="77777777" w:rsidR="00B704E5" w:rsidRDefault="00B704E5" w:rsidP="00A61EEF">
            <w:pPr>
              <w:rPr>
                <w:sz w:val="20"/>
                <w:szCs w:val="20"/>
              </w:rPr>
            </w:pPr>
          </w:p>
          <w:p w14:paraId="25A272D3" w14:textId="77777777" w:rsidR="00B704E5" w:rsidRDefault="00B704E5" w:rsidP="00A61EEF">
            <w:pPr>
              <w:rPr>
                <w:sz w:val="20"/>
                <w:szCs w:val="20"/>
              </w:rPr>
            </w:pPr>
          </w:p>
          <w:p w14:paraId="1B292054" w14:textId="77777777" w:rsidR="00B704E5" w:rsidRDefault="00B704E5" w:rsidP="00A61EEF">
            <w:pPr>
              <w:rPr>
                <w:sz w:val="20"/>
                <w:szCs w:val="20"/>
              </w:rPr>
            </w:pPr>
          </w:p>
          <w:p w14:paraId="47FF5A75" w14:textId="77777777" w:rsidR="00B704E5" w:rsidRDefault="00B704E5" w:rsidP="00A61EEF">
            <w:pPr>
              <w:rPr>
                <w:sz w:val="20"/>
                <w:szCs w:val="20"/>
              </w:rPr>
            </w:pPr>
          </w:p>
          <w:p w14:paraId="2AD30350" w14:textId="77777777" w:rsidR="00B704E5" w:rsidRDefault="00B704E5" w:rsidP="00A61EEF">
            <w:pPr>
              <w:rPr>
                <w:sz w:val="20"/>
                <w:szCs w:val="20"/>
              </w:rPr>
            </w:pPr>
          </w:p>
          <w:p w14:paraId="492E04F8" w14:textId="77777777" w:rsidR="00B704E5" w:rsidRDefault="00B704E5" w:rsidP="00A61EEF">
            <w:pPr>
              <w:rPr>
                <w:sz w:val="20"/>
                <w:szCs w:val="20"/>
              </w:rPr>
            </w:pPr>
          </w:p>
          <w:p w14:paraId="52CBDE88" w14:textId="77777777" w:rsidR="00B704E5" w:rsidRDefault="00B704E5" w:rsidP="00A61EEF">
            <w:pPr>
              <w:rPr>
                <w:sz w:val="20"/>
                <w:szCs w:val="20"/>
              </w:rPr>
            </w:pPr>
          </w:p>
          <w:p w14:paraId="0B01C9A6" w14:textId="77777777" w:rsidR="00B704E5" w:rsidRDefault="00B704E5" w:rsidP="00A61EEF">
            <w:pPr>
              <w:rPr>
                <w:sz w:val="20"/>
                <w:szCs w:val="20"/>
              </w:rPr>
            </w:pPr>
          </w:p>
          <w:p w14:paraId="7A8B6A03" w14:textId="77777777" w:rsidR="00B704E5" w:rsidRDefault="00B704E5" w:rsidP="00A61EEF">
            <w:pPr>
              <w:rPr>
                <w:sz w:val="20"/>
                <w:szCs w:val="20"/>
              </w:rPr>
            </w:pPr>
          </w:p>
          <w:p w14:paraId="27945DB4" w14:textId="77777777" w:rsidR="00B704E5" w:rsidRDefault="00B704E5" w:rsidP="00A61EEF">
            <w:pPr>
              <w:rPr>
                <w:sz w:val="20"/>
                <w:szCs w:val="20"/>
              </w:rPr>
            </w:pPr>
          </w:p>
          <w:p w14:paraId="5E78D276" w14:textId="77777777" w:rsidR="00B704E5" w:rsidRDefault="00B704E5" w:rsidP="00A61EEF">
            <w:pPr>
              <w:rPr>
                <w:sz w:val="20"/>
                <w:szCs w:val="20"/>
              </w:rPr>
            </w:pPr>
          </w:p>
          <w:p w14:paraId="0D7B59BB" w14:textId="77777777" w:rsidR="00B704E5" w:rsidRDefault="00B704E5" w:rsidP="00A61EEF">
            <w:pPr>
              <w:rPr>
                <w:sz w:val="20"/>
                <w:szCs w:val="20"/>
              </w:rPr>
            </w:pPr>
          </w:p>
          <w:p w14:paraId="1344944D" w14:textId="77777777" w:rsidR="00B704E5" w:rsidRDefault="00B704E5" w:rsidP="00A61EEF">
            <w:pPr>
              <w:rPr>
                <w:sz w:val="20"/>
                <w:szCs w:val="20"/>
              </w:rPr>
            </w:pPr>
          </w:p>
          <w:p w14:paraId="3AA623FC" w14:textId="77777777" w:rsidR="00B704E5" w:rsidRDefault="00B704E5" w:rsidP="00A61EEF">
            <w:pPr>
              <w:rPr>
                <w:sz w:val="20"/>
                <w:szCs w:val="20"/>
              </w:rPr>
            </w:pPr>
          </w:p>
          <w:p w14:paraId="4EE1C4FC" w14:textId="77777777" w:rsidR="00B704E5" w:rsidRDefault="00B704E5" w:rsidP="00A61EEF">
            <w:pPr>
              <w:rPr>
                <w:sz w:val="20"/>
                <w:szCs w:val="20"/>
              </w:rPr>
            </w:pPr>
          </w:p>
          <w:p w14:paraId="5902D1CA" w14:textId="77777777" w:rsidR="00B704E5" w:rsidRDefault="00B704E5" w:rsidP="00A61EEF">
            <w:pPr>
              <w:rPr>
                <w:sz w:val="20"/>
                <w:szCs w:val="20"/>
              </w:rPr>
            </w:pPr>
          </w:p>
          <w:p w14:paraId="4A748EFF" w14:textId="77777777" w:rsidR="00B704E5" w:rsidRDefault="00B704E5" w:rsidP="00A61EEF">
            <w:pPr>
              <w:rPr>
                <w:sz w:val="20"/>
                <w:szCs w:val="20"/>
              </w:rPr>
            </w:pPr>
          </w:p>
          <w:p w14:paraId="032C419A" w14:textId="77777777" w:rsidR="00B704E5" w:rsidRDefault="00B704E5" w:rsidP="00A61EEF">
            <w:pPr>
              <w:rPr>
                <w:sz w:val="20"/>
                <w:szCs w:val="20"/>
              </w:rPr>
            </w:pPr>
          </w:p>
          <w:p w14:paraId="70DDC3D6" w14:textId="77777777" w:rsidR="00B704E5" w:rsidRDefault="00B704E5" w:rsidP="00A61EEF">
            <w:pPr>
              <w:rPr>
                <w:sz w:val="20"/>
                <w:szCs w:val="20"/>
              </w:rPr>
            </w:pPr>
          </w:p>
          <w:p w14:paraId="7BC464C5" w14:textId="77777777" w:rsidR="00B704E5" w:rsidRDefault="00B704E5" w:rsidP="00A61EEF">
            <w:pPr>
              <w:rPr>
                <w:sz w:val="20"/>
                <w:szCs w:val="20"/>
              </w:rPr>
            </w:pPr>
          </w:p>
          <w:p w14:paraId="0DB7EB0B" w14:textId="77777777" w:rsidR="00B704E5" w:rsidRDefault="00B704E5" w:rsidP="00A61EEF">
            <w:pPr>
              <w:rPr>
                <w:sz w:val="20"/>
                <w:szCs w:val="20"/>
              </w:rPr>
            </w:pPr>
          </w:p>
          <w:p w14:paraId="725AF82C" w14:textId="77777777" w:rsidR="00B704E5" w:rsidRDefault="00B704E5" w:rsidP="00A61EEF">
            <w:pPr>
              <w:rPr>
                <w:sz w:val="20"/>
                <w:szCs w:val="20"/>
              </w:rPr>
            </w:pPr>
          </w:p>
          <w:p w14:paraId="50DFFA4B" w14:textId="77777777" w:rsidR="00B704E5" w:rsidRDefault="00B704E5" w:rsidP="00A61EEF">
            <w:pPr>
              <w:rPr>
                <w:sz w:val="20"/>
                <w:szCs w:val="20"/>
              </w:rPr>
            </w:pPr>
          </w:p>
          <w:p w14:paraId="6ABE3F19" w14:textId="77777777" w:rsidR="00B704E5" w:rsidRDefault="00B704E5" w:rsidP="00A61EEF">
            <w:pPr>
              <w:rPr>
                <w:sz w:val="20"/>
                <w:szCs w:val="20"/>
              </w:rPr>
            </w:pPr>
          </w:p>
          <w:p w14:paraId="2E3C20CB" w14:textId="77777777" w:rsidR="00B704E5" w:rsidRDefault="00B704E5" w:rsidP="00A61EEF">
            <w:pPr>
              <w:rPr>
                <w:sz w:val="20"/>
                <w:szCs w:val="20"/>
              </w:rPr>
            </w:pPr>
          </w:p>
          <w:p w14:paraId="736AC5A4" w14:textId="77777777" w:rsidR="00B704E5" w:rsidRDefault="00B704E5" w:rsidP="00A61EEF">
            <w:pPr>
              <w:rPr>
                <w:sz w:val="20"/>
                <w:szCs w:val="20"/>
              </w:rPr>
            </w:pPr>
          </w:p>
          <w:p w14:paraId="76ACD810" w14:textId="77777777" w:rsidR="00B704E5" w:rsidRDefault="00B704E5" w:rsidP="00A61EEF">
            <w:pPr>
              <w:rPr>
                <w:sz w:val="20"/>
                <w:szCs w:val="20"/>
              </w:rPr>
            </w:pPr>
          </w:p>
          <w:p w14:paraId="2650DB4F" w14:textId="77777777" w:rsidR="00B704E5" w:rsidRDefault="00B704E5" w:rsidP="00A61EEF">
            <w:pPr>
              <w:rPr>
                <w:sz w:val="20"/>
                <w:szCs w:val="20"/>
              </w:rPr>
            </w:pPr>
          </w:p>
          <w:p w14:paraId="4528B38F" w14:textId="77777777" w:rsidR="00B704E5" w:rsidRDefault="00B704E5" w:rsidP="00A61EEF">
            <w:pPr>
              <w:rPr>
                <w:sz w:val="20"/>
                <w:szCs w:val="20"/>
              </w:rPr>
            </w:pPr>
          </w:p>
          <w:p w14:paraId="76102CD9" w14:textId="77777777" w:rsidR="00B704E5" w:rsidRDefault="00B704E5" w:rsidP="00A61EEF">
            <w:pPr>
              <w:rPr>
                <w:sz w:val="20"/>
                <w:szCs w:val="20"/>
              </w:rPr>
            </w:pPr>
          </w:p>
          <w:p w14:paraId="34E5982F" w14:textId="77777777" w:rsidR="00B704E5" w:rsidRDefault="00B704E5" w:rsidP="00A61EEF">
            <w:pPr>
              <w:rPr>
                <w:sz w:val="20"/>
                <w:szCs w:val="20"/>
              </w:rPr>
            </w:pPr>
          </w:p>
          <w:p w14:paraId="578A257F" w14:textId="77777777" w:rsidR="00B704E5" w:rsidRDefault="00B704E5" w:rsidP="00A61EEF">
            <w:pPr>
              <w:rPr>
                <w:sz w:val="20"/>
                <w:szCs w:val="20"/>
              </w:rPr>
            </w:pPr>
          </w:p>
          <w:p w14:paraId="0708DA92" w14:textId="77777777" w:rsidR="00B704E5" w:rsidRDefault="00B704E5" w:rsidP="00A61EEF">
            <w:pPr>
              <w:rPr>
                <w:sz w:val="20"/>
                <w:szCs w:val="20"/>
              </w:rPr>
            </w:pPr>
          </w:p>
          <w:p w14:paraId="4E371FFF" w14:textId="77777777" w:rsidR="00B704E5" w:rsidRDefault="00B704E5" w:rsidP="00A61EEF">
            <w:pPr>
              <w:rPr>
                <w:sz w:val="20"/>
                <w:szCs w:val="20"/>
              </w:rPr>
            </w:pPr>
          </w:p>
          <w:p w14:paraId="4B369803" w14:textId="77777777" w:rsidR="00B704E5" w:rsidRDefault="00B704E5" w:rsidP="00A61EEF">
            <w:pPr>
              <w:rPr>
                <w:sz w:val="20"/>
                <w:szCs w:val="20"/>
              </w:rPr>
            </w:pPr>
          </w:p>
          <w:p w14:paraId="2D0368E4" w14:textId="77777777" w:rsidR="00B704E5" w:rsidRDefault="00B704E5" w:rsidP="00A61EEF">
            <w:pPr>
              <w:rPr>
                <w:sz w:val="20"/>
                <w:szCs w:val="20"/>
              </w:rPr>
            </w:pPr>
          </w:p>
          <w:p w14:paraId="691F4F9A" w14:textId="77777777" w:rsidR="00B704E5" w:rsidRDefault="00B704E5" w:rsidP="00A61EEF">
            <w:pPr>
              <w:rPr>
                <w:sz w:val="20"/>
                <w:szCs w:val="20"/>
              </w:rPr>
            </w:pPr>
          </w:p>
          <w:p w14:paraId="67227019" w14:textId="77777777" w:rsidR="00B704E5" w:rsidRDefault="00B704E5" w:rsidP="00A61EEF">
            <w:pPr>
              <w:rPr>
                <w:sz w:val="20"/>
                <w:szCs w:val="20"/>
              </w:rPr>
            </w:pPr>
          </w:p>
          <w:p w14:paraId="62CE1A5D" w14:textId="77777777" w:rsidR="00B704E5" w:rsidRDefault="00B704E5" w:rsidP="00A61EEF">
            <w:pPr>
              <w:rPr>
                <w:sz w:val="20"/>
                <w:szCs w:val="20"/>
              </w:rPr>
            </w:pPr>
          </w:p>
          <w:p w14:paraId="125DE7EB" w14:textId="77777777" w:rsidR="00B704E5" w:rsidRDefault="00B704E5" w:rsidP="00A61EEF">
            <w:pPr>
              <w:rPr>
                <w:sz w:val="20"/>
                <w:szCs w:val="20"/>
              </w:rPr>
            </w:pPr>
          </w:p>
          <w:p w14:paraId="32572355" w14:textId="77777777" w:rsidR="00B704E5" w:rsidRDefault="00B704E5" w:rsidP="00A61EEF">
            <w:pPr>
              <w:rPr>
                <w:sz w:val="20"/>
                <w:szCs w:val="20"/>
              </w:rPr>
            </w:pPr>
          </w:p>
          <w:p w14:paraId="338CD079" w14:textId="77777777" w:rsidR="00B704E5" w:rsidRDefault="00B704E5" w:rsidP="00A61EEF">
            <w:pPr>
              <w:rPr>
                <w:sz w:val="20"/>
                <w:szCs w:val="20"/>
              </w:rPr>
            </w:pPr>
          </w:p>
          <w:p w14:paraId="29DA104E" w14:textId="77777777" w:rsidR="00B704E5" w:rsidRDefault="00B704E5" w:rsidP="00A61EEF">
            <w:pPr>
              <w:rPr>
                <w:sz w:val="20"/>
                <w:szCs w:val="20"/>
              </w:rPr>
            </w:pPr>
          </w:p>
          <w:p w14:paraId="605B0F36" w14:textId="77777777" w:rsidR="00B704E5" w:rsidRDefault="00B704E5" w:rsidP="00A61EEF">
            <w:pPr>
              <w:rPr>
                <w:sz w:val="20"/>
                <w:szCs w:val="20"/>
              </w:rPr>
            </w:pPr>
          </w:p>
          <w:p w14:paraId="1FC131CD" w14:textId="77777777" w:rsidR="00B704E5" w:rsidRDefault="00B704E5" w:rsidP="00A61EEF">
            <w:pPr>
              <w:rPr>
                <w:sz w:val="20"/>
                <w:szCs w:val="20"/>
              </w:rPr>
            </w:pPr>
          </w:p>
          <w:p w14:paraId="0AAFD436" w14:textId="77777777" w:rsidR="00B704E5" w:rsidRDefault="00B704E5" w:rsidP="00A61EEF">
            <w:pPr>
              <w:rPr>
                <w:sz w:val="20"/>
                <w:szCs w:val="20"/>
              </w:rPr>
            </w:pPr>
          </w:p>
          <w:p w14:paraId="687C8FF0" w14:textId="77777777" w:rsidR="00B704E5" w:rsidRDefault="00B704E5" w:rsidP="00A61EEF">
            <w:pPr>
              <w:rPr>
                <w:sz w:val="20"/>
                <w:szCs w:val="20"/>
              </w:rPr>
            </w:pPr>
          </w:p>
          <w:p w14:paraId="6FE09C27" w14:textId="77777777" w:rsidR="00B704E5" w:rsidRDefault="00B704E5" w:rsidP="00A61EEF">
            <w:pPr>
              <w:rPr>
                <w:sz w:val="20"/>
                <w:szCs w:val="20"/>
              </w:rPr>
            </w:pPr>
          </w:p>
          <w:p w14:paraId="4C087C91" w14:textId="77777777" w:rsidR="00B704E5" w:rsidRDefault="00B704E5" w:rsidP="00A61EEF">
            <w:pPr>
              <w:rPr>
                <w:sz w:val="20"/>
                <w:szCs w:val="20"/>
              </w:rPr>
            </w:pPr>
          </w:p>
          <w:p w14:paraId="156A3C45" w14:textId="77777777" w:rsidR="00B704E5" w:rsidRDefault="00B704E5" w:rsidP="00A61EEF">
            <w:pPr>
              <w:rPr>
                <w:sz w:val="20"/>
                <w:szCs w:val="20"/>
              </w:rPr>
            </w:pPr>
          </w:p>
          <w:p w14:paraId="642C7C13" w14:textId="77777777" w:rsidR="00B704E5" w:rsidRDefault="00B704E5" w:rsidP="00A61EEF">
            <w:pPr>
              <w:rPr>
                <w:sz w:val="20"/>
                <w:szCs w:val="20"/>
              </w:rPr>
            </w:pPr>
          </w:p>
          <w:p w14:paraId="4AB6232C" w14:textId="77777777" w:rsidR="00B704E5" w:rsidRDefault="00B704E5" w:rsidP="00A61EEF">
            <w:pPr>
              <w:rPr>
                <w:sz w:val="20"/>
                <w:szCs w:val="20"/>
              </w:rPr>
            </w:pPr>
          </w:p>
          <w:p w14:paraId="12DDACB0" w14:textId="77777777" w:rsidR="00B704E5" w:rsidRDefault="00B704E5" w:rsidP="00A61EEF">
            <w:pPr>
              <w:rPr>
                <w:sz w:val="20"/>
                <w:szCs w:val="20"/>
              </w:rPr>
            </w:pPr>
          </w:p>
          <w:p w14:paraId="130011F9" w14:textId="77777777" w:rsidR="00B704E5" w:rsidRDefault="00B704E5" w:rsidP="00A61EEF">
            <w:pPr>
              <w:rPr>
                <w:sz w:val="20"/>
                <w:szCs w:val="20"/>
              </w:rPr>
            </w:pPr>
          </w:p>
          <w:p w14:paraId="118A39ED" w14:textId="77777777" w:rsidR="00B704E5" w:rsidRDefault="00B704E5" w:rsidP="00A61EEF">
            <w:pPr>
              <w:rPr>
                <w:sz w:val="20"/>
                <w:szCs w:val="20"/>
              </w:rPr>
            </w:pPr>
          </w:p>
          <w:p w14:paraId="7FBF6ECA" w14:textId="77777777" w:rsidR="00B704E5" w:rsidRDefault="00B704E5" w:rsidP="00A61EEF">
            <w:pPr>
              <w:rPr>
                <w:sz w:val="20"/>
                <w:szCs w:val="20"/>
              </w:rPr>
            </w:pPr>
          </w:p>
          <w:p w14:paraId="1ABC2E4F" w14:textId="77777777" w:rsidR="00B704E5" w:rsidRDefault="00B704E5" w:rsidP="00A61EEF">
            <w:pPr>
              <w:rPr>
                <w:sz w:val="20"/>
                <w:szCs w:val="20"/>
              </w:rPr>
            </w:pPr>
          </w:p>
          <w:p w14:paraId="57A83391" w14:textId="77777777" w:rsidR="00B704E5" w:rsidRDefault="00B704E5" w:rsidP="00A61EEF">
            <w:pPr>
              <w:rPr>
                <w:sz w:val="20"/>
                <w:szCs w:val="20"/>
              </w:rPr>
            </w:pPr>
          </w:p>
          <w:p w14:paraId="286A9117" w14:textId="77777777" w:rsidR="00B704E5" w:rsidRDefault="00B704E5" w:rsidP="00A61EEF">
            <w:pPr>
              <w:rPr>
                <w:sz w:val="20"/>
                <w:szCs w:val="20"/>
              </w:rPr>
            </w:pPr>
          </w:p>
          <w:p w14:paraId="6FC4EA14" w14:textId="77777777" w:rsidR="00B704E5" w:rsidRDefault="00B704E5" w:rsidP="00A61EEF">
            <w:pPr>
              <w:rPr>
                <w:sz w:val="20"/>
                <w:szCs w:val="20"/>
              </w:rPr>
            </w:pPr>
          </w:p>
          <w:p w14:paraId="07B8EF42" w14:textId="77777777" w:rsidR="00B704E5" w:rsidRDefault="00B704E5" w:rsidP="00A61EEF">
            <w:pPr>
              <w:rPr>
                <w:sz w:val="20"/>
                <w:szCs w:val="20"/>
              </w:rPr>
            </w:pPr>
          </w:p>
          <w:p w14:paraId="37D96500" w14:textId="77777777" w:rsidR="00B704E5" w:rsidRDefault="00B704E5" w:rsidP="00A61EEF">
            <w:pPr>
              <w:rPr>
                <w:sz w:val="20"/>
                <w:szCs w:val="20"/>
              </w:rPr>
            </w:pPr>
          </w:p>
          <w:p w14:paraId="0B71AA3B" w14:textId="77777777" w:rsidR="00B704E5" w:rsidRDefault="00B704E5" w:rsidP="00A61EEF">
            <w:pPr>
              <w:rPr>
                <w:sz w:val="20"/>
                <w:szCs w:val="20"/>
              </w:rPr>
            </w:pPr>
          </w:p>
          <w:p w14:paraId="65490918" w14:textId="77777777" w:rsidR="00244FB6" w:rsidRDefault="00244FB6" w:rsidP="00A61EEF">
            <w:pPr>
              <w:rPr>
                <w:sz w:val="20"/>
                <w:szCs w:val="20"/>
              </w:rPr>
            </w:pPr>
          </w:p>
          <w:p w14:paraId="3DEEBB74" w14:textId="09AFC98B" w:rsidR="00244FB6" w:rsidRPr="004D7265" w:rsidRDefault="00244FB6" w:rsidP="00A61EEF">
            <w:pPr>
              <w:ind w:firstLine="0"/>
              <w:rPr>
                <w:sz w:val="20"/>
                <w:szCs w:val="20"/>
              </w:rPr>
            </w:pPr>
            <w:r w:rsidRPr="004D7265">
              <w:rPr>
                <w:sz w:val="20"/>
                <w:szCs w:val="20"/>
              </w:rPr>
              <w:t xml:space="preserve">And if this figure (1221) falle, it grannte all good thinge, and the man fourthe shall returne home in health, the syke man shalbe whole, and thou shalt have health, prosperitie and worship, and thow shalt fin…[a piece of page is missing ] what so ever thow asketh, and the deede is done and it […] good, and leve not to do that thing that is in your mynd for that […] soo(?) the profett.  </w:t>
            </w:r>
          </w:p>
        </w:tc>
        <w:tc>
          <w:tcPr>
            <w:tcW w:w="2976" w:type="dxa"/>
          </w:tcPr>
          <w:p w14:paraId="0A9A33E6" w14:textId="6B77FFA6" w:rsidR="00244FB6" w:rsidRPr="00B704E5" w:rsidRDefault="00B704E5" w:rsidP="00A61EEF">
            <w:pPr>
              <w:ind w:firstLine="0"/>
              <w:rPr>
                <w:sz w:val="20"/>
                <w:szCs w:val="20"/>
              </w:rPr>
            </w:pPr>
            <w:r>
              <w:rPr>
                <w:sz w:val="20"/>
                <w:szCs w:val="20"/>
              </w:rPr>
              <w:lastRenderedPageBreak/>
              <w:t>/</w:t>
            </w:r>
            <w:r w:rsidR="00244FB6" w:rsidRPr="00954864">
              <w:rPr>
                <w:sz w:val="20"/>
                <w:szCs w:val="20"/>
              </w:rPr>
              <w:t>8r</w:t>
            </w:r>
            <w:r>
              <w:rPr>
                <w:sz w:val="20"/>
                <w:szCs w:val="20"/>
              </w:rPr>
              <w:t>/</w:t>
            </w:r>
            <w:r w:rsidR="00244FB6" w:rsidRPr="00F91C20">
              <w:rPr>
                <w:b/>
                <w:bCs/>
                <w:sz w:val="20"/>
                <w:szCs w:val="20"/>
              </w:rPr>
              <w:t xml:space="preserve"> </w:t>
            </w:r>
            <w:r w:rsidR="00244FB6" w:rsidRPr="00B704E5">
              <w:rPr>
                <w:sz w:val="20"/>
                <w:szCs w:val="20"/>
              </w:rPr>
              <w:t xml:space="preserve">Des rueles de trouer l’entencion del demandant selon aphatan l’astronomien. </w:t>
            </w:r>
          </w:p>
          <w:p w14:paraId="58C5C177" w14:textId="77777777" w:rsidR="00244FB6" w:rsidRPr="00B704E5" w:rsidRDefault="00244FB6" w:rsidP="00A61EEF">
            <w:pPr>
              <w:ind w:firstLine="0"/>
              <w:rPr>
                <w:sz w:val="20"/>
                <w:szCs w:val="20"/>
              </w:rPr>
            </w:pPr>
          </w:p>
          <w:p w14:paraId="359BD3F0" w14:textId="77777777" w:rsidR="00244FB6" w:rsidRDefault="00244FB6" w:rsidP="00A61EEF">
            <w:pPr>
              <w:ind w:firstLine="0"/>
              <w:rPr>
                <w:sz w:val="20"/>
                <w:szCs w:val="20"/>
              </w:rPr>
            </w:pPr>
            <w:r w:rsidRPr="00C97B8E">
              <w:rPr>
                <w:sz w:val="20"/>
                <w:szCs w:val="20"/>
              </w:rPr>
              <w:t>_</w:t>
            </w:r>
          </w:p>
          <w:p w14:paraId="361E72A2" w14:textId="77777777" w:rsidR="00244FB6" w:rsidRDefault="00244FB6" w:rsidP="00A61EEF">
            <w:pPr>
              <w:rPr>
                <w:sz w:val="20"/>
                <w:szCs w:val="20"/>
              </w:rPr>
            </w:pPr>
          </w:p>
          <w:p w14:paraId="49207F87" w14:textId="77777777" w:rsidR="00244FB6" w:rsidRDefault="00244FB6" w:rsidP="00A61EEF">
            <w:pPr>
              <w:rPr>
                <w:sz w:val="20"/>
                <w:szCs w:val="20"/>
              </w:rPr>
            </w:pPr>
          </w:p>
          <w:p w14:paraId="7EC92D3D" w14:textId="77777777" w:rsidR="00244FB6" w:rsidRDefault="00244FB6" w:rsidP="00A61EEF">
            <w:pPr>
              <w:rPr>
                <w:sz w:val="20"/>
                <w:szCs w:val="20"/>
              </w:rPr>
            </w:pPr>
          </w:p>
          <w:p w14:paraId="06D97D24" w14:textId="77777777" w:rsidR="00244FB6" w:rsidRDefault="00244FB6" w:rsidP="00A61EEF">
            <w:pPr>
              <w:rPr>
                <w:sz w:val="20"/>
                <w:szCs w:val="20"/>
              </w:rPr>
            </w:pPr>
          </w:p>
          <w:p w14:paraId="60A28AD8" w14:textId="77777777" w:rsidR="00244FB6" w:rsidRDefault="00244FB6" w:rsidP="00A61EEF">
            <w:pPr>
              <w:rPr>
                <w:sz w:val="20"/>
                <w:szCs w:val="20"/>
              </w:rPr>
            </w:pPr>
          </w:p>
          <w:p w14:paraId="56B56638" w14:textId="77777777" w:rsidR="00244FB6" w:rsidRDefault="00244FB6" w:rsidP="00A61EEF">
            <w:pPr>
              <w:rPr>
                <w:sz w:val="20"/>
                <w:szCs w:val="20"/>
              </w:rPr>
            </w:pPr>
          </w:p>
          <w:p w14:paraId="081F65D0" w14:textId="77777777" w:rsidR="00244FB6" w:rsidRDefault="00244FB6" w:rsidP="00A61EEF">
            <w:pPr>
              <w:rPr>
                <w:sz w:val="20"/>
                <w:szCs w:val="20"/>
              </w:rPr>
            </w:pPr>
          </w:p>
          <w:p w14:paraId="37918C84" w14:textId="77777777" w:rsidR="00244FB6" w:rsidRDefault="00244FB6" w:rsidP="00A61EEF">
            <w:pPr>
              <w:rPr>
                <w:sz w:val="20"/>
                <w:szCs w:val="20"/>
              </w:rPr>
            </w:pPr>
          </w:p>
          <w:p w14:paraId="65C88762" w14:textId="77777777" w:rsidR="00244FB6" w:rsidRDefault="00244FB6" w:rsidP="00A61EEF">
            <w:pPr>
              <w:rPr>
                <w:sz w:val="20"/>
                <w:szCs w:val="20"/>
              </w:rPr>
            </w:pPr>
          </w:p>
          <w:p w14:paraId="4DC5A4C4" w14:textId="77777777" w:rsidR="00B704E5" w:rsidRDefault="00B704E5" w:rsidP="00A61EEF">
            <w:pPr>
              <w:rPr>
                <w:sz w:val="20"/>
                <w:szCs w:val="20"/>
              </w:rPr>
            </w:pPr>
          </w:p>
          <w:p w14:paraId="172ACD7E" w14:textId="77777777" w:rsidR="00B704E5" w:rsidRDefault="00B704E5" w:rsidP="00A61EEF">
            <w:pPr>
              <w:rPr>
                <w:sz w:val="20"/>
                <w:szCs w:val="20"/>
              </w:rPr>
            </w:pPr>
          </w:p>
          <w:p w14:paraId="670E0BF7" w14:textId="77777777" w:rsidR="00B704E5" w:rsidRDefault="00B704E5" w:rsidP="00A61EEF">
            <w:pPr>
              <w:rPr>
                <w:sz w:val="20"/>
                <w:szCs w:val="20"/>
              </w:rPr>
            </w:pPr>
          </w:p>
          <w:p w14:paraId="6404F2BD" w14:textId="77777777" w:rsidR="00B704E5" w:rsidRDefault="00B704E5" w:rsidP="00A61EEF">
            <w:pPr>
              <w:rPr>
                <w:sz w:val="20"/>
                <w:szCs w:val="20"/>
              </w:rPr>
            </w:pPr>
          </w:p>
          <w:p w14:paraId="58FE95DD" w14:textId="77777777" w:rsidR="00244FB6" w:rsidRDefault="00244FB6" w:rsidP="00A61EEF">
            <w:pPr>
              <w:ind w:firstLine="0"/>
              <w:rPr>
                <w:sz w:val="20"/>
                <w:szCs w:val="20"/>
              </w:rPr>
            </w:pPr>
          </w:p>
          <w:p w14:paraId="39C82244" w14:textId="77777777" w:rsidR="00244FB6" w:rsidRDefault="00244FB6" w:rsidP="00A61EEF">
            <w:pPr>
              <w:ind w:firstLine="0"/>
              <w:rPr>
                <w:sz w:val="20"/>
                <w:szCs w:val="20"/>
              </w:rPr>
            </w:pPr>
            <w:r>
              <w:rPr>
                <w:sz w:val="20"/>
                <w:szCs w:val="20"/>
              </w:rPr>
              <w:t>(1111) … signe tu demanndes pour meuement ou de chemin de l&lt;i&gt;eu en autre, s’il respon&lt;de&gt; ‘uers’, dit d.. que il se gars departe e de damage de chattel(?) o de son cors. Si dit ‘non’, dices pour homme en vere ou aloigne per savoire sann3(?) retenerir.</w:t>
            </w:r>
          </w:p>
          <w:p w14:paraId="4DD76285" w14:textId="77777777" w:rsidR="00244FB6" w:rsidRDefault="00244FB6" w:rsidP="00A61EEF">
            <w:pPr>
              <w:rPr>
                <w:sz w:val="20"/>
                <w:szCs w:val="20"/>
              </w:rPr>
            </w:pPr>
          </w:p>
          <w:p w14:paraId="5AEB5DA9" w14:textId="77777777" w:rsidR="00244FB6" w:rsidRDefault="00244FB6" w:rsidP="00A61EEF">
            <w:pPr>
              <w:rPr>
                <w:sz w:val="20"/>
                <w:szCs w:val="20"/>
              </w:rPr>
            </w:pPr>
          </w:p>
          <w:p w14:paraId="1274F1F7" w14:textId="77777777" w:rsidR="00244FB6" w:rsidRDefault="00244FB6" w:rsidP="00A61EEF">
            <w:pPr>
              <w:rPr>
                <w:sz w:val="20"/>
                <w:szCs w:val="20"/>
              </w:rPr>
            </w:pPr>
          </w:p>
          <w:p w14:paraId="2B7354D8" w14:textId="77777777" w:rsidR="00244FB6" w:rsidRDefault="00244FB6" w:rsidP="00A61EEF">
            <w:pPr>
              <w:rPr>
                <w:sz w:val="20"/>
                <w:szCs w:val="20"/>
              </w:rPr>
            </w:pPr>
          </w:p>
          <w:p w14:paraId="028A9A38" w14:textId="77777777" w:rsidR="00244FB6" w:rsidRDefault="00244FB6" w:rsidP="00A61EEF">
            <w:pPr>
              <w:rPr>
                <w:sz w:val="20"/>
                <w:szCs w:val="20"/>
              </w:rPr>
            </w:pPr>
          </w:p>
          <w:p w14:paraId="1A4B0F38" w14:textId="77777777" w:rsidR="00244FB6" w:rsidRDefault="00244FB6" w:rsidP="00A61EEF">
            <w:pPr>
              <w:rPr>
                <w:sz w:val="20"/>
                <w:szCs w:val="20"/>
              </w:rPr>
            </w:pPr>
          </w:p>
          <w:p w14:paraId="4C9385A7" w14:textId="77777777" w:rsidR="00244FB6" w:rsidRDefault="00244FB6" w:rsidP="00A61EEF">
            <w:pPr>
              <w:rPr>
                <w:sz w:val="20"/>
                <w:szCs w:val="20"/>
              </w:rPr>
            </w:pPr>
          </w:p>
          <w:p w14:paraId="527B2BE3" w14:textId="77777777" w:rsidR="00244FB6" w:rsidRDefault="00244FB6" w:rsidP="00A61EEF">
            <w:pPr>
              <w:rPr>
                <w:sz w:val="20"/>
                <w:szCs w:val="20"/>
              </w:rPr>
            </w:pPr>
          </w:p>
          <w:p w14:paraId="2FDC1782" w14:textId="77777777" w:rsidR="00B704E5" w:rsidRDefault="00B704E5" w:rsidP="00A61EEF">
            <w:pPr>
              <w:rPr>
                <w:sz w:val="20"/>
                <w:szCs w:val="20"/>
              </w:rPr>
            </w:pPr>
          </w:p>
          <w:p w14:paraId="77F0FEFD" w14:textId="77777777" w:rsidR="00B704E5" w:rsidRDefault="00B704E5" w:rsidP="00A61EEF">
            <w:pPr>
              <w:rPr>
                <w:sz w:val="20"/>
                <w:szCs w:val="20"/>
              </w:rPr>
            </w:pPr>
          </w:p>
          <w:p w14:paraId="23EFE6F5" w14:textId="77777777" w:rsidR="00B704E5" w:rsidRDefault="00B704E5" w:rsidP="00A61EEF">
            <w:pPr>
              <w:rPr>
                <w:sz w:val="20"/>
                <w:szCs w:val="20"/>
              </w:rPr>
            </w:pPr>
          </w:p>
          <w:p w14:paraId="43FD6A0F" w14:textId="77777777" w:rsidR="00B704E5" w:rsidRDefault="00B704E5" w:rsidP="00A61EEF">
            <w:pPr>
              <w:rPr>
                <w:sz w:val="20"/>
                <w:szCs w:val="20"/>
              </w:rPr>
            </w:pPr>
          </w:p>
          <w:p w14:paraId="5A4F8399" w14:textId="77777777" w:rsidR="00244FB6" w:rsidRDefault="00244FB6" w:rsidP="00A61EEF">
            <w:pPr>
              <w:rPr>
                <w:sz w:val="20"/>
                <w:szCs w:val="20"/>
              </w:rPr>
            </w:pPr>
          </w:p>
          <w:p w14:paraId="37786025" w14:textId="77777777" w:rsidR="00244FB6" w:rsidRDefault="00244FB6" w:rsidP="00A61EEF">
            <w:pPr>
              <w:rPr>
                <w:sz w:val="20"/>
                <w:szCs w:val="20"/>
              </w:rPr>
            </w:pPr>
          </w:p>
          <w:p w14:paraId="200D43EF" w14:textId="77777777" w:rsidR="00244FB6" w:rsidRDefault="00244FB6" w:rsidP="00A61EEF">
            <w:pPr>
              <w:ind w:firstLine="0"/>
              <w:rPr>
                <w:sz w:val="20"/>
                <w:szCs w:val="20"/>
              </w:rPr>
            </w:pPr>
            <w:r>
              <w:rPr>
                <w:sz w:val="20"/>
                <w:szCs w:val="20"/>
              </w:rPr>
              <w:t>(1112) dices tu demanndes pour chemin ou parent que est aloigne de v</w:t>
            </w:r>
            <w:r w:rsidRPr="007C1AA9">
              <w:rPr>
                <w:sz w:val="20"/>
                <w:szCs w:val="20"/>
                <w:vertAlign w:val="superscript"/>
              </w:rPr>
              <w:t>9</w:t>
            </w:r>
            <w:r>
              <w:rPr>
                <w:sz w:val="20"/>
                <w:szCs w:val="20"/>
              </w:rPr>
              <w:t>(vous?) ou chose perdue et l’homme que est … ne retorna mie a meson e chose perdue sa bone auentirre li deschet.</w:t>
            </w:r>
          </w:p>
          <w:p w14:paraId="37F3EF28" w14:textId="77777777" w:rsidR="00244FB6" w:rsidRDefault="00244FB6" w:rsidP="00A61EEF">
            <w:pPr>
              <w:rPr>
                <w:sz w:val="20"/>
                <w:szCs w:val="20"/>
              </w:rPr>
            </w:pPr>
          </w:p>
          <w:p w14:paraId="242AA860" w14:textId="77777777" w:rsidR="00244FB6" w:rsidRDefault="00244FB6" w:rsidP="00A61EEF">
            <w:pPr>
              <w:rPr>
                <w:sz w:val="20"/>
                <w:szCs w:val="20"/>
              </w:rPr>
            </w:pPr>
          </w:p>
          <w:p w14:paraId="138A325C" w14:textId="77777777" w:rsidR="00244FB6" w:rsidRDefault="00244FB6" w:rsidP="00A61EEF">
            <w:pPr>
              <w:rPr>
                <w:sz w:val="20"/>
                <w:szCs w:val="20"/>
              </w:rPr>
            </w:pPr>
          </w:p>
          <w:p w14:paraId="37BAB1D7" w14:textId="77777777" w:rsidR="00244FB6" w:rsidRDefault="00244FB6" w:rsidP="00A61EEF">
            <w:pPr>
              <w:rPr>
                <w:sz w:val="20"/>
                <w:szCs w:val="20"/>
              </w:rPr>
            </w:pPr>
          </w:p>
          <w:p w14:paraId="10454459" w14:textId="77777777" w:rsidR="00244FB6" w:rsidRDefault="00244FB6" w:rsidP="00A61EEF">
            <w:pPr>
              <w:rPr>
                <w:sz w:val="20"/>
                <w:szCs w:val="20"/>
              </w:rPr>
            </w:pPr>
          </w:p>
          <w:p w14:paraId="4C5BC97F" w14:textId="77777777" w:rsidR="00244FB6" w:rsidRDefault="00244FB6" w:rsidP="00A61EEF">
            <w:pPr>
              <w:rPr>
                <w:sz w:val="20"/>
                <w:szCs w:val="20"/>
              </w:rPr>
            </w:pPr>
          </w:p>
          <w:p w14:paraId="784DEBB1" w14:textId="77777777" w:rsidR="00244FB6" w:rsidRDefault="00244FB6" w:rsidP="00A61EEF">
            <w:pPr>
              <w:rPr>
                <w:sz w:val="20"/>
                <w:szCs w:val="20"/>
              </w:rPr>
            </w:pPr>
          </w:p>
          <w:p w14:paraId="6057EE58" w14:textId="77777777" w:rsidR="00244FB6" w:rsidRDefault="00244FB6" w:rsidP="00A61EEF">
            <w:pPr>
              <w:rPr>
                <w:sz w:val="20"/>
                <w:szCs w:val="20"/>
              </w:rPr>
            </w:pPr>
          </w:p>
          <w:p w14:paraId="54D51F64" w14:textId="77777777" w:rsidR="00B704E5" w:rsidRDefault="00B704E5" w:rsidP="00A61EEF">
            <w:pPr>
              <w:rPr>
                <w:sz w:val="20"/>
                <w:szCs w:val="20"/>
              </w:rPr>
            </w:pPr>
          </w:p>
          <w:p w14:paraId="2C993C5C" w14:textId="77777777" w:rsidR="00B704E5" w:rsidRDefault="00B704E5" w:rsidP="00A61EEF">
            <w:pPr>
              <w:rPr>
                <w:sz w:val="20"/>
                <w:szCs w:val="20"/>
              </w:rPr>
            </w:pPr>
          </w:p>
          <w:p w14:paraId="5055FD3D" w14:textId="77777777" w:rsidR="00B704E5" w:rsidRDefault="00B704E5" w:rsidP="00A61EEF">
            <w:pPr>
              <w:rPr>
                <w:sz w:val="20"/>
                <w:szCs w:val="20"/>
              </w:rPr>
            </w:pPr>
          </w:p>
          <w:p w14:paraId="285F885A" w14:textId="77777777" w:rsidR="00244FB6" w:rsidRDefault="00244FB6" w:rsidP="00B704E5">
            <w:pPr>
              <w:ind w:firstLine="0"/>
              <w:rPr>
                <w:sz w:val="20"/>
                <w:szCs w:val="20"/>
              </w:rPr>
            </w:pPr>
          </w:p>
          <w:p w14:paraId="73FEAB20" w14:textId="77777777" w:rsidR="00244FB6" w:rsidRDefault="00244FB6" w:rsidP="00A61EEF">
            <w:pPr>
              <w:rPr>
                <w:sz w:val="20"/>
                <w:szCs w:val="20"/>
              </w:rPr>
            </w:pPr>
          </w:p>
          <w:p w14:paraId="0BF7E0F1" w14:textId="77777777" w:rsidR="00244FB6" w:rsidRDefault="00244FB6" w:rsidP="00A61EEF">
            <w:pPr>
              <w:ind w:firstLine="0"/>
              <w:rPr>
                <w:sz w:val="20"/>
                <w:szCs w:val="20"/>
              </w:rPr>
            </w:pPr>
            <w:r>
              <w:rPr>
                <w:sz w:val="20"/>
                <w:szCs w:val="20"/>
              </w:rPr>
              <w:t>(1122) Il demannde pou chem&lt;i&gt;n ou pour meuement de leu en autre est bon en tetes (toute?) choses. Si non, tu demanndes que est issu de toi muller( from mulier?), servant ou beste que retournera … celui(?) que est issu de vous(?) passera(?) ver e areuement li a uendra.</w:t>
            </w:r>
          </w:p>
          <w:p w14:paraId="3F7D29D5" w14:textId="77777777" w:rsidR="00244FB6" w:rsidRDefault="00244FB6" w:rsidP="00A61EEF">
            <w:pPr>
              <w:rPr>
                <w:sz w:val="20"/>
                <w:szCs w:val="20"/>
              </w:rPr>
            </w:pPr>
          </w:p>
          <w:p w14:paraId="3FBAB7A1" w14:textId="77777777" w:rsidR="00244FB6" w:rsidRDefault="00244FB6" w:rsidP="00A61EEF">
            <w:pPr>
              <w:rPr>
                <w:sz w:val="20"/>
                <w:szCs w:val="20"/>
              </w:rPr>
            </w:pPr>
          </w:p>
          <w:p w14:paraId="792380DD" w14:textId="77777777" w:rsidR="00244FB6" w:rsidRDefault="00244FB6" w:rsidP="00A61EEF">
            <w:pPr>
              <w:rPr>
                <w:sz w:val="20"/>
                <w:szCs w:val="20"/>
              </w:rPr>
            </w:pPr>
          </w:p>
          <w:p w14:paraId="62139545" w14:textId="77777777" w:rsidR="00244FB6" w:rsidRDefault="00244FB6" w:rsidP="00A61EEF">
            <w:pPr>
              <w:rPr>
                <w:sz w:val="20"/>
                <w:szCs w:val="20"/>
              </w:rPr>
            </w:pPr>
          </w:p>
          <w:p w14:paraId="245262FE" w14:textId="77777777" w:rsidR="00244FB6" w:rsidRDefault="00244FB6" w:rsidP="00A61EEF">
            <w:pPr>
              <w:rPr>
                <w:sz w:val="20"/>
                <w:szCs w:val="20"/>
              </w:rPr>
            </w:pPr>
          </w:p>
          <w:p w14:paraId="07AC6578" w14:textId="77777777" w:rsidR="00244FB6" w:rsidRDefault="00244FB6" w:rsidP="00A61EEF">
            <w:pPr>
              <w:rPr>
                <w:sz w:val="20"/>
                <w:szCs w:val="20"/>
              </w:rPr>
            </w:pPr>
          </w:p>
          <w:p w14:paraId="7BBD7319" w14:textId="77777777" w:rsidR="00244FB6" w:rsidRDefault="00244FB6" w:rsidP="00A61EEF">
            <w:pPr>
              <w:rPr>
                <w:sz w:val="20"/>
                <w:szCs w:val="20"/>
              </w:rPr>
            </w:pPr>
          </w:p>
          <w:p w14:paraId="2DF5835D" w14:textId="77777777" w:rsidR="00244FB6" w:rsidRDefault="00244FB6" w:rsidP="00A61EEF">
            <w:pPr>
              <w:rPr>
                <w:sz w:val="20"/>
                <w:szCs w:val="20"/>
              </w:rPr>
            </w:pPr>
          </w:p>
          <w:p w14:paraId="193CA320" w14:textId="77777777" w:rsidR="00B704E5" w:rsidRDefault="00B704E5" w:rsidP="00A61EEF">
            <w:pPr>
              <w:rPr>
                <w:sz w:val="20"/>
                <w:szCs w:val="20"/>
              </w:rPr>
            </w:pPr>
          </w:p>
          <w:p w14:paraId="3DCDF75F" w14:textId="77777777" w:rsidR="00B704E5" w:rsidRDefault="00B704E5" w:rsidP="00A61EEF">
            <w:pPr>
              <w:rPr>
                <w:sz w:val="20"/>
                <w:szCs w:val="20"/>
              </w:rPr>
            </w:pPr>
          </w:p>
          <w:p w14:paraId="59E528BE" w14:textId="77777777" w:rsidR="00B704E5" w:rsidRDefault="00B704E5" w:rsidP="00A61EEF">
            <w:pPr>
              <w:rPr>
                <w:sz w:val="20"/>
                <w:szCs w:val="20"/>
              </w:rPr>
            </w:pPr>
          </w:p>
          <w:p w14:paraId="39CDBF8F" w14:textId="77777777" w:rsidR="00B704E5" w:rsidRDefault="00B704E5" w:rsidP="00A61EEF">
            <w:pPr>
              <w:rPr>
                <w:sz w:val="20"/>
                <w:szCs w:val="20"/>
              </w:rPr>
            </w:pPr>
          </w:p>
          <w:p w14:paraId="53587FDA" w14:textId="77777777" w:rsidR="00B704E5" w:rsidRDefault="00B704E5" w:rsidP="00A61EEF">
            <w:pPr>
              <w:rPr>
                <w:sz w:val="20"/>
                <w:szCs w:val="20"/>
              </w:rPr>
            </w:pPr>
          </w:p>
          <w:p w14:paraId="3EBD553C" w14:textId="77777777" w:rsidR="00244FB6" w:rsidRDefault="00244FB6" w:rsidP="00A61EEF">
            <w:pPr>
              <w:rPr>
                <w:sz w:val="20"/>
                <w:szCs w:val="20"/>
              </w:rPr>
            </w:pPr>
          </w:p>
          <w:p w14:paraId="007BBF75" w14:textId="77777777" w:rsidR="00244FB6" w:rsidRDefault="00244FB6" w:rsidP="00A61EEF">
            <w:pPr>
              <w:rPr>
                <w:sz w:val="20"/>
                <w:szCs w:val="20"/>
              </w:rPr>
            </w:pPr>
          </w:p>
          <w:p w14:paraId="266CAB1F" w14:textId="77777777" w:rsidR="00244FB6" w:rsidRDefault="00244FB6" w:rsidP="00A61EEF">
            <w:pPr>
              <w:rPr>
                <w:sz w:val="20"/>
                <w:szCs w:val="20"/>
              </w:rPr>
            </w:pPr>
          </w:p>
          <w:p w14:paraId="31ED7FE8" w14:textId="77777777" w:rsidR="00244FB6" w:rsidRDefault="00244FB6" w:rsidP="00A61EEF">
            <w:pPr>
              <w:ind w:firstLine="0"/>
              <w:rPr>
                <w:sz w:val="20"/>
                <w:szCs w:val="20"/>
              </w:rPr>
            </w:pPr>
            <w:r>
              <w:rPr>
                <w:sz w:val="20"/>
                <w:szCs w:val="20"/>
              </w:rPr>
              <w:t>(1222) Il demannde pour pere que est departi de li pour oncle ou pour serf bon est de vendre en(?) chemin en prendre retournera caro(?) et sa femme aura fille.</w:t>
            </w:r>
          </w:p>
          <w:p w14:paraId="7F50BCBC" w14:textId="77777777" w:rsidR="00244FB6" w:rsidRDefault="00244FB6" w:rsidP="00A61EEF">
            <w:pPr>
              <w:rPr>
                <w:sz w:val="20"/>
                <w:szCs w:val="20"/>
              </w:rPr>
            </w:pPr>
          </w:p>
          <w:p w14:paraId="57656B7F" w14:textId="77777777" w:rsidR="00244FB6" w:rsidRDefault="00244FB6" w:rsidP="00A61EEF">
            <w:pPr>
              <w:rPr>
                <w:sz w:val="20"/>
                <w:szCs w:val="20"/>
              </w:rPr>
            </w:pPr>
          </w:p>
          <w:p w14:paraId="68D9DEA5" w14:textId="77777777" w:rsidR="00244FB6" w:rsidRDefault="00244FB6" w:rsidP="00A61EEF">
            <w:pPr>
              <w:rPr>
                <w:sz w:val="20"/>
                <w:szCs w:val="20"/>
              </w:rPr>
            </w:pPr>
          </w:p>
          <w:p w14:paraId="093F5548" w14:textId="77777777" w:rsidR="00244FB6" w:rsidRDefault="00244FB6" w:rsidP="00A61EEF">
            <w:pPr>
              <w:rPr>
                <w:sz w:val="20"/>
                <w:szCs w:val="20"/>
              </w:rPr>
            </w:pPr>
          </w:p>
          <w:p w14:paraId="5DB76FDD" w14:textId="77777777" w:rsidR="00244FB6" w:rsidRDefault="00244FB6" w:rsidP="00A61EEF">
            <w:pPr>
              <w:rPr>
                <w:sz w:val="20"/>
                <w:szCs w:val="20"/>
              </w:rPr>
            </w:pPr>
          </w:p>
          <w:p w14:paraId="614B60C7" w14:textId="77777777" w:rsidR="00244FB6" w:rsidRDefault="00244FB6" w:rsidP="00A61EEF">
            <w:pPr>
              <w:rPr>
                <w:sz w:val="20"/>
                <w:szCs w:val="20"/>
              </w:rPr>
            </w:pPr>
          </w:p>
          <w:p w14:paraId="23CC96EC" w14:textId="77777777" w:rsidR="00244FB6" w:rsidRDefault="00244FB6" w:rsidP="00A61EEF">
            <w:pPr>
              <w:rPr>
                <w:sz w:val="20"/>
                <w:szCs w:val="20"/>
              </w:rPr>
            </w:pPr>
          </w:p>
          <w:p w14:paraId="020F5473" w14:textId="77777777" w:rsidR="00B704E5" w:rsidRDefault="00B704E5" w:rsidP="00A61EEF">
            <w:pPr>
              <w:rPr>
                <w:sz w:val="20"/>
                <w:szCs w:val="20"/>
              </w:rPr>
            </w:pPr>
          </w:p>
          <w:p w14:paraId="03B0BCF2" w14:textId="77777777" w:rsidR="00B704E5" w:rsidRDefault="00B704E5" w:rsidP="00A61EEF">
            <w:pPr>
              <w:rPr>
                <w:sz w:val="20"/>
                <w:szCs w:val="20"/>
              </w:rPr>
            </w:pPr>
          </w:p>
          <w:p w14:paraId="627023E8" w14:textId="77777777" w:rsidR="00B704E5" w:rsidRDefault="00B704E5" w:rsidP="00A61EEF">
            <w:pPr>
              <w:rPr>
                <w:sz w:val="20"/>
                <w:szCs w:val="20"/>
              </w:rPr>
            </w:pPr>
          </w:p>
          <w:p w14:paraId="4182CC18" w14:textId="77777777" w:rsidR="00B704E5" w:rsidRDefault="00B704E5" w:rsidP="00A61EEF">
            <w:pPr>
              <w:rPr>
                <w:sz w:val="20"/>
                <w:szCs w:val="20"/>
              </w:rPr>
            </w:pPr>
          </w:p>
          <w:p w14:paraId="7AC6B366" w14:textId="77777777" w:rsidR="00244FB6" w:rsidRDefault="00244FB6" w:rsidP="00A61EEF">
            <w:pPr>
              <w:rPr>
                <w:sz w:val="20"/>
                <w:szCs w:val="20"/>
              </w:rPr>
            </w:pPr>
          </w:p>
          <w:p w14:paraId="33DD3DD3" w14:textId="77777777" w:rsidR="00244FB6" w:rsidRDefault="00244FB6" w:rsidP="00A61EEF">
            <w:pPr>
              <w:rPr>
                <w:sz w:val="20"/>
                <w:szCs w:val="20"/>
              </w:rPr>
            </w:pPr>
          </w:p>
          <w:p w14:paraId="4999A58A" w14:textId="77777777" w:rsidR="00244FB6" w:rsidRDefault="00244FB6" w:rsidP="00A61EEF">
            <w:pPr>
              <w:ind w:firstLine="0"/>
              <w:rPr>
                <w:sz w:val="20"/>
                <w:szCs w:val="20"/>
              </w:rPr>
            </w:pPr>
            <w:r>
              <w:rPr>
                <w:sz w:val="20"/>
                <w:szCs w:val="20"/>
              </w:rPr>
              <w:t>(2221) Il demannde pour ces freres ou pour ces parente(?) ou amis, en bon messager que uent o chartreon uendra tout ou Il demannde pour espousailles ou pour putele corrupue ou pour femme enceinte que avera fi3 (fille?) et homme que uendia a vous per uac..? passera grande flume, mal seruannt reperia co..? alostes chose perdue repeira tost(?) ne sort est bon pour receiver, mal pour doner.</w:t>
            </w:r>
          </w:p>
          <w:p w14:paraId="26706977" w14:textId="77777777" w:rsidR="00244FB6" w:rsidRDefault="00244FB6" w:rsidP="00A61EEF">
            <w:pPr>
              <w:rPr>
                <w:sz w:val="20"/>
                <w:szCs w:val="20"/>
              </w:rPr>
            </w:pPr>
          </w:p>
          <w:p w14:paraId="418AB4E6" w14:textId="77777777" w:rsidR="00244FB6" w:rsidRDefault="00244FB6" w:rsidP="00A61EEF">
            <w:pPr>
              <w:rPr>
                <w:sz w:val="20"/>
                <w:szCs w:val="20"/>
              </w:rPr>
            </w:pPr>
          </w:p>
          <w:p w14:paraId="014ABE04" w14:textId="77777777" w:rsidR="00244FB6" w:rsidRDefault="00244FB6" w:rsidP="00A61EEF">
            <w:pPr>
              <w:rPr>
                <w:sz w:val="20"/>
                <w:szCs w:val="20"/>
              </w:rPr>
            </w:pPr>
          </w:p>
          <w:p w14:paraId="0ED220BA" w14:textId="77777777" w:rsidR="00B704E5" w:rsidRDefault="00B704E5" w:rsidP="00A61EEF">
            <w:pPr>
              <w:rPr>
                <w:sz w:val="20"/>
                <w:szCs w:val="20"/>
              </w:rPr>
            </w:pPr>
          </w:p>
          <w:p w14:paraId="254A0D3D" w14:textId="77777777" w:rsidR="00B704E5" w:rsidRDefault="00B704E5" w:rsidP="00A61EEF">
            <w:pPr>
              <w:rPr>
                <w:sz w:val="20"/>
                <w:szCs w:val="20"/>
              </w:rPr>
            </w:pPr>
          </w:p>
          <w:p w14:paraId="57034024" w14:textId="77777777" w:rsidR="00B704E5" w:rsidRDefault="00B704E5" w:rsidP="00A61EEF">
            <w:pPr>
              <w:rPr>
                <w:sz w:val="20"/>
                <w:szCs w:val="20"/>
              </w:rPr>
            </w:pPr>
          </w:p>
          <w:p w14:paraId="22161DE7" w14:textId="77777777" w:rsidR="00B704E5" w:rsidRDefault="00B704E5" w:rsidP="00A61EEF">
            <w:pPr>
              <w:rPr>
                <w:sz w:val="20"/>
                <w:szCs w:val="20"/>
              </w:rPr>
            </w:pPr>
          </w:p>
          <w:p w14:paraId="2B68467E" w14:textId="77777777" w:rsidR="00244FB6" w:rsidRDefault="00244FB6" w:rsidP="00A61EEF">
            <w:pPr>
              <w:ind w:firstLine="0"/>
              <w:rPr>
                <w:sz w:val="20"/>
                <w:szCs w:val="20"/>
              </w:rPr>
            </w:pPr>
            <w:r>
              <w:rPr>
                <w:sz w:val="20"/>
                <w:szCs w:val="20"/>
              </w:rPr>
              <w:t xml:space="preserve">(2222) Celi que demannde es aser(?) seur mer e cisso(?) chemin aura plu&lt;v&gt;es ue? aura saluament. En des choses uous demanndet pour homme que est issu de ter(?) pour femme enceinte si ele enfannteras ad sanite et pour parte(?) de uest… E pour aler enhoste(?) de quell uous reperret o sannte(?) e pour retorner en pays. E pour demonstrement de mesons de auer. E sur le ferm(?) que aad pon..er de mort. Scest (cette?) sort est bon en to&lt;u&gt;tes choses pour esposailles farre. E (?) homme que est issu hors uendra asamte(?) enferm garras bien hanendrer(?)   </w:t>
            </w:r>
          </w:p>
          <w:p w14:paraId="5A651B9A" w14:textId="77777777" w:rsidR="00244FB6" w:rsidRDefault="00244FB6" w:rsidP="00A61EEF">
            <w:pPr>
              <w:rPr>
                <w:sz w:val="20"/>
                <w:szCs w:val="20"/>
              </w:rPr>
            </w:pPr>
          </w:p>
          <w:p w14:paraId="73E0C164" w14:textId="77777777" w:rsidR="00244FB6" w:rsidRDefault="00244FB6" w:rsidP="00A61EEF">
            <w:pPr>
              <w:rPr>
                <w:sz w:val="20"/>
                <w:szCs w:val="20"/>
              </w:rPr>
            </w:pPr>
          </w:p>
          <w:p w14:paraId="2A1E4C84" w14:textId="77777777" w:rsidR="00B704E5" w:rsidRDefault="00B704E5" w:rsidP="00A61EEF">
            <w:pPr>
              <w:rPr>
                <w:sz w:val="20"/>
                <w:szCs w:val="20"/>
              </w:rPr>
            </w:pPr>
          </w:p>
          <w:p w14:paraId="6CC9A05A" w14:textId="77777777" w:rsidR="00B704E5" w:rsidRDefault="00B704E5" w:rsidP="00A61EEF">
            <w:pPr>
              <w:rPr>
                <w:sz w:val="20"/>
                <w:szCs w:val="20"/>
              </w:rPr>
            </w:pPr>
          </w:p>
          <w:p w14:paraId="084BADCE" w14:textId="77777777" w:rsidR="00B704E5" w:rsidRDefault="00B704E5" w:rsidP="00A61EEF">
            <w:pPr>
              <w:rPr>
                <w:sz w:val="20"/>
                <w:szCs w:val="20"/>
              </w:rPr>
            </w:pPr>
          </w:p>
          <w:p w14:paraId="666391BE" w14:textId="77777777" w:rsidR="00B704E5" w:rsidRDefault="00B704E5" w:rsidP="00A61EEF">
            <w:pPr>
              <w:rPr>
                <w:sz w:val="20"/>
                <w:szCs w:val="20"/>
              </w:rPr>
            </w:pPr>
          </w:p>
          <w:p w14:paraId="106804C7" w14:textId="77777777" w:rsidR="00244FB6" w:rsidRDefault="00244FB6" w:rsidP="00A61EEF">
            <w:pPr>
              <w:rPr>
                <w:sz w:val="20"/>
                <w:szCs w:val="20"/>
              </w:rPr>
            </w:pPr>
          </w:p>
          <w:p w14:paraId="018C0C0E" w14:textId="77777777" w:rsidR="00244FB6" w:rsidRDefault="00244FB6" w:rsidP="00A61EEF">
            <w:pPr>
              <w:rPr>
                <w:sz w:val="20"/>
                <w:szCs w:val="20"/>
              </w:rPr>
            </w:pPr>
          </w:p>
          <w:p w14:paraId="74B72CAE" w14:textId="77777777" w:rsidR="00244FB6" w:rsidRPr="004D7265" w:rsidRDefault="00244FB6" w:rsidP="00A61EEF">
            <w:pPr>
              <w:ind w:firstLine="0"/>
              <w:rPr>
                <w:sz w:val="20"/>
                <w:szCs w:val="20"/>
              </w:rPr>
            </w:pPr>
            <w:r>
              <w:rPr>
                <w:sz w:val="20"/>
                <w:szCs w:val="20"/>
              </w:rPr>
              <w:t xml:space="preserve">(2211) … demande pour russe bestes que a demannde aver quell achacat e [ text is illegible] </w:t>
            </w:r>
          </w:p>
        </w:tc>
      </w:tr>
    </w:tbl>
    <w:p w14:paraId="77268189" w14:textId="77777777" w:rsidR="00244FB6" w:rsidRDefault="00244FB6" w:rsidP="00244FB6">
      <w:pPr>
        <w:ind w:firstLine="0"/>
        <w:rPr>
          <w:sz w:val="20"/>
          <w:szCs w:val="20"/>
        </w:rPr>
      </w:pPr>
    </w:p>
    <w:p w14:paraId="1B444D86" w14:textId="454AA9D6" w:rsidR="00244FB6" w:rsidRPr="006E07BF" w:rsidRDefault="00244FB6" w:rsidP="006E07BF">
      <w:pPr>
        <w:pStyle w:val="Heading2"/>
        <w:ind w:firstLine="0"/>
        <w:rPr>
          <w:rFonts w:asciiTheme="majorBidi" w:hAnsiTheme="majorBidi"/>
          <w:color w:val="auto"/>
          <w:sz w:val="20"/>
          <w:szCs w:val="20"/>
        </w:rPr>
      </w:pPr>
      <w:bookmarkStart w:id="56" w:name="_Toc165108644"/>
      <w:r w:rsidRPr="006E07BF">
        <w:rPr>
          <w:rFonts w:asciiTheme="majorBidi" w:hAnsiTheme="majorBidi"/>
          <w:color w:val="auto"/>
          <w:sz w:val="20"/>
          <w:szCs w:val="20"/>
        </w:rPr>
        <w:t>II.</w:t>
      </w:r>
      <w:r w:rsidR="00C21CF2">
        <w:rPr>
          <w:rFonts w:asciiTheme="majorBidi" w:hAnsiTheme="majorBidi"/>
          <w:color w:val="auto"/>
          <w:sz w:val="20"/>
          <w:szCs w:val="20"/>
        </w:rPr>
        <w:t>2</w:t>
      </w:r>
      <w:r w:rsidRPr="006E07BF">
        <w:rPr>
          <w:rFonts w:asciiTheme="majorBidi" w:hAnsiTheme="majorBidi"/>
          <w:color w:val="auto"/>
          <w:sz w:val="20"/>
          <w:szCs w:val="20"/>
        </w:rPr>
        <w:t xml:space="preserve"> SUMMARY OF CONTENTS</w:t>
      </w:r>
      <w:bookmarkEnd w:id="56"/>
    </w:p>
    <w:p w14:paraId="265EBEC2" w14:textId="77777777" w:rsidR="00244FB6" w:rsidRPr="00776180" w:rsidRDefault="00244FB6" w:rsidP="00244FB6">
      <w:pPr>
        <w:ind w:firstLine="0"/>
        <w:rPr>
          <w:sz w:val="20"/>
          <w:szCs w:val="20"/>
        </w:rPr>
      </w:pPr>
    </w:p>
    <w:p w14:paraId="1BC8F158" w14:textId="77777777" w:rsidR="00244FB6" w:rsidRDefault="00244FB6" w:rsidP="00244FB6">
      <w:pPr>
        <w:rPr>
          <w:i/>
          <w:iCs/>
        </w:rPr>
      </w:pPr>
      <w:r>
        <w:t xml:space="preserve">As already mentioned in this chapter, the </w:t>
      </w:r>
      <w:r w:rsidRPr="00FA3CE6">
        <w:rPr>
          <w:i/>
          <w:iCs/>
        </w:rPr>
        <w:t>Liber arenalis scientiae</w:t>
      </w:r>
      <w:r>
        <w:t xml:space="preserve"> in the version of MS. </w:t>
      </w:r>
      <w:r w:rsidRPr="002B2B82">
        <w:t>Cambridge, Magdalen Coll., F.4.27</w:t>
      </w:r>
      <w:r>
        <w:t xml:space="preserve"> consists of a collection of geomantic material gathered from different sources focussing on a specific aspect of the geomantic technique. This is known as ‘the discovery of the intentions of the inquirer’, and while this is a subject discussed in many geomantic treatises, to my knowledge the </w:t>
      </w:r>
      <w:r w:rsidRPr="00697D35">
        <w:rPr>
          <w:i/>
          <w:iCs/>
        </w:rPr>
        <w:t>Liber arenalis scientiae</w:t>
      </w:r>
      <w:r>
        <w:t xml:space="preserve"> is the only geomantic anthology specifically dedicated to discussing this topic. The transcription </w:t>
      </w:r>
      <w:r>
        <w:lastRenderedPageBreak/>
        <w:t xml:space="preserve">and translation into Modern English of the text can be found in Appendix 3 of this thesis. Due to the obscurity of the text, the final section of this chapter will present a contextualised summary and explanation of the content of the </w:t>
      </w:r>
      <w:r w:rsidRPr="00FA3CE6">
        <w:rPr>
          <w:i/>
          <w:iCs/>
        </w:rPr>
        <w:t>Liber arenalis scientiae</w:t>
      </w:r>
      <w:r>
        <w:rPr>
          <w:i/>
          <w:iCs/>
        </w:rPr>
        <w:t>.</w:t>
      </w:r>
    </w:p>
    <w:p w14:paraId="06DF80C8" w14:textId="77777777" w:rsidR="00244FB6" w:rsidRPr="00004EE7" w:rsidRDefault="00244FB6" w:rsidP="00244FB6"/>
    <w:p w14:paraId="0E69C5CA" w14:textId="52481F56" w:rsidR="000C38D1" w:rsidRDefault="00244FB6" w:rsidP="00E236D7">
      <w:pPr>
        <w:pStyle w:val="Heading3"/>
        <w:ind w:firstLine="0"/>
        <w:rPr>
          <w:rFonts w:asciiTheme="majorBidi" w:hAnsiTheme="majorBidi"/>
          <w:b/>
          <w:bCs/>
          <w:color w:val="auto"/>
        </w:rPr>
      </w:pPr>
      <w:bookmarkStart w:id="57" w:name="_Toc165108645"/>
      <w:r w:rsidRPr="006E07BF">
        <w:rPr>
          <w:rFonts w:asciiTheme="majorBidi" w:hAnsiTheme="majorBidi"/>
          <w:b/>
          <w:bCs/>
          <w:color w:val="auto"/>
        </w:rPr>
        <w:t>Incipit and first part</w:t>
      </w:r>
      <w:bookmarkEnd w:id="57"/>
    </w:p>
    <w:p w14:paraId="4026155C" w14:textId="77777777" w:rsidR="00E236D7" w:rsidRPr="00E236D7" w:rsidRDefault="00E236D7" w:rsidP="00E236D7"/>
    <w:p w14:paraId="5D55CA07" w14:textId="339A6344" w:rsidR="00244FB6" w:rsidRDefault="00244FB6" w:rsidP="00004E12">
      <w:r w:rsidRPr="005905B9">
        <w:t xml:space="preserve">The text of </w:t>
      </w:r>
      <w:r w:rsidRPr="0061125E">
        <w:t>the</w:t>
      </w:r>
      <w:r w:rsidRPr="005905B9">
        <w:rPr>
          <w:i/>
          <w:iCs/>
        </w:rPr>
        <w:t xml:space="preserve"> Liber arenalis scientiae </w:t>
      </w:r>
      <w:r w:rsidRPr="005905B9">
        <w:t>begins by indicating the names of the author and translator of the text, respectively Alpharinus Abizarch (although this name takes various forms in the different m</w:t>
      </w:r>
      <w:r>
        <w:t>anuscripts</w:t>
      </w:r>
      <w:r w:rsidRPr="005905B9">
        <w:t>) and Plato of Tivoli. The text is said to have been translated from Arabic</w:t>
      </w:r>
      <w:r w:rsidR="00004E12">
        <w:t xml:space="preserve">. </w:t>
      </w:r>
      <w:r w:rsidRPr="00402A31">
        <w:t>The identity of Alpharinus Abizarch, indicated as the author of this treatise, remains unknown.</w:t>
      </w:r>
      <w:r w:rsidR="00004E12">
        <w:t xml:space="preserve"> </w:t>
      </w:r>
      <w:r w:rsidRPr="005905B9">
        <w:t xml:space="preserve">After informing </w:t>
      </w:r>
      <w:r>
        <w:t xml:space="preserve">the reader </w:t>
      </w:r>
      <w:r w:rsidRPr="005905B9">
        <w:t xml:space="preserve">of the attribution of the text, the </w:t>
      </w:r>
      <w:r w:rsidRPr="005905B9">
        <w:rPr>
          <w:i/>
          <w:iCs/>
        </w:rPr>
        <w:t>Liber arenalis scientiae</w:t>
      </w:r>
      <w:r w:rsidRPr="005905B9">
        <w:t xml:space="preserve"> continues by briefly explaining how the art of geomancy was transmitted</w:t>
      </w:r>
      <w:r w:rsidRPr="00402A31">
        <w:t>.</w:t>
      </w:r>
      <w:r w:rsidRPr="005905B9">
        <w:t xml:space="preserve"> This passage, which is only a paragraph long, is not completely clear. Geomancy is said by the ancients to have been transmitted by God, to one of the prophets. The second sentence about the origins of geomancy is more obscure. It seems to refer to the son of this prophet, called Calidcinem</w:t>
      </w:r>
      <w:r w:rsidRPr="00402A31">
        <w:rPr>
          <w:rStyle w:val="FootnoteReference"/>
        </w:rPr>
        <w:footnoteReference w:id="185"/>
      </w:r>
      <w:r w:rsidRPr="005905B9">
        <w:t xml:space="preserve"> who </w:t>
      </w:r>
      <w:r w:rsidR="009774B9">
        <w:t>was</w:t>
      </w:r>
      <w:r w:rsidRPr="005905B9">
        <w:t xml:space="preserve"> sent by God to the barbarians (or Berbers, or al-Barbarī)</w:t>
      </w:r>
      <w:r w:rsidRPr="005905B9">
        <w:rPr>
          <w:rStyle w:val="FootnoteReference"/>
        </w:rPr>
        <w:t xml:space="preserve"> </w:t>
      </w:r>
      <w:r w:rsidRPr="00402A31">
        <w:rPr>
          <w:rStyle w:val="FootnoteReference"/>
        </w:rPr>
        <w:footnoteReference w:id="186"/>
      </w:r>
      <w:r w:rsidRPr="005905B9">
        <w:t xml:space="preserve"> so that they may not deviate from this prophecy (the science of geomancy). </w:t>
      </w:r>
      <w:r>
        <w:t>After this short elucidation of the legendary origins of geomancy,</w:t>
      </w:r>
      <w:r w:rsidRPr="005905B9">
        <w:t xml:space="preserve"> the text begins introducing the procedure of the geomantic practice, referring to the sixteen lines of </w:t>
      </w:r>
      <w:r w:rsidR="002F2BE4">
        <w:t>points</w:t>
      </w:r>
      <w:r w:rsidRPr="005905B9">
        <w:t xml:space="preserve"> that the geomancer must draw to start the geomantic prediction. These sixteen lines are then grouped in fours, and </w:t>
      </w:r>
      <w:r w:rsidRPr="005905B9">
        <w:lastRenderedPageBreak/>
        <w:t xml:space="preserve">from this procedure one can form the sixteen geomantic figures, </w:t>
      </w:r>
      <w:r>
        <w:t>that</w:t>
      </w:r>
      <w:r w:rsidRPr="005905B9">
        <w:t xml:space="preserve"> in this section of the</w:t>
      </w:r>
      <w:r>
        <w:t xml:space="preserve"> text are referred to as </w:t>
      </w:r>
      <w:r w:rsidRPr="005905B9">
        <w:t>‘partes’</w:t>
      </w:r>
      <w:r>
        <w:t xml:space="preserve"> (parts)</w:t>
      </w:r>
      <w:r w:rsidRPr="005905B9">
        <w:t xml:space="preserve">. Apart from the indication that the geomancer starts </w:t>
      </w:r>
      <w:r>
        <w:t xml:space="preserve">the practice </w:t>
      </w:r>
      <w:r w:rsidRPr="005905B9">
        <w:t>by drawing the lines, the text does not offer any explanation on how to form the figures</w:t>
      </w:r>
      <w:r>
        <w:t xml:space="preserve"> and position them in the chart</w:t>
      </w:r>
      <w:r w:rsidRPr="005905B9">
        <w:t xml:space="preserve">. Moreover, the explanation of the geomantic method provided in the </w:t>
      </w:r>
      <w:r w:rsidRPr="005905B9">
        <w:rPr>
          <w:i/>
          <w:iCs/>
        </w:rPr>
        <w:t>Liber arenalis scientiae</w:t>
      </w:r>
      <w:r w:rsidRPr="005905B9">
        <w:t xml:space="preserve"> lacks the information concerning the material support used to draw these lines of </w:t>
      </w:r>
      <w:r w:rsidR="002F2BE4">
        <w:t>points</w:t>
      </w:r>
      <w:r w:rsidRPr="005905B9">
        <w:t>, which is usually found in the introductions of geomantic texts</w:t>
      </w:r>
      <w:r>
        <w:t>.</w:t>
      </w:r>
      <w:r w:rsidRPr="00C765F2">
        <w:t xml:space="preserve">The absence of any of these instructions suggests that the text </w:t>
      </w:r>
      <w:r>
        <w:t>is directed to an audience</w:t>
      </w:r>
      <w:r w:rsidRPr="00C765F2">
        <w:t xml:space="preserve"> already </w:t>
      </w:r>
      <w:r>
        <w:t>familiar with the rules and processes of the geomantic technique</w:t>
      </w:r>
      <w:r w:rsidRPr="00C765F2">
        <w:t>. In fact, although Plato’s treatise is</w:t>
      </w:r>
      <w:r>
        <w:t xml:space="preserve"> titled</w:t>
      </w:r>
      <w:r w:rsidRPr="00C765F2">
        <w:t xml:space="preserve"> ‘The Book on the Science of the Sand’, sand is never actually mentioned in the text</w:t>
      </w:r>
      <w:r>
        <w:t>.</w:t>
      </w:r>
      <w:r>
        <w:rPr>
          <w:rStyle w:val="FootnoteReference"/>
        </w:rPr>
        <w:footnoteReference w:id="187"/>
      </w:r>
      <w:r w:rsidRPr="00C765F2">
        <w:t xml:space="preserve"> </w:t>
      </w:r>
      <w:r w:rsidR="00C066DC">
        <w:t xml:space="preserve">This would have not been an obstacle for the reader of the </w:t>
      </w:r>
      <w:r w:rsidR="00C066DC" w:rsidRPr="00C066DC">
        <w:rPr>
          <w:i/>
          <w:iCs/>
        </w:rPr>
        <w:t>Liber arenalis scientiae</w:t>
      </w:r>
      <w:r w:rsidR="00C066DC">
        <w:t>, which in the Cambridge codex is preceded and followed by other geomantic treatise that explain facets of the practice omitted in Plato’s text.</w:t>
      </w:r>
    </w:p>
    <w:p w14:paraId="3F346036" w14:textId="54AD974A" w:rsidR="00244FB6" w:rsidRDefault="00244FB6" w:rsidP="00244FB6">
      <w:r w:rsidRPr="00D03D09">
        <w:t xml:space="preserve">Following this paragraph, the rest of the first section of Plato’s geomancy contains a list of the sixteen geomantic figures and their characteristics. </w:t>
      </w:r>
      <w:r>
        <w:t>As previously explained,</w:t>
      </w:r>
      <w:r w:rsidRPr="00D03D09">
        <w:t xml:space="preserve"> </w:t>
      </w:r>
      <w:r>
        <w:t xml:space="preserve">what </w:t>
      </w:r>
      <w:r w:rsidRPr="00D03D09">
        <w:t xml:space="preserve">is peculiar to this list is that it does not use the Latin names given to the figures. It uses a transliterated version of what seem to be, from the prefix ‘-al’, the Arabic names of the figures, </w:t>
      </w:r>
      <w:r>
        <w:t>though</w:t>
      </w:r>
      <w:r w:rsidRPr="00D03D09">
        <w:t xml:space="preserve"> this list differs radically with the list of Arabic names of the geomantic figures catalogued by Charmasson, Savage-Smith and Skinner,</w:t>
      </w:r>
      <w:r w:rsidRPr="00402A31">
        <w:rPr>
          <w:rStyle w:val="FootnoteReference"/>
        </w:rPr>
        <w:footnoteReference w:id="188"/>
      </w:r>
      <w:r w:rsidRPr="00D03D09">
        <w:t xml:space="preserve"> nor</w:t>
      </w:r>
      <w:r>
        <w:t xml:space="preserve"> </w:t>
      </w:r>
      <w:r w:rsidR="005D6C8C">
        <w:t>does it correspond</w:t>
      </w:r>
      <w:r>
        <w:t xml:space="preserve"> to</w:t>
      </w:r>
      <w:r w:rsidRPr="00D03D09">
        <w:t xml:space="preserve"> the transliterated names of the lunar mansions that are sometimes juxtaposed to the geomantic figures.</w:t>
      </w:r>
      <w:r w:rsidRPr="00402A31">
        <w:rPr>
          <w:rStyle w:val="FootnoteReference"/>
        </w:rPr>
        <w:footnoteReference w:id="189"/>
      </w:r>
      <w:r w:rsidRPr="00D03D09">
        <w:t xml:space="preserve"> The name of the first figure, in Latin </w:t>
      </w:r>
      <w:r w:rsidRPr="000E32EE">
        <w:rPr>
          <w:i/>
          <w:iCs/>
        </w:rPr>
        <w:t>via</w:t>
      </w:r>
      <w:r>
        <w:t xml:space="preserve"> (way, path)</w:t>
      </w:r>
      <w:r w:rsidRPr="00D03D09">
        <w:t>, is omitted in the text. In the description of each of the figures is also included a</w:t>
      </w:r>
      <w:r>
        <w:t xml:space="preserve">n explanation </w:t>
      </w:r>
      <w:r w:rsidRPr="00D03D09">
        <w:t xml:space="preserve">of the </w:t>
      </w:r>
      <w:r>
        <w:t>meaning</w:t>
      </w:r>
      <w:r w:rsidRPr="00D03D09">
        <w:t xml:space="preserve"> </w:t>
      </w:r>
      <w:r w:rsidRPr="00D03D09">
        <w:lastRenderedPageBreak/>
        <w:t>of the</w:t>
      </w:r>
      <w:r>
        <w:t>ir names</w:t>
      </w:r>
      <w:r w:rsidRPr="00D03D09">
        <w:t xml:space="preserve">, e.g.: </w:t>
      </w:r>
      <w:r>
        <w:t>“</w:t>
      </w:r>
      <w:r w:rsidRPr="00D03D09">
        <w:t>But the third part, that they called Sultan, which means King […]</w:t>
      </w:r>
      <w:r w:rsidR="00957D27">
        <w:t>,</w:t>
      </w:r>
      <w:r>
        <w:t>”</w:t>
      </w:r>
      <w:r w:rsidR="00957D27">
        <w:rPr>
          <w:rStyle w:val="FootnoteReference"/>
        </w:rPr>
        <w:footnoteReference w:id="190"/>
      </w:r>
      <w:r w:rsidRPr="00D03D09">
        <w:t xml:space="preserve">  but in most cases the relation between the </w:t>
      </w:r>
      <w:r>
        <w:t>meaning</w:t>
      </w:r>
      <w:r w:rsidRPr="00D03D09">
        <w:t xml:space="preserve"> and the presumed Arabic </w:t>
      </w:r>
      <w:r>
        <w:t>name</w:t>
      </w:r>
      <w:r w:rsidRPr="00D03D09">
        <w:t xml:space="preserve"> is not at all clear. Not only that, but the meanings of the figures in th</w:t>
      </w:r>
      <w:r>
        <w:t xml:space="preserve">is section </w:t>
      </w:r>
      <w:r w:rsidR="00B7106C">
        <w:t xml:space="preserve">do not </w:t>
      </w:r>
      <w:r w:rsidRPr="00D03D09">
        <w:t>correspond to th</w:t>
      </w:r>
      <w:r w:rsidR="00B7106C">
        <w:t>ose of the</w:t>
      </w:r>
      <w:r w:rsidRPr="00D03D09">
        <w:t xml:space="preserve"> Latin </w:t>
      </w:r>
      <w:r w:rsidR="00B7106C">
        <w:t>names used in other parts of the text</w:t>
      </w:r>
      <w:r w:rsidRPr="00D03D09">
        <w:t xml:space="preserve"> (see Table </w:t>
      </w:r>
      <w:r>
        <w:t>2)</w:t>
      </w:r>
      <w:r w:rsidRPr="00D03D09">
        <w:t xml:space="preserve">. It is evident from the table that it is impossible to find a consistent correspondence either with the Arabic names of the geomantic figures and the Berber ones, but only occasional similarities, such as that of terrazel, alagen and tanzil with the Berber name of the figure, and algemaha with the Arabic name. Moreover, besides the standard sixteen geomantic figures, this first chapter lists two additional figures, of which a visual representation is not given. These are called </w:t>
      </w:r>
      <w:r w:rsidRPr="00162A61">
        <w:rPr>
          <w:i/>
          <w:iCs/>
        </w:rPr>
        <w:t>raphegas</w:t>
      </w:r>
      <w:r w:rsidRPr="00D03D09">
        <w:t xml:space="preserve"> and </w:t>
      </w:r>
      <w:r w:rsidRPr="00162A61">
        <w:rPr>
          <w:i/>
          <w:iCs/>
        </w:rPr>
        <w:t>alchalhe</w:t>
      </w:r>
      <w:r w:rsidRPr="00D03D09">
        <w:t>.</w:t>
      </w:r>
      <w:r>
        <w:t xml:space="preserve"> The presence of eighteen figures instead of the standard sixteen is a manifest deviation from the geomantic traditions developed both in the Eastern and Western worlds, and is a recurrent feature in the </w:t>
      </w:r>
      <w:r w:rsidRPr="00480A43">
        <w:rPr>
          <w:i/>
          <w:iCs/>
        </w:rPr>
        <w:t>Liber arenalis scientiae</w:t>
      </w:r>
      <w:r w:rsidR="00597C5D">
        <w:t>.</w:t>
      </w:r>
      <w:r>
        <w:t xml:space="preserve"> </w:t>
      </w:r>
      <w:r w:rsidR="00597C5D">
        <w:t>A</w:t>
      </w:r>
      <w:r>
        <w:t xml:space="preserve">n eighteenth figure is also mentioned in the chapter on the intention of the querent in the manuscript Ashmole 1478, see the text displayed in Table 3. </w:t>
      </w:r>
    </w:p>
    <w:p w14:paraId="575BC026" w14:textId="1032C3F2" w:rsidR="00244FB6" w:rsidRDefault="00E91A98" w:rsidP="00244FB6">
      <w:r>
        <w:t>This first</w:t>
      </w:r>
      <w:r w:rsidR="00244FB6">
        <w:t xml:space="preserve"> part of the </w:t>
      </w:r>
      <w:r w:rsidR="00244FB6" w:rsidRPr="00D662CF">
        <w:rPr>
          <w:i/>
          <w:iCs/>
        </w:rPr>
        <w:t>Liber arenalis scientiae</w:t>
      </w:r>
      <w:r>
        <w:t xml:space="preserve"> – preserved in the three manuscripts </w:t>
      </w:r>
      <w:r w:rsidRPr="002931EB">
        <w:t>Cambridge, Magdalene Coll., F.4.27</w:t>
      </w:r>
      <w:r>
        <w:t xml:space="preserve">, </w:t>
      </w:r>
      <w:r w:rsidRPr="002931EB">
        <w:t>Oxford, Bodleian Library, Rawlinson D.1227</w:t>
      </w:r>
      <w:r>
        <w:t xml:space="preserve">, and </w:t>
      </w:r>
      <w:r w:rsidRPr="002931EB">
        <w:t>Augsburg, Staats- und Stadtbibl., 2° Cod. 211</w:t>
      </w:r>
      <w:r>
        <w:t xml:space="preserve"> –</w:t>
      </w:r>
      <w:r w:rsidR="00157E04">
        <w:t xml:space="preserve"> </w:t>
      </w:r>
      <w:r w:rsidR="000C407B">
        <w:t xml:space="preserve">more than other portions of text presents a number of features that suggests it </w:t>
      </w:r>
      <w:r w:rsidR="00157E04">
        <w:t>to be an o</w:t>
      </w:r>
      <w:r w:rsidR="00244FB6">
        <w:t>riginal translation from Arabic, perhaps by Plato of Tivoli. T</w:t>
      </w:r>
      <w:r w:rsidR="00244FB6" w:rsidRPr="00900660">
        <w:t>he heterogeneity evident in th</w:t>
      </w:r>
      <w:r w:rsidR="00244FB6">
        <w:t>is first part of</w:t>
      </w:r>
      <w:r w:rsidR="00244FB6" w:rsidRPr="00900660">
        <w:t xml:space="preserve"> text</w:t>
      </w:r>
      <w:r w:rsidR="00244FB6">
        <w:t>,</w:t>
      </w:r>
      <w:r w:rsidR="00244FB6" w:rsidRPr="00900660">
        <w:t xml:space="preserve"> concerning the descriptions and names of the figures</w:t>
      </w:r>
      <w:r w:rsidR="00244FB6">
        <w:t>,</w:t>
      </w:r>
      <w:r w:rsidR="00244FB6" w:rsidRPr="00900660">
        <w:t xml:space="preserve"> could indicate that this </w:t>
      </w:r>
      <w:r w:rsidR="00244FB6">
        <w:t>portion of writing</w:t>
      </w:r>
      <w:r w:rsidR="00244FB6" w:rsidRPr="00900660">
        <w:t xml:space="preserve"> indeed </w:t>
      </w:r>
      <w:r w:rsidR="00244FB6">
        <w:t>dates</w:t>
      </w:r>
      <w:r w:rsidR="00244FB6" w:rsidRPr="00900660">
        <w:t xml:space="preserve"> from the early twelfth century, representing an initial phase of Latin geomantic </w:t>
      </w:r>
      <w:r w:rsidR="00244FB6">
        <w:t>production</w:t>
      </w:r>
      <w:r w:rsidR="00244FB6" w:rsidRPr="00900660">
        <w:t xml:space="preserve"> when a </w:t>
      </w:r>
      <w:r w:rsidR="00244FB6">
        <w:t xml:space="preserve">coherent tradition had not yet been formed. Contrarily, the rest of the material composing the </w:t>
      </w:r>
      <w:r w:rsidR="00244FB6" w:rsidRPr="007C71DF">
        <w:rPr>
          <w:i/>
          <w:iCs/>
        </w:rPr>
        <w:t>Liber arenalis scientiae</w:t>
      </w:r>
      <w:r w:rsidR="00244FB6">
        <w:t xml:space="preserve"> does not belong to this first </w:t>
      </w:r>
      <w:r w:rsidR="007C71DF">
        <w:t>phase of geomancy</w:t>
      </w:r>
      <w:r w:rsidR="00244FB6">
        <w:t xml:space="preserve">, but has been put together from other sources by the compiler, sometimes re-elaborating it to make it fit with the topic </w:t>
      </w:r>
      <w:r w:rsidR="00244FB6">
        <w:lastRenderedPageBreak/>
        <w:t>of this geomantic anthology: the discovery of the querent’s intentions. A</w:t>
      </w:r>
      <w:r w:rsidR="00244FB6" w:rsidRPr="00EA5811">
        <w:t xml:space="preserve">fter </w:t>
      </w:r>
      <w:r w:rsidR="00244FB6">
        <w:t>described</w:t>
      </w:r>
      <w:r w:rsidR="00244FB6" w:rsidRPr="00EA5811">
        <w:t xml:space="preserve"> the sixteen </w:t>
      </w:r>
      <w:r w:rsidR="00244FB6">
        <w:t xml:space="preserve">– or rather eighteen – geomantic </w:t>
      </w:r>
      <w:r w:rsidR="00244FB6" w:rsidRPr="00EA5811">
        <w:t xml:space="preserve">figures, </w:t>
      </w:r>
      <w:r w:rsidR="00244FB6">
        <w:t xml:space="preserve">the </w:t>
      </w:r>
      <w:r w:rsidR="00244FB6" w:rsidRPr="00EA5811">
        <w:rPr>
          <w:i/>
          <w:iCs/>
        </w:rPr>
        <w:t>Liber arenalis scientiae</w:t>
      </w:r>
      <w:r w:rsidR="00244FB6">
        <w:t xml:space="preserve"> proceeds</w:t>
      </w:r>
      <w:r w:rsidR="00244FB6" w:rsidRPr="00EA5811">
        <w:t xml:space="preserve"> to the explanation of some rules on how to proceed in the formation of the geomantic </w:t>
      </w:r>
      <w:r w:rsidR="00244FB6">
        <w:t>chart</w:t>
      </w:r>
      <w:r w:rsidR="00244FB6" w:rsidRPr="00EA5811">
        <w:t xml:space="preserve">. This </w:t>
      </w:r>
      <w:r w:rsidR="00244FB6">
        <w:t>discussion</w:t>
      </w:r>
      <w:r w:rsidR="00244FB6" w:rsidRPr="00EA5811">
        <w:t xml:space="preserve"> </w:t>
      </w:r>
      <w:r w:rsidR="00244FB6">
        <w:t>begins</w:t>
      </w:r>
      <w:r w:rsidR="00244FB6" w:rsidRPr="00EA5811">
        <w:t xml:space="preserve"> with the statement that the sixteen figures are perfect</w:t>
      </w:r>
      <w:r w:rsidR="00244FB6">
        <w:t>,</w:t>
      </w:r>
      <w:r w:rsidR="00244FB6" w:rsidRPr="00EA5811">
        <w:t xml:space="preserve"> and that in using them one has to proceed according to the </w:t>
      </w:r>
      <w:r w:rsidR="00244FB6" w:rsidRPr="00EA5811">
        <w:rPr>
          <w:i/>
          <w:iCs/>
        </w:rPr>
        <w:t>Rerum Opifex</w:t>
      </w:r>
      <w:r w:rsidR="00244FB6">
        <w:t xml:space="preserve"> and an ‘Indian geomancy’. </w:t>
      </w:r>
      <w:r w:rsidR="008C35C6">
        <w:t xml:space="preserve">These mentions refer to other geomantic texts </w:t>
      </w:r>
      <w:r w:rsidR="00244FB6">
        <w:t xml:space="preserve">in the </w:t>
      </w:r>
      <w:r w:rsidR="00900C93">
        <w:t xml:space="preserve">miscellaneous </w:t>
      </w:r>
      <w:r w:rsidR="00244FB6">
        <w:t>manuscript Cambridge, Magdalene Coll. 4. 27</w:t>
      </w:r>
      <w:r w:rsidR="008C35C6">
        <w:t>. The</w:t>
      </w:r>
      <w:r w:rsidR="008C35C6" w:rsidRPr="00EA5811">
        <w:t xml:space="preserve"> </w:t>
      </w:r>
      <w:r w:rsidR="008C35C6" w:rsidRPr="00EA5811">
        <w:rPr>
          <w:i/>
          <w:iCs/>
        </w:rPr>
        <w:t>Ars Geomantiae</w:t>
      </w:r>
      <w:r w:rsidR="008C35C6" w:rsidRPr="00EA5811">
        <w:t xml:space="preserve"> by Hugo Sanctelliensis</w:t>
      </w:r>
      <w:r w:rsidR="008C35C6">
        <w:t xml:space="preserve"> in fact opens this geomantic miscellany</w:t>
      </w:r>
      <w:r w:rsidR="00244FB6">
        <w:t xml:space="preserve"> on folio </w:t>
      </w:r>
      <w:r w:rsidR="008C35C6">
        <w:t>one, and</w:t>
      </w:r>
      <w:r w:rsidR="00244FB6">
        <w:t xml:space="preserve"> a text entitled </w:t>
      </w:r>
      <w:r w:rsidR="00244FB6" w:rsidRPr="00D5310C">
        <w:rPr>
          <w:i/>
          <w:iCs/>
        </w:rPr>
        <w:t>Geomantia Indiana</w:t>
      </w:r>
      <w:r w:rsidR="00244FB6">
        <w:t xml:space="preserve"> </w:t>
      </w:r>
      <w:r w:rsidR="008C35C6">
        <w:t>follows on folio</w:t>
      </w:r>
      <w:r w:rsidR="00244FB6">
        <w:t xml:space="preserve"> seventy-two (Incipit: Hec est Geomantia Indiana que vocatur filia astrono&lt;miae&gt;).</w:t>
      </w:r>
    </w:p>
    <w:p w14:paraId="75E7450C" w14:textId="08879613" w:rsidR="00244FB6" w:rsidRDefault="00244FB6" w:rsidP="00244FB6">
      <w:r w:rsidRPr="00EA5811">
        <w:t xml:space="preserve">Towards the end of this chapter </w:t>
      </w:r>
      <w:r>
        <w:t xml:space="preserve">the text mentions </w:t>
      </w:r>
      <w:r w:rsidRPr="00EA5811">
        <w:t>the</w:t>
      </w:r>
      <w:r>
        <w:t xml:space="preserve"> geomantic</w:t>
      </w:r>
      <w:r w:rsidRPr="00EA5811">
        <w:t xml:space="preserve"> figure known as the ‘judge’, </w:t>
      </w:r>
      <w:r>
        <w:t>explaining</w:t>
      </w:r>
      <w:r w:rsidRPr="00EA5811">
        <w:t xml:space="preserve"> how it can be used to check if the geomantic chart has been made correctly. The </w:t>
      </w:r>
      <w:r w:rsidR="00F252EC">
        <w:t>Judge, being the</w:t>
      </w:r>
      <w:r w:rsidRPr="00EA5811">
        <w:t xml:space="preserve"> last figure of the geomantic chart, derives from</w:t>
      </w:r>
      <w:r>
        <w:t xml:space="preserve"> </w:t>
      </w:r>
      <w:r w:rsidRPr="00EA5811">
        <w:t xml:space="preserve">all the </w:t>
      </w:r>
      <w:r>
        <w:t xml:space="preserve">figures formed </w:t>
      </w:r>
      <w:r w:rsidRPr="00EA5811">
        <w:t>previously</w:t>
      </w:r>
      <w:r>
        <w:t xml:space="preserve"> (mothers, daughters, granddaughters and witnesses). Therefore,</w:t>
      </w:r>
      <w:r w:rsidRPr="00EA5811">
        <w:t xml:space="preserve"> the text says </w:t>
      </w:r>
      <w:r>
        <w:t>“</w:t>
      </w:r>
      <w:r w:rsidRPr="00EA5811">
        <w:t>having accounted for all the figures in this way and reduced them into one judicial &lt;figure&gt;</w:t>
      </w:r>
      <w:r>
        <w:t>.”</w:t>
      </w:r>
      <w:r w:rsidR="005A6688">
        <w:rPr>
          <w:rStyle w:val="FootnoteReference"/>
        </w:rPr>
        <w:footnoteReference w:id="191"/>
      </w:r>
      <w:r w:rsidRPr="00EA5811">
        <w:t xml:space="preserve"> In this sense</w:t>
      </w:r>
      <w:r>
        <w:t>,</w:t>
      </w:r>
      <w:r w:rsidRPr="00EA5811">
        <w:t xml:space="preserve"> the jud</w:t>
      </w:r>
      <w:r>
        <w:t>ge is believed to</w:t>
      </w:r>
      <w:r w:rsidRPr="00EA5811">
        <w:t xml:space="preserve"> summarise in itself the whole geomantic chart because it results from the combination of all the other figures.</w:t>
      </w:r>
      <w:r>
        <w:t xml:space="preserve"> According to the text, th</w:t>
      </w:r>
      <w:r w:rsidRPr="00EA5811">
        <w:t xml:space="preserve">e reader should consider whether the number of </w:t>
      </w:r>
      <w:r w:rsidR="002F2BE4">
        <w:t>points</w:t>
      </w:r>
      <w:r w:rsidRPr="00EA5811">
        <w:t xml:space="preserve"> of which the judex is formed is even or odd. </w:t>
      </w:r>
      <w:r>
        <w:t>According to the geomantic technique, if</w:t>
      </w:r>
      <w:r w:rsidRPr="00EA5811">
        <w:t xml:space="preserve"> the resulting judge is formed of an odd number of </w:t>
      </w:r>
      <w:r w:rsidR="002F2BE4">
        <w:t>points</w:t>
      </w:r>
      <w:r w:rsidRPr="00EA5811">
        <w:t>, it indicates that an error has occurred in the making of the figures. The geomancer must therefore go back to the first figures and correct the theme by re-forming all the figures.</w:t>
      </w:r>
      <w:r w:rsidRPr="00402A31">
        <w:rPr>
          <w:rStyle w:val="FootnoteReference"/>
        </w:rPr>
        <w:footnoteReference w:id="192"/>
      </w:r>
      <w:r w:rsidRPr="00EA5811">
        <w:t xml:space="preserve"> Once that the chart is correct, the geomancer can start its interpretation. According to the </w:t>
      </w:r>
      <w:r w:rsidRPr="00EA5811">
        <w:rPr>
          <w:i/>
          <w:iCs/>
        </w:rPr>
        <w:t>Liber arenalis scientiae</w:t>
      </w:r>
      <w:r>
        <w:t>,</w:t>
      </w:r>
      <w:r w:rsidRPr="00EA5811">
        <w:t xml:space="preserve"> </w:t>
      </w:r>
      <w:r>
        <w:t>all of the last three figures must be considered</w:t>
      </w:r>
      <w:r w:rsidRPr="00EA5811">
        <w:t xml:space="preserve"> </w:t>
      </w:r>
      <w:r>
        <w:t>(</w:t>
      </w:r>
      <w:r w:rsidRPr="00EA5811">
        <w:t>the two witnesses and the judge</w:t>
      </w:r>
      <w:r>
        <w:t>) to prove the correctness of the chart</w:t>
      </w:r>
      <w:r w:rsidRPr="00EA5811">
        <w:t>. This is in accordance with other places in the text where the importance of th</w:t>
      </w:r>
      <w:r>
        <w:t>is</w:t>
      </w:r>
      <w:r w:rsidRPr="00EA5811">
        <w:t xml:space="preserve"> triplets is remarked</w:t>
      </w:r>
      <w:r w:rsidR="0088418C">
        <w:t xml:space="preserve"> on</w:t>
      </w:r>
      <w:r w:rsidRPr="00EA5811">
        <w:t>.</w:t>
      </w:r>
      <w:r>
        <w:t xml:space="preserve"> </w:t>
      </w:r>
    </w:p>
    <w:p w14:paraId="4450D5FE" w14:textId="52742811" w:rsidR="00244FB6" w:rsidRDefault="00244FB6" w:rsidP="00244FB6">
      <w:r w:rsidRPr="00A71933">
        <w:lastRenderedPageBreak/>
        <w:t xml:space="preserve">Finally, the last paragraph of this first section refers to other chapters and treatises to consult </w:t>
      </w:r>
      <w:r>
        <w:t xml:space="preserve">to obtain certain information: </w:t>
      </w:r>
    </w:p>
    <w:p w14:paraId="6C2E5C32" w14:textId="77777777" w:rsidR="00244FB6" w:rsidRDefault="00244FB6" w:rsidP="00244FB6"/>
    <w:p w14:paraId="4993CBB8" w14:textId="07DE1975" w:rsidR="00244FB6" w:rsidRPr="00B15F29" w:rsidRDefault="00B15F29" w:rsidP="00B15F29">
      <w:pPr>
        <w:ind w:left="567" w:firstLine="0"/>
        <w:rPr>
          <w:sz w:val="20"/>
          <w:szCs w:val="20"/>
        </w:rPr>
      </w:pPr>
      <w:r w:rsidRPr="00B15F29">
        <w:rPr>
          <w:sz w:val="20"/>
          <w:szCs w:val="20"/>
        </w:rPr>
        <w:t>Then, turning to the pages of this book, you will undoubtedly find, if God agrees, their exemplification.  Then look for the treatise on the triplicities that should follow here on folio 41 and 89. Then for the natural and local properties of every figure in any house and the kind of judgement it will provide, look at folio 17. Similarly seek the situation of the houses and the nature on folio 103</w:t>
      </w:r>
      <w:r w:rsidR="00244FB6" w:rsidRPr="00B15F29">
        <w:rPr>
          <w:sz w:val="20"/>
          <w:szCs w:val="20"/>
        </w:rPr>
        <w:t>(?).</w:t>
      </w:r>
      <w:r w:rsidR="00244FB6" w:rsidRPr="00B15F29">
        <w:rPr>
          <w:rStyle w:val="FootnoteReference"/>
          <w:sz w:val="20"/>
          <w:szCs w:val="20"/>
        </w:rPr>
        <w:footnoteReference w:id="193"/>
      </w:r>
    </w:p>
    <w:p w14:paraId="45FB3EDD" w14:textId="77777777" w:rsidR="00244FB6" w:rsidRDefault="00244FB6" w:rsidP="00244FB6">
      <w:pPr>
        <w:ind w:firstLine="0"/>
      </w:pPr>
    </w:p>
    <w:p w14:paraId="52A78923" w14:textId="091FED93" w:rsidR="00244FB6" w:rsidRPr="0074471B" w:rsidRDefault="00244FB6" w:rsidP="00387377">
      <w:pPr>
        <w:ind w:firstLine="0"/>
      </w:pPr>
      <w:r>
        <w:t>The significance of this passage</w:t>
      </w:r>
      <w:r w:rsidR="008635A8">
        <w:t xml:space="preserve">, together with the one referring to the </w:t>
      </w:r>
      <w:r w:rsidR="008635A8" w:rsidRPr="008635A8">
        <w:rPr>
          <w:i/>
          <w:iCs/>
        </w:rPr>
        <w:t>Rerum Opifex</w:t>
      </w:r>
      <w:r w:rsidR="008635A8">
        <w:t xml:space="preserve"> and the Indian Geomancy,</w:t>
      </w:r>
      <w:r>
        <w:t xml:space="preserve"> lays in the fact that it further supports the idea that the manuscript F. 4. 27 should be considered as a coherent geomantic anthology in its </w:t>
      </w:r>
      <w:r w:rsidR="00F74AC8">
        <w:t>w</w:t>
      </w:r>
      <w:r>
        <w:t>hole. Th</w:t>
      </w:r>
      <w:r w:rsidR="008635A8">
        <w:t xml:space="preserve">ese </w:t>
      </w:r>
      <w:r>
        <w:t>passage</w:t>
      </w:r>
      <w:r w:rsidR="008635A8">
        <w:t>s</w:t>
      </w:r>
      <w:r>
        <w:t xml:space="preserve">, </w:t>
      </w:r>
      <w:r w:rsidR="008635A8">
        <w:t>uniquely</w:t>
      </w:r>
      <w:r>
        <w:t xml:space="preserve"> found in the Cambridge codex, rightly directs the reader to other sections of the manuscript, on folio forty-one begins indeed a treatise on geomantic triplets, and so does another at folio eighty-nine. The property of each geomantic figure in each of the houses is discussed on folio seventeen, in a chapter </w:t>
      </w:r>
      <w:r w:rsidR="005145BA">
        <w:t>en</w:t>
      </w:r>
      <w:r>
        <w:t xml:space="preserve">titled </w:t>
      </w:r>
      <w:r w:rsidR="005145BA">
        <w:rPr>
          <w:i/>
          <w:iCs/>
        </w:rPr>
        <w:t>H</w:t>
      </w:r>
      <w:r w:rsidRPr="0074471B">
        <w:rPr>
          <w:i/>
          <w:iCs/>
        </w:rPr>
        <w:t xml:space="preserve">ic patent quaestiones geomantiae singulis domibus </w:t>
      </w:r>
      <w:r w:rsidR="00476D35">
        <w:rPr>
          <w:i/>
          <w:iCs/>
        </w:rPr>
        <w:t>appropriatae</w:t>
      </w:r>
      <w:r w:rsidRPr="0074471B">
        <w:rPr>
          <w:i/>
          <w:iCs/>
        </w:rPr>
        <w:t xml:space="preserve"> et figurarum complexiones et naturas</w:t>
      </w:r>
      <w:r>
        <w:rPr>
          <w:i/>
          <w:iCs/>
        </w:rPr>
        <w:t xml:space="preserve"> </w:t>
      </w:r>
      <w:r>
        <w:t>(</w:t>
      </w:r>
      <w:r w:rsidRPr="00A63C47">
        <w:t xml:space="preserve">here open the questions of geomancy, </w:t>
      </w:r>
      <w:r w:rsidR="00476D35">
        <w:t>appropriate to</w:t>
      </w:r>
      <w:r w:rsidRPr="00A63C47">
        <w:t xml:space="preserve"> the individual houses, and the combinations and natures of the figures</w:t>
      </w:r>
      <w:r>
        <w:t>)</w:t>
      </w:r>
      <w:r w:rsidRPr="0074471B">
        <w:rPr>
          <w:i/>
          <w:iCs/>
        </w:rPr>
        <w:t>.</w:t>
      </w:r>
      <w:r>
        <w:rPr>
          <w:i/>
          <w:iCs/>
        </w:rPr>
        <w:t xml:space="preserve"> </w:t>
      </w:r>
      <w:r>
        <w:t>It is unclear to which folios the text is referring in the final part of this paragraph, which consists in a marginal annotation</w:t>
      </w:r>
      <w:r w:rsidR="00387377">
        <w:t>;</w:t>
      </w:r>
      <w:r>
        <w:t xml:space="preserve"> it may be that the text is referring to folio 139, where </w:t>
      </w:r>
      <w:r w:rsidR="00387377">
        <w:t>a text</w:t>
      </w:r>
      <w:r>
        <w:t xml:space="preserve"> commences entitled </w:t>
      </w:r>
      <w:r w:rsidRPr="00C219EC">
        <w:rPr>
          <w:i/>
          <w:iCs/>
        </w:rPr>
        <w:t>De naturalibus proprietibus figurarum et localibus</w:t>
      </w:r>
      <w:r>
        <w:t>.</w:t>
      </w:r>
      <w:r w:rsidR="008635A8">
        <w:t xml:space="preserve"> </w:t>
      </w:r>
    </w:p>
    <w:p w14:paraId="0044F04A" w14:textId="77777777" w:rsidR="00244FB6" w:rsidRDefault="00244FB6" w:rsidP="00244FB6">
      <w:pPr>
        <w:ind w:firstLine="0"/>
      </w:pPr>
    </w:p>
    <w:p w14:paraId="6FC301EC" w14:textId="093B9CBE" w:rsidR="00244FB6" w:rsidRPr="006E07BF" w:rsidRDefault="00244FB6" w:rsidP="006E07BF">
      <w:pPr>
        <w:pStyle w:val="Heading3"/>
        <w:ind w:firstLine="0"/>
        <w:rPr>
          <w:rFonts w:asciiTheme="majorBidi" w:hAnsiTheme="majorBidi"/>
          <w:b/>
          <w:bCs/>
          <w:color w:val="auto"/>
        </w:rPr>
      </w:pPr>
      <w:bookmarkStart w:id="59" w:name="_Toc165108646"/>
      <w:r w:rsidRPr="006E07BF">
        <w:rPr>
          <w:rFonts w:asciiTheme="majorBidi" w:hAnsiTheme="majorBidi"/>
          <w:b/>
          <w:bCs/>
          <w:color w:val="auto"/>
        </w:rPr>
        <w:t xml:space="preserve">Chapter </w:t>
      </w:r>
      <w:r w:rsidR="00A32B80">
        <w:rPr>
          <w:rFonts w:asciiTheme="majorBidi" w:hAnsiTheme="majorBidi"/>
          <w:b/>
          <w:bCs/>
          <w:color w:val="auto"/>
        </w:rPr>
        <w:t>1</w:t>
      </w:r>
      <w:r w:rsidRPr="006E07BF">
        <w:rPr>
          <w:rFonts w:asciiTheme="majorBidi" w:hAnsiTheme="majorBidi"/>
          <w:b/>
          <w:bCs/>
          <w:color w:val="auto"/>
        </w:rPr>
        <w:t>. Here begin the meanings of the thoughts of the querent, according to the properties of the figures</w:t>
      </w:r>
      <w:bookmarkEnd w:id="59"/>
    </w:p>
    <w:p w14:paraId="26F11F2C" w14:textId="77777777" w:rsidR="00AC3F2F" w:rsidRPr="000972BA" w:rsidRDefault="00AC3F2F" w:rsidP="00244FB6">
      <w:pPr>
        <w:ind w:firstLine="0"/>
        <w:rPr>
          <w:b/>
          <w:bCs/>
        </w:rPr>
      </w:pPr>
    </w:p>
    <w:p w14:paraId="272DC009" w14:textId="36809031" w:rsidR="00244FB6" w:rsidRDefault="00244FB6" w:rsidP="00244FB6">
      <w:pPr>
        <w:ind w:firstLine="0"/>
      </w:pPr>
      <w:r>
        <w:lastRenderedPageBreak/>
        <w:tab/>
        <w:t xml:space="preserve">The chapter that follows the prologue of the </w:t>
      </w:r>
      <w:r w:rsidRPr="00FA1A70">
        <w:rPr>
          <w:i/>
          <w:iCs/>
        </w:rPr>
        <w:t>Liber arenalis scientiae</w:t>
      </w:r>
      <w:r>
        <w:t xml:space="preserve"> is dedicated – according to its title – to </w:t>
      </w:r>
      <w:r w:rsidRPr="00A66ED5">
        <w:t>elucidating the significance of the client</w:t>
      </w:r>
      <w:r>
        <w:t>’</w:t>
      </w:r>
      <w:r w:rsidRPr="00A66ED5">
        <w:t>s intention in relation to the geomantic figures</w:t>
      </w:r>
      <w:r>
        <w:t xml:space="preserve">. </w:t>
      </w:r>
      <w:r w:rsidRPr="00975895">
        <w:t xml:space="preserve">Essentially, this chapter delves into the </w:t>
      </w:r>
      <w:r>
        <w:t>description of the meaning of each of the sixteen geomantic figures</w:t>
      </w:r>
      <w:r w:rsidRPr="00975895">
        <w:t>. Each figure is examined individually, and this time, they are referred to by their Latin names</w:t>
      </w:r>
      <w:r>
        <w:t>, and each is juxtaposed to its representation</w:t>
      </w:r>
      <w:r w:rsidRPr="00975895">
        <w:t xml:space="preserve">. Additionally, for the first two figures, the text provides alternative names that denote their association with specific segments of a zodiacal constellation, such as the </w:t>
      </w:r>
      <w:r>
        <w:t>‘</w:t>
      </w:r>
      <w:r w:rsidRPr="00975895">
        <w:t>head of Aries</w:t>
      </w:r>
      <w:r>
        <w:t>,’ and ‘the end of Aries and the beginning of Taurus’</w:t>
      </w:r>
      <w:r w:rsidRPr="00975895">
        <w:t xml:space="preserve"> This connection harkens back to the medieval belief that the geomantic figures corresponded to lunar mansions, which were small star clusters or individual stars used to mark the Moon</w:t>
      </w:r>
      <w:r>
        <w:t>’</w:t>
      </w:r>
      <w:r w:rsidRPr="00975895">
        <w:t>s path along its orbit. This correspondence underscores the strong ties between geomancy</w:t>
      </w:r>
      <w:r w:rsidR="009872BC">
        <w:t xml:space="preserve"> and</w:t>
      </w:r>
      <w:r w:rsidRPr="00975895">
        <w:t xml:space="preserve"> astrology,</w:t>
      </w:r>
      <w:r>
        <w:t xml:space="preserve"> which will be examined in depth in the next chapter of this thesis</w:t>
      </w:r>
      <w:r w:rsidRPr="00975895">
        <w:t xml:space="preserve">. However, after providing this correspondence for the initial two figures under scrutiny, the text </w:t>
      </w:r>
      <w:r w:rsidR="00B76D58">
        <w:t>ceases to supply</w:t>
      </w:r>
      <w:r w:rsidRPr="00975895">
        <w:t xml:space="preserve"> this information for the subsequent figures.</w:t>
      </w:r>
    </w:p>
    <w:p w14:paraId="212CE087" w14:textId="77777777" w:rsidR="00244FB6" w:rsidRDefault="00244FB6" w:rsidP="00244FB6">
      <w:pPr>
        <w:ind w:firstLine="0"/>
      </w:pPr>
    </w:p>
    <w:p w14:paraId="51AE6AEA" w14:textId="0A5C5A0D" w:rsidR="00244FB6" w:rsidRPr="006E07BF" w:rsidRDefault="00244FB6" w:rsidP="006E07BF">
      <w:pPr>
        <w:pStyle w:val="Heading3"/>
        <w:ind w:firstLine="0"/>
        <w:rPr>
          <w:rFonts w:asciiTheme="majorBidi" w:hAnsiTheme="majorBidi"/>
          <w:b/>
          <w:bCs/>
          <w:color w:val="auto"/>
        </w:rPr>
      </w:pPr>
      <w:bookmarkStart w:id="60" w:name="_Toc165108647"/>
      <w:r w:rsidRPr="006E07BF">
        <w:rPr>
          <w:rFonts w:asciiTheme="majorBidi" w:hAnsiTheme="majorBidi"/>
          <w:b/>
          <w:bCs/>
          <w:color w:val="auto"/>
        </w:rPr>
        <w:t xml:space="preserve">Chapter </w:t>
      </w:r>
      <w:r w:rsidR="00A5218A">
        <w:rPr>
          <w:rFonts w:asciiTheme="majorBidi" w:hAnsiTheme="majorBidi"/>
          <w:b/>
          <w:bCs/>
          <w:color w:val="auto"/>
        </w:rPr>
        <w:t>2</w:t>
      </w:r>
      <w:r w:rsidRPr="006E07BF">
        <w:rPr>
          <w:rFonts w:asciiTheme="majorBidi" w:hAnsiTheme="majorBidi"/>
          <w:b/>
          <w:bCs/>
          <w:color w:val="auto"/>
        </w:rPr>
        <w:t>. On the judgement in which the sixteenth figures is always to be found</w:t>
      </w:r>
      <w:bookmarkEnd w:id="60"/>
    </w:p>
    <w:p w14:paraId="3FD3EF0A" w14:textId="77777777" w:rsidR="000C38D1" w:rsidRPr="00506745" w:rsidRDefault="000C38D1" w:rsidP="00244FB6">
      <w:pPr>
        <w:ind w:firstLine="0"/>
        <w:rPr>
          <w:b/>
          <w:bCs/>
        </w:rPr>
      </w:pPr>
    </w:p>
    <w:p w14:paraId="2B4884FA" w14:textId="5C857844" w:rsidR="00244FB6" w:rsidRDefault="00244FB6" w:rsidP="00244FB6">
      <w:pPr>
        <w:pStyle w:val="pf0"/>
        <w:spacing w:before="0" w:beforeAutospacing="0" w:after="0" w:afterAutospacing="0" w:line="480" w:lineRule="auto"/>
        <w:ind w:firstLine="708"/>
        <w:jc w:val="both"/>
        <w:rPr>
          <w:rFonts w:asciiTheme="majorBidi" w:hAnsiTheme="majorBidi" w:cstheme="majorBidi"/>
        </w:rPr>
      </w:pPr>
      <w:r w:rsidRPr="00402A31">
        <w:rPr>
          <w:rFonts w:asciiTheme="majorBidi" w:hAnsiTheme="majorBidi" w:cstheme="majorBidi"/>
        </w:rPr>
        <w:t>Th</w:t>
      </w:r>
      <w:r>
        <w:rPr>
          <w:rFonts w:asciiTheme="majorBidi" w:hAnsiTheme="majorBidi" w:cstheme="majorBidi"/>
        </w:rPr>
        <w:t>is very brie</w:t>
      </w:r>
      <w:r w:rsidR="00683347">
        <w:rPr>
          <w:rFonts w:asciiTheme="majorBidi" w:hAnsiTheme="majorBidi" w:cstheme="majorBidi"/>
        </w:rPr>
        <w:t>f</w:t>
      </w:r>
      <w:r>
        <w:rPr>
          <w:rFonts w:asciiTheme="majorBidi" w:hAnsiTheme="majorBidi" w:cstheme="majorBidi"/>
        </w:rPr>
        <w:t xml:space="preserve"> chapter discusses</w:t>
      </w:r>
      <w:r w:rsidRPr="00402A31">
        <w:rPr>
          <w:rFonts w:asciiTheme="majorBidi" w:hAnsiTheme="majorBidi" w:cstheme="majorBidi"/>
        </w:rPr>
        <w:t xml:space="preserve"> the sixteenth figure of the geomantic theme, known as the ‘superjudge’</w:t>
      </w:r>
      <w:r>
        <w:rPr>
          <w:rFonts w:asciiTheme="majorBidi" w:hAnsiTheme="majorBidi" w:cstheme="majorBidi"/>
        </w:rPr>
        <w:t xml:space="preserve"> o</w:t>
      </w:r>
      <w:r w:rsidR="001D6272">
        <w:rPr>
          <w:rFonts w:asciiTheme="majorBidi" w:hAnsiTheme="majorBidi" w:cstheme="majorBidi"/>
        </w:rPr>
        <w:t>r</w:t>
      </w:r>
      <w:r>
        <w:rPr>
          <w:rFonts w:asciiTheme="majorBidi" w:hAnsiTheme="majorBidi" w:cstheme="majorBidi"/>
        </w:rPr>
        <w:t xml:space="preserve"> ‘reconciler</w:t>
      </w:r>
      <w:r w:rsidR="006E07BF">
        <w:rPr>
          <w:rFonts w:asciiTheme="majorBidi" w:hAnsiTheme="majorBidi" w:cstheme="majorBidi"/>
        </w:rPr>
        <w:t>.</w:t>
      </w:r>
      <w:r>
        <w:rPr>
          <w:rFonts w:asciiTheme="majorBidi" w:hAnsiTheme="majorBidi" w:cstheme="majorBidi"/>
        </w:rPr>
        <w:t>’</w:t>
      </w:r>
      <w:r w:rsidRPr="00402A31">
        <w:rPr>
          <w:rFonts w:asciiTheme="majorBidi" w:hAnsiTheme="majorBidi" w:cstheme="majorBidi"/>
        </w:rPr>
        <w:t xml:space="preserve"> </w:t>
      </w:r>
      <w:r>
        <w:rPr>
          <w:rFonts w:asciiTheme="majorBidi" w:hAnsiTheme="majorBidi" w:cstheme="majorBidi"/>
        </w:rPr>
        <w:t>This</w:t>
      </w:r>
      <w:r w:rsidRPr="00402A31">
        <w:rPr>
          <w:rFonts w:asciiTheme="majorBidi" w:hAnsiTheme="majorBidi" w:cstheme="majorBidi"/>
        </w:rPr>
        <w:t xml:space="preserve"> is a supplementary figure, commonly formed from the </w:t>
      </w:r>
      <w:r>
        <w:rPr>
          <w:rFonts w:asciiTheme="majorBidi" w:hAnsiTheme="majorBidi" w:cstheme="majorBidi"/>
        </w:rPr>
        <w:t xml:space="preserve">sum of the </w:t>
      </w:r>
      <w:r w:rsidRPr="00402A31">
        <w:rPr>
          <w:rFonts w:asciiTheme="majorBidi" w:hAnsiTheme="majorBidi" w:cstheme="majorBidi"/>
        </w:rPr>
        <w:t>first and fifteenth figures of the chart (</w:t>
      </w:r>
      <w:r>
        <w:rPr>
          <w:rFonts w:asciiTheme="majorBidi" w:hAnsiTheme="majorBidi" w:cstheme="majorBidi"/>
        </w:rPr>
        <w:t>that is, the first mother and the judge</w:t>
      </w:r>
      <w:r w:rsidRPr="00402A31">
        <w:rPr>
          <w:rFonts w:asciiTheme="majorBidi" w:hAnsiTheme="majorBidi" w:cstheme="majorBidi"/>
        </w:rPr>
        <w:t>), although some texts propose alternative</w:t>
      </w:r>
      <w:r>
        <w:rPr>
          <w:rFonts w:asciiTheme="majorBidi" w:hAnsiTheme="majorBidi" w:cstheme="majorBidi"/>
        </w:rPr>
        <w:t xml:space="preserve"> methodologies</w:t>
      </w:r>
      <w:r w:rsidRPr="00402A31">
        <w:rPr>
          <w:rFonts w:asciiTheme="majorBidi" w:hAnsiTheme="majorBidi" w:cstheme="majorBidi"/>
        </w:rPr>
        <w:t xml:space="preserve"> </w:t>
      </w:r>
      <w:r>
        <w:rPr>
          <w:rFonts w:asciiTheme="majorBidi" w:hAnsiTheme="majorBidi" w:cstheme="majorBidi"/>
        </w:rPr>
        <w:t xml:space="preserve">for deriving </w:t>
      </w:r>
      <w:r w:rsidRPr="00402A31">
        <w:rPr>
          <w:rFonts w:asciiTheme="majorBidi" w:hAnsiTheme="majorBidi" w:cstheme="majorBidi"/>
        </w:rPr>
        <w:t xml:space="preserve">this figure. Traditionally, this additional figure </w:t>
      </w:r>
      <w:r>
        <w:rPr>
          <w:rFonts w:asciiTheme="majorBidi" w:hAnsiTheme="majorBidi" w:cstheme="majorBidi"/>
        </w:rPr>
        <w:t>was</w:t>
      </w:r>
      <w:r w:rsidRPr="00402A31">
        <w:rPr>
          <w:rFonts w:asciiTheme="majorBidi" w:hAnsiTheme="majorBidi" w:cstheme="majorBidi"/>
        </w:rPr>
        <w:t xml:space="preserve"> </w:t>
      </w:r>
      <w:r>
        <w:rPr>
          <w:rFonts w:asciiTheme="majorBidi" w:hAnsiTheme="majorBidi" w:cstheme="majorBidi"/>
        </w:rPr>
        <w:t>made</w:t>
      </w:r>
      <w:r w:rsidRPr="00402A31">
        <w:rPr>
          <w:rFonts w:asciiTheme="majorBidi" w:hAnsiTheme="majorBidi" w:cstheme="majorBidi"/>
        </w:rPr>
        <w:t xml:space="preserve"> in cases where the interpretation of a geomantic </w:t>
      </w:r>
      <w:r>
        <w:rPr>
          <w:rFonts w:asciiTheme="majorBidi" w:hAnsiTheme="majorBidi" w:cstheme="majorBidi"/>
        </w:rPr>
        <w:t>chart</w:t>
      </w:r>
      <w:r w:rsidRPr="00402A31">
        <w:rPr>
          <w:rFonts w:asciiTheme="majorBidi" w:hAnsiTheme="majorBidi" w:cstheme="majorBidi"/>
        </w:rPr>
        <w:t xml:space="preserve"> </w:t>
      </w:r>
      <w:r>
        <w:rPr>
          <w:rFonts w:asciiTheme="majorBidi" w:hAnsiTheme="majorBidi" w:cstheme="majorBidi"/>
        </w:rPr>
        <w:t>was</w:t>
      </w:r>
      <w:r w:rsidRPr="00402A31">
        <w:rPr>
          <w:rFonts w:asciiTheme="majorBidi" w:hAnsiTheme="majorBidi" w:cstheme="majorBidi"/>
        </w:rPr>
        <w:t xml:space="preserve"> particularly difficult, or in case the geomancer </w:t>
      </w:r>
      <w:r>
        <w:rPr>
          <w:rFonts w:asciiTheme="majorBidi" w:hAnsiTheme="majorBidi" w:cstheme="majorBidi"/>
        </w:rPr>
        <w:t>was</w:t>
      </w:r>
      <w:r w:rsidRPr="00402A31">
        <w:rPr>
          <w:rFonts w:asciiTheme="majorBidi" w:hAnsiTheme="majorBidi" w:cstheme="majorBidi"/>
        </w:rPr>
        <w:t xml:space="preserve"> in doubt regarding the meaning of the </w:t>
      </w:r>
      <w:r>
        <w:rPr>
          <w:rFonts w:asciiTheme="majorBidi" w:hAnsiTheme="majorBidi" w:cstheme="majorBidi"/>
        </w:rPr>
        <w:t xml:space="preserve">chart. The </w:t>
      </w:r>
      <w:r w:rsidRPr="001519A5">
        <w:rPr>
          <w:rFonts w:asciiTheme="majorBidi" w:hAnsiTheme="majorBidi" w:cstheme="majorBidi"/>
          <w:i/>
          <w:iCs/>
        </w:rPr>
        <w:t>Liber arenalis scientiae</w:t>
      </w:r>
      <w:r>
        <w:rPr>
          <w:rFonts w:asciiTheme="majorBidi" w:hAnsiTheme="majorBidi" w:cstheme="majorBidi"/>
        </w:rPr>
        <w:t xml:space="preserve"> in this chapter briefly explains how to form this figure and how to use it in order to reach </w:t>
      </w:r>
      <w:r w:rsidR="005D32F0">
        <w:rPr>
          <w:rFonts w:asciiTheme="majorBidi" w:hAnsiTheme="majorBidi" w:cstheme="majorBidi"/>
        </w:rPr>
        <w:t>a</w:t>
      </w:r>
      <w:r>
        <w:rPr>
          <w:rFonts w:asciiTheme="majorBidi" w:hAnsiTheme="majorBidi" w:cstheme="majorBidi"/>
        </w:rPr>
        <w:t xml:space="preserve"> verdict regarding the client’s interrogation.</w:t>
      </w:r>
    </w:p>
    <w:p w14:paraId="182228DD" w14:textId="77777777" w:rsidR="00244FB6" w:rsidRDefault="00244FB6" w:rsidP="00244FB6">
      <w:pPr>
        <w:pStyle w:val="pf0"/>
        <w:spacing w:before="0" w:beforeAutospacing="0" w:after="0" w:afterAutospacing="0" w:line="480" w:lineRule="auto"/>
        <w:ind w:firstLine="708"/>
        <w:jc w:val="both"/>
        <w:rPr>
          <w:rFonts w:asciiTheme="majorBidi" w:hAnsiTheme="majorBidi" w:cstheme="majorBidi"/>
        </w:rPr>
      </w:pPr>
    </w:p>
    <w:p w14:paraId="7186690B" w14:textId="77AAABDE" w:rsidR="00244FB6" w:rsidRDefault="00244FB6" w:rsidP="00FF1FDD">
      <w:pPr>
        <w:pStyle w:val="pf0"/>
        <w:spacing w:before="0" w:beforeAutospacing="0" w:after="0" w:afterAutospacing="0" w:line="480" w:lineRule="auto"/>
        <w:jc w:val="both"/>
        <w:outlineLvl w:val="2"/>
        <w:rPr>
          <w:rFonts w:asciiTheme="majorBidi" w:hAnsiTheme="majorBidi" w:cstheme="majorBidi"/>
          <w:b/>
          <w:bCs/>
        </w:rPr>
      </w:pPr>
      <w:bookmarkStart w:id="61" w:name="_Toc165108648"/>
      <w:r>
        <w:rPr>
          <w:rFonts w:asciiTheme="majorBidi" w:hAnsiTheme="majorBidi" w:cstheme="majorBidi"/>
          <w:b/>
          <w:bCs/>
        </w:rPr>
        <w:t xml:space="preserve">Chapter </w:t>
      </w:r>
      <w:r w:rsidR="00C32AC2">
        <w:rPr>
          <w:rFonts w:asciiTheme="majorBidi" w:hAnsiTheme="majorBidi" w:cstheme="majorBidi"/>
          <w:b/>
          <w:bCs/>
        </w:rPr>
        <w:t>3</w:t>
      </w:r>
      <w:r>
        <w:rPr>
          <w:rFonts w:asciiTheme="majorBidi" w:hAnsiTheme="majorBidi" w:cstheme="majorBidi"/>
          <w:b/>
          <w:bCs/>
        </w:rPr>
        <w:t xml:space="preserve">. </w:t>
      </w:r>
      <w:r w:rsidRPr="004552DF">
        <w:rPr>
          <w:rFonts w:asciiTheme="majorBidi" w:hAnsiTheme="majorBidi" w:cstheme="majorBidi"/>
          <w:b/>
          <w:bCs/>
        </w:rPr>
        <w:t xml:space="preserve">On the </w:t>
      </w:r>
      <w:r>
        <w:rPr>
          <w:rFonts w:asciiTheme="majorBidi" w:hAnsiTheme="majorBidi" w:cstheme="majorBidi"/>
          <w:b/>
          <w:bCs/>
        </w:rPr>
        <w:t>manner</w:t>
      </w:r>
      <w:r w:rsidRPr="004552DF">
        <w:rPr>
          <w:rFonts w:asciiTheme="majorBidi" w:hAnsiTheme="majorBidi" w:cstheme="majorBidi"/>
          <w:b/>
          <w:bCs/>
        </w:rPr>
        <w:t xml:space="preserve"> of discovery of the intention of the </w:t>
      </w:r>
      <w:r>
        <w:rPr>
          <w:rFonts w:asciiTheme="majorBidi" w:hAnsiTheme="majorBidi" w:cstheme="majorBidi"/>
          <w:b/>
          <w:bCs/>
        </w:rPr>
        <w:t>questions</w:t>
      </w:r>
      <w:bookmarkEnd w:id="61"/>
    </w:p>
    <w:p w14:paraId="751D3E5E" w14:textId="77777777" w:rsidR="000C38D1" w:rsidRDefault="000C38D1" w:rsidP="00244FB6">
      <w:pPr>
        <w:pStyle w:val="pf0"/>
        <w:spacing w:before="0" w:beforeAutospacing="0" w:after="0" w:afterAutospacing="0" w:line="480" w:lineRule="auto"/>
        <w:jc w:val="both"/>
        <w:rPr>
          <w:rFonts w:asciiTheme="majorBidi" w:hAnsiTheme="majorBidi" w:cstheme="majorBidi"/>
          <w:b/>
          <w:bCs/>
        </w:rPr>
      </w:pPr>
    </w:p>
    <w:p w14:paraId="4C78C521" w14:textId="6FFF3193" w:rsidR="00244FB6" w:rsidRDefault="00244FB6" w:rsidP="00244FB6">
      <w:pPr>
        <w:pStyle w:val="pf0"/>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 xml:space="preserve">This chapter introduces the main topic discussed in the </w:t>
      </w:r>
      <w:r w:rsidRPr="00E84DCE">
        <w:rPr>
          <w:rFonts w:asciiTheme="majorBidi" w:hAnsiTheme="majorBidi" w:cstheme="majorBidi"/>
          <w:i/>
          <w:iCs/>
        </w:rPr>
        <w:t>Liber arenalis scientiae</w:t>
      </w:r>
      <w:r>
        <w:rPr>
          <w:rFonts w:asciiTheme="majorBidi" w:hAnsiTheme="majorBidi" w:cstheme="majorBidi"/>
        </w:rPr>
        <w:t xml:space="preserve">, that is, methodologies employed to </w:t>
      </w:r>
      <w:r w:rsidRPr="00A71C0D">
        <w:rPr>
          <w:rFonts w:asciiTheme="majorBidi" w:hAnsiTheme="majorBidi" w:cstheme="majorBidi"/>
        </w:rPr>
        <w:t>discove</w:t>
      </w:r>
      <w:r>
        <w:rPr>
          <w:rFonts w:asciiTheme="majorBidi" w:hAnsiTheme="majorBidi" w:cstheme="majorBidi"/>
        </w:rPr>
        <w:t>r</w:t>
      </w:r>
      <w:r w:rsidRPr="00A71C0D">
        <w:rPr>
          <w:rFonts w:asciiTheme="majorBidi" w:hAnsiTheme="majorBidi" w:cstheme="majorBidi"/>
        </w:rPr>
        <w:t xml:space="preserve"> what is in the mind of the person asking a question to the geomancer</w:t>
      </w:r>
      <w:r>
        <w:rPr>
          <w:rFonts w:asciiTheme="majorBidi" w:hAnsiTheme="majorBidi" w:cstheme="majorBidi"/>
        </w:rPr>
        <w:t>. This thematic focus is already hinted in the title of the first chapter, though its content does not touch upon this topic at all.</w:t>
      </w:r>
      <w:r w:rsidRPr="00A71C0D">
        <w:rPr>
          <w:rFonts w:asciiTheme="majorBidi" w:hAnsiTheme="majorBidi" w:cstheme="majorBidi"/>
        </w:rPr>
        <w:t xml:space="preserve"> </w:t>
      </w:r>
      <w:r>
        <w:rPr>
          <w:rFonts w:asciiTheme="majorBidi" w:hAnsiTheme="majorBidi" w:cstheme="majorBidi"/>
        </w:rPr>
        <w:t xml:space="preserve">Instead, chapter III introduces an original variation to the geomantic technique to discover the intentions of the querent: the formation of an additional two figures to the usual maximum of sixteen. This is a technique which also finds mention in the manuscript Ashmole 1478 (see table </w:t>
      </w:r>
      <w:r w:rsidR="008404CB">
        <w:rPr>
          <w:rFonts w:asciiTheme="majorBidi" w:hAnsiTheme="majorBidi" w:cstheme="majorBidi"/>
        </w:rPr>
        <w:t>4</w:t>
      </w:r>
      <w:r>
        <w:rPr>
          <w:rFonts w:asciiTheme="majorBidi" w:hAnsiTheme="majorBidi" w:cstheme="majorBidi"/>
        </w:rPr>
        <w:t>), and later in the work of Robert Fludd</w:t>
      </w:r>
      <w:r w:rsidR="008B250B">
        <w:rPr>
          <w:rFonts w:asciiTheme="majorBidi" w:hAnsiTheme="majorBidi" w:cstheme="majorBidi"/>
        </w:rPr>
        <w:t xml:space="preserve">, that </w:t>
      </w:r>
      <w:r w:rsidR="005919D5">
        <w:rPr>
          <w:rFonts w:asciiTheme="majorBidi" w:hAnsiTheme="majorBidi" w:cstheme="majorBidi"/>
        </w:rPr>
        <w:t>b</w:t>
      </w:r>
      <w:r w:rsidR="008B250B">
        <w:rPr>
          <w:rFonts w:asciiTheme="majorBidi" w:hAnsiTheme="majorBidi" w:cstheme="majorBidi"/>
        </w:rPr>
        <w:t>oth mention an eighteenth figure</w:t>
      </w:r>
      <w:r>
        <w:rPr>
          <w:rFonts w:asciiTheme="majorBidi" w:hAnsiTheme="majorBidi" w:cstheme="majorBidi"/>
        </w:rPr>
        <w:t xml:space="preserve">. The </w:t>
      </w:r>
      <w:r w:rsidRPr="00971690">
        <w:rPr>
          <w:rFonts w:asciiTheme="majorBidi" w:hAnsiTheme="majorBidi" w:cstheme="majorBidi"/>
          <w:i/>
          <w:iCs/>
        </w:rPr>
        <w:t>Liber arenalis scientiae</w:t>
      </w:r>
      <w:r>
        <w:rPr>
          <w:rFonts w:asciiTheme="majorBidi" w:hAnsiTheme="majorBidi" w:cstheme="majorBidi"/>
        </w:rPr>
        <w:t xml:space="preserve"> thus explains the rules for making the superjudge, and then an additional </w:t>
      </w:r>
      <w:r w:rsidR="008B250B">
        <w:rPr>
          <w:rFonts w:asciiTheme="majorBidi" w:hAnsiTheme="majorBidi" w:cstheme="majorBidi"/>
        </w:rPr>
        <w:t>two</w:t>
      </w:r>
      <w:r>
        <w:rPr>
          <w:rFonts w:asciiTheme="majorBidi" w:hAnsiTheme="majorBidi" w:cstheme="majorBidi"/>
        </w:rPr>
        <w:t xml:space="preserve"> figure</w:t>
      </w:r>
      <w:r w:rsidR="008B250B">
        <w:rPr>
          <w:rFonts w:asciiTheme="majorBidi" w:hAnsiTheme="majorBidi" w:cstheme="majorBidi"/>
        </w:rPr>
        <w:t>s</w:t>
      </w:r>
      <w:r>
        <w:rPr>
          <w:rFonts w:asciiTheme="majorBidi" w:hAnsiTheme="majorBidi" w:cstheme="majorBidi"/>
        </w:rPr>
        <w:t>:</w:t>
      </w:r>
    </w:p>
    <w:p w14:paraId="502F5FD3" w14:textId="77777777" w:rsidR="00244FB6" w:rsidRDefault="00244FB6" w:rsidP="00244FB6">
      <w:pPr>
        <w:pStyle w:val="pf0"/>
        <w:spacing w:before="0" w:beforeAutospacing="0" w:after="0" w:afterAutospacing="0" w:line="480" w:lineRule="auto"/>
        <w:jc w:val="both"/>
        <w:rPr>
          <w:rFonts w:asciiTheme="majorBidi" w:hAnsiTheme="majorBidi" w:cstheme="majorBidi"/>
        </w:rPr>
      </w:pPr>
    </w:p>
    <w:p w14:paraId="447BFD84" w14:textId="6126FB61" w:rsidR="00244FB6" w:rsidRPr="000329CA" w:rsidRDefault="002010E3" w:rsidP="00244FB6">
      <w:pPr>
        <w:pStyle w:val="pf0"/>
        <w:spacing w:before="0" w:beforeAutospacing="0" w:after="0" w:afterAutospacing="0" w:line="480" w:lineRule="auto"/>
        <w:ind w:left="567"/>
        <w:jc w:val="both"/>
        <w:rPr>
          <w:rFonts w:asciiTheme="majorBidi" w:hAnsiTheme="majorBidi" w:cstheme="majorBidi"/>
          <w:sz w:val="20"/>
          <w:szCs w:val="20"/>
        </w:rPr>
      </w:pPr>
      <w:r w:rsidRPr="002010E3">
        <w:rPr>
          <w:rFonts w:asciiTheme="majorBidi" w:hAnsiTheme="majorBidi" w:cstheme="majorBidi"/>
          <w:sz w:val="20"/>
          <w:szCs w:val="20"/>
        </w:rPr>
        <w:t>If you want to know the question of the enquirer, i.e. the thought of the one asking the question according to the rationale previously mentioned, take the first figure, which is the house of life and also of knowledge, and the fifteenth, which is called ‘the judge’ and make from them one figure (=XVI). Then, from the second, which is the house of wealth, and the eighth, which is the house of death, make another figure (= XVII). Make another figure by joining these two (= XVIII).</w:t>
      </w:r>
      <w:r w:rsidR="00244FB6">
        <w:rPr>
          <w:rStyle w:val="FootnoteReference"/>
          <w:rFonts w:asciiTheme="majorBidi" w:hAnsiTheme="majorBidi" w:cstheme="majorBidi"/>
          <w:sz w:val="20"/>
          <w:szCs w:val="20"/>
        </w:rPr>
        <w:footnoteReference w:id="194"/>
      </w:r>
    </w:p>
    <w:p w14:paraId="63B97EF4" w14:textId="77777777" w:rsidR="00244FB6" w:rsidRDefault="00244FB6" w:rsidP="00244FB6">
      <w:pPr>
        <w:pStyle w:val="pf0"/>
        <w:spacing w:before="0" w:beforeAutospacing="0" w:after="0" w:afterAutospacing="0" w:line="480" w:lineRule="auto"/>
        <w:ind w:firstLine="720"/>
        <w:jc w:val="both"/>
        <w:rPr>
          <w:rFonts w:asciiTheme="majorBidi" w:hAnsiTheme="majorBidi" w:cstheme="majorBidi"/>
        </w:rPr>
      </w:pPr>
    </w:p>
    <w:p w14:paraId="5E4833DA" w14:textId="135A2FF7" w:rsidR="00244FB6" w:rsidRDefault="00244FB6" w:rsidP="00244FB6">
      <w:pPr>
        <w:pStyle w:val="pf0"/>
        <w:spacing w:before="0" w:beforeAutospacing="0" w:after="0" w:afterAutospacing="0" w:line="480" w:lineRule="auto"/>
        <w:jc w:val="both"/>
        <w:rPr>
          <w:rFonts w:asciiTheme="majorBidi" w:hAnsiTheme="majorBidi" w:cstheme="majorBidi"/>
        </w:rPr>
      </w:pPr>
      <w:r>
        <w:rPr>
          <w:rFonts w:asciiTheme="majorBidi" w:hAnsiTheme="majorBidi" w:cstheme="majorBidi"/>
        </w:rPr>
        <w:t>In this scheme, t</w:t>
      </w:r>
      <w:r w:rsidRPr="00A71C0D">
        <w:rPr>
          <w:rFonts w:asciiTheme="majorBidi" w:hAnsiTheme="majorBidi" w:cstheme="majorBidi"/>
        </w:rPr>
        <w:t>he seventeenth figure seems to have no other purpose than to form the eighteenth, and it</w:t>
      </w:r>
      <w:r w:rsidR="00B175E7">
        <w:rPr>
          <w:rFonts w:asciiTheme="majorBidi" w:hAnsiTheme="majorBidi" w:cstheme="majorBidi"/>
        </w:rPr>
        <w:t xml:space="preserve"> is</w:t>
      </w:r>
      <w:r w:rsidRPr="00A71C0D">
        <w:rPr>
          <w:rFonts w:asciiTheme="majorBidi" w:hAnsiTheme="majorBidi" w:cstheme="majorBidi"/>
        </w:rPr>
        <w:t xml:space="preserve"> not discussed further in the text</w:t>
      </w:r>
      <w:r>
        <w:rPr>
          <w:rFonts w:asciiTheme="majorBidi" w:hAnsiTheme="majorBidi" w:cstheme="majorBidi"/>
        </w:rPr>
        <w:t xml:space="preserve">. </w:t>
      </w:r>
      <w:r w:rsidRPr="00A71C0D">
        <w:rPr>
          <w:rFonts w:asciiTheme="majorBidi" w:hAnsiTheme="majorBidi" w:cstheme="majorBidi"/>
        </w:rPr>
        <w:t>On the contrary, the eighteenth figure is discussed extensively and it is invested with a precise scope. After form</w:t>
      </w:r>
      <w:r w:rsidR="00D60A85">
        <w:rPr>
          <w:rFonts w:asciiTheme="majorBidi" w:hAnsiTheme="majorBidi" w:cstheme="majorBidi"/>
        </w:rPr>
        <w:t>ing</w:t>
      </w:r>
      <w:r w:rsidRPr="00A71C0D">
        <w:rPr>
          <w:rFonts w:asciiTheme="majorBidi" w:hAnsiTheme="majorBidi" w:cstheme="majorBidi"/>
        </w:rPr>
        <w:t xml:space="preserve"> this figure, the geomancer must observe </w:t>
      </w:r>
      <w:r>
        <w:rPr>
          <w:rFonts w:asciiTheme="majorBidi" w:hAnsiTheme="majorBidi" w:cstheme="majorBidi"/>
        </w:rPr>
        <w:t>whether a figure identical to this</w:t>
      </w:r>
      <w:r w:rsidRPr="00A71C0D">
        <w:rPr>
          <w:rFonts w:asciiTheme="majorBidi" w:hAnsiTheme="majorBidi" w:cstheme="majorBidi"/>
        </w:rPr>
        <w:t xml:space="preserve"> </w:t>
      </w:r>
      <w:r>
        <w:rPr>
          <w:rFonts w:asciiTheme="majorBidi" w:hAnsiTheme="majorBidi" w:cstheme="majorBidi"/>
        </w:rPr>
        <w:t xml:space="preserve">can be </w:t>
      </w:r>
      <w:r w:rsidRPr="00A71C0D">
        <w:rPr>
          <w:rFonts w:asciiTheme="majorBidi" w:hAnsiTheme="majorBidi" w:cstheme="majorBidi"/>
        </w:rPr>
        <w:t>found somewhere else in the</w:t>
      </w:r>
      <w:r>
        <w:rPr>
          <w:rFonts w:asciiTheme="majorBidi" w:hAnsiTheme="majorBidi" w:cstheme="majorBidi"/>
        </w:rPr>
        <w:t xml:space="preserve"> first</w:t>
      </w:r>
      <w:r w:rsidRPr="00A71C0D">
        <w:rPr>
          <w:rFonts w:asciiTheme="majorBidi" w:hAnsiTheme="majorBidi" w:cstheme="majorBidi"/>
        </w:rPr>
        <w:t xml:space="preserve"> twelve houses of the geomantic chart. If that’s the case,</w:t>
      </w:r>
      <w:r>
        <w:rPr>
          <w:rFonts w:asciiTheme="majorBidi" w:hAnsiTheme="majorBidi" w:cstheme="majorBidi"/>
        </w:rPr>
        <w:t xml:space="preserve"> the figure identical to the eighteenth found in the chart will indicate the nature of the querent’s intention</w:t>
      </w:r>
      <w:r w:rsidRPr="00A71C0D">
        <w:rPr>
          <w:rFonts w:asciiTheme="majorBidi" w:hAnsiTheme="majorBidi" w:cstheme="majorBidi"/>
        </w:rPr>
        <w:t xml:space="preserve">. If a figure </w:t>
      </w:r>
      <w:r w:rsidRPr="00A71C0D">
        <w:rPr>
          <w:rFonts w:asciiTheme="majorBidi" w:hAnsiTheme="majorBidi" w:cstheme="majorBidi"/>
        </w:rPr>
        <w:lastRenderedPageBreak/>
        <w:t xml:space="preserve">identical to the eighteenth is found in more than one house, the geomancer will judge according to the last house containing that figure. In the case in which a figure identical to the eighteenth is found nowhere in a theme, the </w:t>
      </w:r>
      <w:r w:rsidRPr="00981115">
        <w:rPr>
          <w:rFonts w:asciiTheme="majorBidi" w:hAnsiTheme="majorBidi" w:cstheme="majorBidi"/>
          <w:i/>
          <w:iCs/>
        </w:rPr>
        <w:t>Liber arenalis instructs</w:t>
      </w:r>
      <w:r w:rsidRPr="00A71C0D">
        <w:rPr>
          <w:rFonts w:asciiTheme="majorBidi" w:hAnsiTheme="majorBidi" w:cstheme="majorBidi"/>
        </w:rPr>
        <w:t xml:space="preserve"> </w:t>
      </w:r>
      <w:r w:rsidR="00380E88">
        <w:rPr>
          <w:rFonts w:asciiTheme="majorBidi" w:hAnsiTheme="majorBidi" w:cstheme="majorBidi"/>
        </w:rPr>
        <w:t>suggests to</w:t>
      </w:r>
      <w:r w:rsidRPr="00A71C0D">
        <w:rPr>
          <w:rFonts w:asciiTheme="majorBidi" w:hAnsiTheme="majorBidi" w:cstheme="majorBidi"/>
        </w:rPr>
        <w:t>‘</w:t>
      </w:r>
      <w:r w:rsidR="00380E88" w:rsidRPr="00D1643E">
        <w:t>start from the head of the figures and you shall judge according to the nature of the houses</w:t>
      </w:r>
      <w:r>
        <w:rPr>
          <w:rFonts w:asciiTheme="majorBidi" w:hAnsiTheme="majorBidi" w:cstheme="majorBidi"/>
        </w:rPr>
        <w:t>.</w:t>
      </w:r>
      <w:r w:rsidRPr="00A71C0D">
        <w:rPr>
          <w:rFonts w:asciiTheme="majorBidi" w:hAnsiTheme="majorBidi" w:cstheme="majorBidi"/>
        </w:rPr>
        <w:t>’</w:t>
      </w:r>
      <w:r>
        <w:rPr>
          <w:rStyle w:val="FootnoteReference"/>
          <w:rFonts w:asciiTheme="majorBidi" w:hAnsiTheme="majorBidi" w:cstheme="majorBidi"/>
        </w:rPr>
        <w:footnoteReference w:id="195"/>
      </w:r>
      <w:r w:rsidRPr="00A71C0D">
        <w:rPr>
          <w:rFonts w:asciiTheme="majorBidi" w:hAnsiTheme="majorBidi" w:cstheme="majorBidi"/>
        </w:rPr>
        <w:t xml:space="preserve"> For ‘the head of the figure’ the text could mean the upper row of </w:t>
      </w:r>
      <w:r w:rsidR="002F2BE4">
        <w:rPr>
          <w:rFonts w:asciiTheme="majorBidi" w:hAnsiTheme="majorBidi" w:cstheme="majorBidi"/>
        </w:rPr>
        <w:t>points</w:t>
      </w:r>
      <w:r w:rsidRPr="00A71C0D">
        <w:rPr>
          <w:rFonts w:asciiTheme="majorBidi" w:hAnsiTheme="majorBidi" w:cstheme="majorBidi"/>
        </w:rPr>
        <w:t xml:space="preserve"> of which a figure is formed, and that can </w:t>
      </w:r>
      <w:r>
        <w:rPr>
          <w:rFonts w:asciiTheme="majorBidi" w:hAnsiTheme="majorBidi" w:cstheme="majorBidi"/>
        </w:rPr>
        <w:t>consist of</w:t>
      </w:r>
      <w:r w:rsidRPr="00A71C0D">
        <w:rPr>
          <w:rFonts w:asciiTheme="majorBidi" w:hAnsiTheme="majorBidi" w:cstheme="majorBidi"/>
        </w:rPr>
        <w:t xml:space="preserve"> one or two. </w:t>
      </w:r>
      <w:r>
        <w:rPr>
          <w:rFonts w:asciiTheme="majorBidi" w:hAnsiTheme="majorBidi" w:cstheme="majorBidi"/>
        </w:rPr>
        <w:t>T</w:t>
      </w:r>
      <w:r w:rsidRPr="00A71C0D">
        <w:rPr>
          <w:rFonts w:asciiTheme="majorBidi" w:hAnsiTheme="majorBidi" w:cstheme="majorBidi"/>
        </w:rPr>
        <w:t>his method could</w:t>
      </w:r>
      <w:r>
        <w:rPr>
          <w:rFonts w:asciiTheme="majorBidi" w:hAnsiTheme="majorBidi" w:cstheme="majorBidi"/>
        </w:rPr>
        <w:t xml:space="preserve"> consist in something similar</w:t>
      </w:r>
      <w:r w:rsidRPr="00A71C0D">
        <w:rPr>
          <w:rFonts w:asciiTheme="majorBidi" w:hAnsiTheme="majorBidi" w:cstheme="majorBidi"/>
        </w:rPr>
        <w:t xml:space="preserve"> to that </w:t>
      </w:r>
      <w:r>
        <w:rPr>
          <w:rFonts w:asciiTheme="majorBidi" w:hAnsiTheme="majorBidi" w:cstheme="majorBidi"/>
        </w:rPr>
        <w:t xml:space="preserve">of the </w:t>
      </w:r>
      <w:r w:rsidRPr="00712C08">
        <w:rPr>
          <w:rFonts w:asciiTheme="majorBidi" w:hAnsiTheme="majorBidi" w:cstheme="majorBidi"/>
          <w:i/>
          <w:iCs/>
        </w:rPr>
        <w:t>via puncti</w:t>
      </w:r>
      <w:r>
        <w:rPr>
          <w:rFonts w:asciiTheme="majorBidi" w:hAnsiTheme="majorBidi" w:cstheme="majorBidi"/>
        </w:rPr>
        <w:t>, mentioned in the previous chapter of this thesis</w:t>
      </w:r>
      <w:r w:rsidRPr="00A71C0D">
        <w:rPr>
          <w:rFonts w:asciiTheme="majorBidi" w:hAnsiTheme="majorBidi" w:cstheme="majorBidi"/>
        </w:rPr>
        <w:t>.</w:t>
      </w:r>
      <w:r>
        <w:rPr>
          <w:rFonts w:asciiTheme="majorBidi" w:hAnsiTheme="majorBidi" w:cstheme="majorBidi"/>
        </w:rPr>
        <w:t xml:space="preserve"> </w:t>
      </w:r>
      <w:r w:rsidRPr="00A71C0D">
        <w:rPr>
          <w:rFonts w:asciiTheme="majorBidi" w:hAnsiTheme="majorBidi" w:cstheme="majorBidi"/>
        </w:rPr>
        <w:t xml:space="preserve">Moving on, </w:t>
      </w:r>
      <w:r w:rsidR="00E05B24">
        <w:rPr>
          <w:rFonts w:asciiTheme="majorBidi" w:hAnsiTheme="majorBidi" w:cstheme="majorBidi"/>
        </w:rPr>
        <w:t xml:space="preserve">the </w:t>
      </w:r>
      <w:r w:rsidRPr="00A71C0D">
        <w:rPr>
          <w:rFonts w:asciiTheme="majorBidi" w:hAnsiTheme="majorBidi" w:cstheme="majorBidi"/>
        </w:rPr>
        <w:t>procedure becomes more complex and difficult to follow, and the text proposes the same idea</w:t>
      </w:r>
      <w:r>
        <w:rPr>
          <w:rFonts w:asciiTheme="majorBidi" w:hAnsiTheme="majorBidi" w:cstheme="majorBidi"/>
        </w:rPr>
        <w:t xml:space="preserve"> of observing the eighteenth figure</w:t>
      </w:r>
      <w:r w:rsidRPr="00A71C0D">
        <w:rPr>
          <w:rFonts w:asciiTheme="majorBidi" w:hAnsiTheme="majorBidi" w:cstheme="majorBidi"/>
        </w:rPr>
        <w:t xml:space="preserve"> but applied </w:t>
      </w:r>
      <w:r>
        <w:rPr>
          <w:rFonts w:asciiTheme="majorBidi" w:hAnsiTheme="majorBidi" w:cstheme="majorBidi"/>
        </w:rPr>
        <w:t xml:space="preserve">to different methodologies. </w:t>
      </w:r>
    </w:p>
    <w:p w14:paraId="12FA0A8A" w14:textId="15BBFE02" w:rsidR="00244FB6" w:rsidRDefault="00244FB6" w:rsidP="00244FB6">
      <w:pPr>
        <w:pStyle w:val="pf0"/>
        <w:spacing w:before="0" w:beforeAutospacing="0" w:after="0" w:afterAutospacing="0" w:line="480" w:lineRule="auto"/>
        <w:ind w:firstLine="720"/>
        <w:jc w:val="both"/>
        <w:rPr>
          <w:rFonts w:asciiTheme="majorBidi" w:hAnsiTheme="majorBidi" w:cstheme="majorBidi"/>
        </w:rPr>
      </w:pPr>
      <w:r>
        <w:rPr>
          <w:rFonts w:asciiTheme="majorBidi" w:hAnsiTheme="majorBidi" w:cstheme="majorBidi"/>
        </w:rPr>
        <w:t xml:space="preserve">According to the </w:t>
      </w:r>
      <w:r w:rsidRPr="005F6336">
        <w:rPr>
          <w:rFonts w:asciiTheme="majorBidi" w:hAnsiTheme="majorBidi" w:cstheme="majorBidi"/>
          <w:i/>
          <w:iCs/>
        </w:rPr>
        <w:t>Liber arenalis scientiae</w:t>
      </w:r>
      <w:r>
        <w:rPr>
          <w:rFonts w:asciiTheme="majorBidi" w:hAnsiTheme="majorBidi" w:cstheme="majorBidi"/>
        </w:rPr>
        <w:t>,</w:t>
      </w:r>
      <w:r w:rsidRPr="003F1D74">
        <w:t xml:space="preserve"> </w:t>
      </w:r>
      <w:r w:rsidRPr="003F1D74">
        <w:rPr>
          <w:rFonts w:asciiTheme="majorBidi" w:hAnsiTheme="majorBidi" w:cstheme="majorBidi"/>
        </w:rPr>
        <w:t>the matter of the inquiry is found by considering the house in which the figure identical to the eighteenth is found</w:t>
      </w:r>
      <w:r>
        <w:rPr>
          <w:rFonts w:asciiTheme="majorBidi" w:hAnsiTheme="majorBidi" w:cstheme="majorBidi"/>
        </w:rPr>
        <w:t>: “</w:t>
      </w:r>
      <w:r w:rsidR="00C2148D" w:rsidRPr="00C05BDD">
        <w:rPr>
          <w:rFonts w:asciiTheme="majorBidi" w:hAnsiTheme="majorBidi" w:cstheme="majorBidi"/>
        </w:rPr>
        <w:t>if the eighteenth is found in the first house, because the first house means the enquirer, the enquirer is asking about himself</w:t>
      </w:r>
      <w:r>
        <w:rPr>
          <w:rFonts w:asciiTheme="majorBidi" w:hAnsiTheme="majorBidi" w:cstheme="majorBidi"/>
        </w:rPr>
        <w:t>;”</w:t>
      </w:r>
      <w:r>
        <w:rPr>
          <w:rStyle w:val="FootnoteReference"/>
          <w:rFonts w:asciiTheme="majorBidi" w:hAnsiTheme="majorBidi" w:cstheme="majorBidi"/>
        </w:rPr>
        <w:footnoteReference w:id="196"/>
      </w:r>
      <w:r>
        <w:rPr>
          <w:rFonts w:asciiTheme="majorBidi" w:hAnsiTheme="majorBidi" w:cstheme="majorBidi"/>
        </w:rPr>
        <w:t xml:space="preserve"> </w:t>
      </w:r>
      <w:r w:rsidRPr="003F1D74">
        <w:rPr>
          <w:rFonts w:asciiTheme="majorBidi" w:hAnsiTheme="majorBidi" w:cstheme="majorBidi"/>
        </w:rPr>
        <w:t>while the outcome</w:t>
      </w:r>
      <w:r>
        <w:rPr>
          <w:rFonts w:asciiTheme="majorBidi" w:hAnsiTheme="majorBidi" w:cstheme="majorBidi"/>
        </w:rPr>
        <w:t xml:space="preserve"> of the matter</w:t>
      </w:r>
      <w:r w:rsidRPr="003F1D74">
        <w:rPr>
          <w:rFonts w:asciiTheme="majorBidi" w:hAnsiTheme="majorBidi" w:cstheme="majorBidi"/>
        </w:rPr>
        <w:t xml:space="preserve"> is given by the figure that lies in that house</w:t>
      </w:r>
      <w:r>
        <w:rPr>
          <w:rFonts w:asciiTheme="majorBidi" w:hAnsiTheme="majorBidi" w:cstheme="majorBidi"/>
        </w:rPr>
        <w:t xml:space="preserve">: </w:t>
      </w:r>
    </w:p>
    <w:p w14:paraId="1D730988" w14:textId="77777777" w:rsidR="00244FB6" w:rsidRDefault="00244FB6" w:rsidP="00244FB6">
      <w:pPr>
        <w:pStyle w:val="pf0"/>
        <w:spacing w:before="0" w:beforeAutospacing="0" w:after="0" w:afterAutospacing="0" w:line="480" w:lineRule="auto"/>
        <w:ind w:firstLine="720"/>
        <w:jc w:val="both"/>
        <w:rPr>
          <w:rFonts w:asciiTheme="majorBidi" w:hAnsiTheme="majorBidi" w:cstheme="majorBidi"/>
        </w:rPr>
      </w:pPr>
    </w:p>
    <w:p w14:paraId="61415F20" w14:textId="55921B1D" w:rsidR="00244FB6" w:rsidRPr="00B816EA" w:rsidRDefault="00380E88" w:rsidP="00244FB6">
      <w:pPr>
        <w:pStyle w:val="pf0"/>
        <w:spacing w:before="0" w:beforeAutospacing="0" w:after="0" w:afterAutospacing="0" w:line="480" w:lineRule="auto"/>
        <w:ind w:left="567"/>
        <w:jc w:val="both"/>
        <w:rPr>
          <w:rFonts w:asciiTheme="majorBidi" w:hAnsiTheme="majorBidi" w:cstheme="majorBidi"/>
          <w:sz w:val="20"/>
          <w:szCs w:val="20"/>
        </w:rPr>
      </w:pPr>
      <w:r w:rsidRPr="00380E88">
        <w:rPr>
          <w:rFonts w:asciiTheme="majorBidi" w:hAnsiTheme="majorBidi" w:cstheme="majorBidi"/>
          <w:sz w:val="20"/>
          <w:szCs w:val="20"/>
        </w:rPr>
        <w:t xml:space="preserve">If </w:t>
      </w:r>
      <w:r w:rsidR="00773565">
        <w:rPr>
          <w:rFonts w:asciiTheme="majorBidi" w:hAnsiTheme="majorBidi" w:cstheme="majorBidi"/>
          <w:i/>
          <w:iCs/>
          <w:sz w:val="20"/>
          <w:szCs w:val="20"/>
        </w:rPr>
        <w:t>V</w:t>
      </w:r>
      <w:r w:rsidRPr="00773565">
        <w:rPr>
          <w:rFonts w:asciiTheme="majorBidi" w:hAnsiTheme="majorBidi" w:cstheme="majorBidi"/>
          <w:i/>
          <w:iCs/>
          <w:sz w:val="20"/>
          <w:szCs w:val="20"/>
        </w:rPr>
        <w:t>ia</w:t>
      </w:r>
      <w:r w:rsidRPr="00380E88">
        <w:rPr>
          <w:rFonts w:asciiTheme="majorBidi" w:hAnsiTheme="majorBidi" w:cstheme="majorBidi"/>
          <w:sz w:val="20"/>
          <w:szCs w:val="20"/>
        </w:rPr>
        <w:t xml:space="preserve"> is in the first house, because the meaning of via is ‘of journeys’, the question is made about a journey. And </w:t>
      </w:r>
      <w:r w:rsidR="002508D2" w:rsidRPr="00380E88">
        <w:rPr>
          <w:rFonts w:asciiTheme="majorBidi" w:hAnsiTheme="majorBidi" w:cstheme="majorBidi"/>
          <w:sz w:val="20"/>
          <w:szCs w:val="20"/>
        </w:rPr>
        <w:t>therefore,</w:t>
      </w:r>
      <w:r w:rsidRPr="00380E88">
        <w:rPr>
          <w:rFonts w:asciiTheme="majorBidi" w:hAnsiTheme="majorBidi" w:cstheme="majorBidi"/>
          <w:sz w:val="20"/>
          <w:szCs w:val="20"/>
        </w:rPr>
        <w:t xml:space="preserve"> the question is finally made about his own journey. In a similar way, if </w:t>
      </w:r>
      <w:r w:rsidRPr="00773565">
        <w:rPr>
          <w:rFonts w:asciiTheme="majorBidi" w:hAnsiTheme="majorBidi" w:cstheme="majorBidi"/>
          <w:i/>
          <w:iCs/>
          <w:sz w:val="20"/>
          <w:szCs w:val="20"/>
        </w:rPr>
        <w:t>Puer</w:t>
      </w:r>
      <w:r w:rsidRPr="00380E88">
        <w:rPr>
          <w:rFonts w:asciiTheme="majorBidi" w:hAnsiTheme="majorBidi" w:cstheme="majorBidi"/>
          <w:sz w:val="20"/>
          <w:szCs w:val="20"/>
        </w:rPr>
        <w:t xml:space="preserve"> or </w:t>
      </w:r>
      <w:r w:rsidRPr="00773565">
        <w:rPr>
          <w:rFonts w:asciiTheme="majorBidi" w:hAnsiTheme="majorBidi" w:cstheme="majorBidi"/>
          <w:i/>
          <w:iCs/>
          <w:sz w:val="20"/>
          <w:szCs w:val="20"/>
        </w:rPr>
        <w:t>Puella</w:t>
      </w:r>
      <w:r w:rsidRPr="00380E88">
        <w:rPr>
          <w:rFonts w:asciiTheme="majorBidi" w:hAnsiTheme="majorBidi" w:cstheme="majorBidi"/>
          <w:sz w:val="20"/>
          <w:szCs w:val="20"/>
        </w:rPr>
        <w:t xml:space="preserve"> or any other of the sixteen figures is found in the first house, the cause of the question will always be defined according to the nature and the meaning of that figure that will be found in that place</w:t>
      </w:r>
      <w:r w:rsidR="00244FB6" w:rsidRPr="00B816EA">
        <w:rPr>
          <w:rFonts w:asciiTheme="majorBidi" w:hAnsiTheme="majorBidi" w:cstheme="majorBidi"/>
          <w:sz w:val="20"/>
          <w:szCs w:val="20"/>
        </w:rPr>
        <w:t>.</w:t>
      </w:r>
      <w:r w:rsidR="00244FB6">
        <w:rPr>
          <w:rStyle w:val="FootnoteReference"/>
          <w:rFonts w:asciiTheme="majorBidi" w:hAnsiTheme="majorBidi" w:cstheme="majorBidi"/>
          <w:sz w:val="20"/>
          <w:szCs w:val="20"/>
        </w:rPr>
        <w:footnoteReference w:id="197"/>
      </w:r>
    </w:p>
    <w:p w14:paraId="23EB3BB9" w14:textId="77777777" w:rsidR="00244FB6" w:rsidRDefault="00244FB6" w:rsidP="00244FB6">
      <w:pPr>
        <w:pStyle w:val="pf0"/>
        <w:spacing w:before="0" w:beforeAutospacing="0" w:after="0" w:afterAutospacing="0" w:line="480" w:lineRule="auto"/>
        <w:ind w:firstLine="720"/>
        <w:jc w:val="both"/>
        <w:rPr>
          <w:rFonts w:asciiTheme="majorBidi" w:hAnsiTheme="majorBidi" w:cstheme="majorBidi"/>
        </w:rPr>
      </w:pPr>
    </w:p>
    <w:p w14:paraId="125EEDAB" w14:textId="4EF5879A" w:rsidR="00244FB6" w:rsidRDefault="00244FB6" w:rsidP="00244FB6">
      <w:pPr>
        <w:pStyle w:val="pf0"/>
        <w:spacing w:before="0" w:beforeAutospacing="0" w:after="0" w:afterAutospacing="0" w:line="480" w:lineRule="auto"/>
        <w:ind w:firstLine="567"/>
        <w:jc w:val="both"/>
        <w:rPr>
          <w:rFonts w:asciiTheme="majorBidi" w:hAnsiTheme="majorBidi" w:cstheme="majorBidi"/>
        </w:rPr>
      </w:pPr>
      <w:r w:rsidRPr="00A71C0D">
        <w:rPr>
          <w:rFonts w:asciiTheme="majorBidi" w:hAnsiTheme="majorBidi" w:cstheme="majorBidi"/>
        </w:rPr>
        <w:t>The last section of this chapter considers</w:t>
      </w:r>
      <w:r>
        <w:rPr>
          <w:rFonts w:asciiTheme="majorBidi" w:hAnsiTheme="majorBidi" w:cstheme="majorBidi"/>
        </w:rPr>
        <w:t xml:space="preserve"> again</w:t>
      </w:r>
      <w:r w:rsidRPr="00A71C0D">
        <w:rPr>
          <w:rFonts w:asciiTheme="majorBidi" w:hAnsiTheme="majorBidi" w:cstheme="majorBidi"/>
        </w:rPr>
        <w:t xml:space="preserve"> the possibility of not finding the eighteenth figure anywhere among the twelve houses. In </w:t>
      </w:r>
      <w:r>
        <w:rPr>
          <w:rFonts w:asciiTheme="majorBidi" w:hAnsiTheme="majorBidi" w:cstheme="majorBidi"/>
        </w:rPr>
        <w:t>this passage,</w:t>
      </w:r>
      <w:r w:rsidRPr="00A71C0D">
        <w:rPr>
          <w:rFonts w:asciiTheme="majorBidi" w:hAnsiTheme="majorBidi" w:cstheme="majorBidi"/>
        </w:rPr>
        <w:t xml:space="preserve"> the </w:t>
      </w:r>
      <w:r w:rsidRPr="007A7325">
        <w:rPr>
          <w:rFonts w:asciiTheme="majorBidi" w:hAnsiTheme="majorBidi" w:cstheme="majorBidi"/>
          <w:i/>
          <w:iCs/>
        </w:rPr>
        <w:t xml:space="preserve">Liber arenalis scientiae </w:t>
      </w:r>
      <w:r>
        <w:rPr>
          <w:rFonts w:asciiTheme="majorBidi" w:hAnsiTheme="majorBidi" w:cstheme="majorBidi"/>
        </w:rPr>
        <w:t>suggests</w:t>
      </w:r>
      <w:r w:rsidRPr="00A71C0D">
        <w:rPr>
          <w:rFonts w:asciiTheme="majorBidi" w:hAnsiTheme="majorBidi" w:cstheme="majorBidi"/>
        </w:rPr>
        <w:t xml:space="preserve"> </w:t>
      </w:r>
      <w:r w:rsidR="003333BB">
        <w:rPr>
          <w:rFonts w:asciiTheme="majorBidi" w:hAnsiTheme="majorBidi" w:cstheme="majorBidi"/>
        </w:rPr>
        <w:t>one should</w:t>
      </w:r>
      <w:r w:rsidRPr="00A71C0D">
        <w:rPr>
          <w:rFonts w:asciiTheme="majorBidi" w:hAnsiTheme="majorBidi" w:cstheme="majorBidi"/>
        </w:rPr>
        <w:t xml:space="preserve"> judge according to the eighteenth figure itself, according to the description of the </w:t>
      </w:r>
      <w:r>
        <w:rPr>
          <w:rFonts w:asciiTheme="majorBidi" w:hAnsiTheme="majorBidi" w:cstheme="majorBidi"/>
        </w:rPr>
        <w:t xml:space="preserve">significations of the sixteen geomantic </w:t>
      </w:r>
      <w:r w:rsidRPr="00A71C0D">
        <w:rPr>
          <w:rFonts w:asciiTheme="majorBidi" w:hAnsiTheme="majorBidi" w:cstheme="majorBidi"/>
        </w:rPr>
        <w:t>figure</w:t>
      </w:r>
      <w:r>
        <w:rPr>
          <w:rFonts w:asciiTheme="majorBidi" w:hAnsiTheme="majorBidi" w:cstheme="majorBidi"/>
        </w:rPr>
        <w:t>s found in the last chapter.</w:t>
      </w:r>
      <w:r w:rsidRPr="00A71C0D">
        <w:rPr>
          <w:rFonts w:asciiTheme="majorBidi" w:hAnsiTheme="majorBidi" w:cstheme="majorBidi"/>
        </w:rPr>
        <w:t xml:space="preserve"> All </w:t>
      </w:r>
      <w:r w:rsidRPr="00A71C0D">
        <w:rPr>
          <w:rFonts w:asciiTheme="majorBidi" w:hAnsiTheme="majorBidi" w:cstheme="majorBidi"/>
        </w:rPr>
        <w:lastRenderedPageBreak/>
        <w:t>these different methods have in common</w:t>
      </w:r>
      <w:r>
        <w:rPr>
          <w:rFonts w:asciiTheme="majorBidi" w:hAnsiTheme="majorBidi" w:cstheme="majorBidi"/>
        </w:rPr>
        <w:t xml:space="preserve"> the use of the eighteenth figure for the purpose</w:t>
      </w:r>
      <w:r w:rsidR="00C9222B">
        <w:rPr>
          <w:rFonts w:asciiTheme="majorBidi" w:hAnsiTheme="majorBidi" w:cstheme="majorBidi"/>
        </w:rPr>
        <w:t xml:space="preserve"> of</w:t>
      </w:r>
      <w:r>
        <w:rPr>
          <w:rFonts w:asciiTheme="majorBidi" w:hAnsiTheme="majorBidi" w:cstheme="majorBidi"/>
        </w:rPr>
        <w:t xml:space="preserve"> investigating </w:t>
      </w:r>
      <w:r w:rsidRPr="00A71C0D">
        <w:rPr>
          <w:rFonts w:asciiTheme="majorBidi" w:hAnsiTheme="majorBidi" w:cstheme="majorBidi"/>
        </w:rPr>
        <w:t xml:space="preserve">the matter of the </w:t>
      </w:r>
      <w:r>
        <w:rPr>
          <w:rFonts w:asciiTheme="majorBidi" w:hAnsiTheme="majorBidi" w:cstheme="majorBidi"/>
        </w:rPr>
        <w:t xml:space="preserve">querent’s </w:t>
      </w:r>
      <w:r w:rsidRPr="00A71C0D">
        <w:rPr>
          <w:rFonts w:asciiTheme="majorBidi" w:hAnsiTheme="majorBidi" w:cstheme="majorBidi"/>
        </w:rPr>
        <w:t xml:space="preserve">inquiry and </w:t>
      </w:r>
      <w:r>
        <w:rPr>
          <w:rFonts w:asciiTheme="majorBidi" w:hAnsiTheme="majorBidi" w:cstheme="majorBidi"/>
        </w:rPr>
        <w:t>its</w:t>
      </w:r>
      <w:r w:rsidRPr="00A71C0D">
        <w:rPr>
          <w:rFonts w:asciiTheme="majorBidi" w:hAnsiTheme="majorBidi" w:cstheme="majorBidi"/>
        </w:rPr>
        <w:t xml:space="preserve"> outcome. The need to </w:t>
      </w:r>
      <w:r>
        <w:rPr>
          <w:rFonts w:asciiTheme="majorBidi" w:hAnsiTheme="majorBidi" w:cstheme="majorBidi"/>
        </w:rPr>
        <w:t>reveal</w:t>
      </w:r>
      <w:r w:rsidRPr="00A71C0D">
        <w:rPr>
          <w:rFonts w:asciiTheme="majorBidi" w:hAnsiTheme="majorBidi" w:cstheme="majorBidi"/>
        </w:rPr>
        <w:t xml:space="preserve"> the inquiry of the client without asking the question directly</w:t>
      </w:r>
      <w:r>
        <w:rPr>
          <w:rFonts w:asciiTheme="majorBidi" w:hAnsiTheme="majorBidi" w:cstheme="majorBidi"/>
        </w:rPr>
        <w:t xml:space="preserve"> is a practice described in many medieval geomantic texts. Nevertheless, it is in the </w:t>
      </w:r>
      <w:r w:rsidRPr="000A23D8">
        <w:rPr>
          <w:rFonts w:asciiTheme="majorBidi" w:hAnsiTheme="majorBidi" w:cstheme="majorBidi"/>
          <w:i/>
          <w:iCs/>
        </w:rPr>
        <w:t>Liber arenalis scientiae</w:t>
      </w:r>
      <w:r>
        <w:rPr>
          <w:rFonts w:asciiTheme="majorBidi" w:hAnsiTheme="majorBidi" w:cstheme="majorBidi"/>
        </w:rPr>
        <w:t xml:space="preserve"> more than in any other text that this topic is dealt with at length, and different strategies are offered to the practitioner to obtain this information.</w:t>
      </w:r>
    </w:p>
    <w:p w14:paraId="5ED07B35" w14:textId="77777777" w:rsidR="00244FB6" w:rsidRDefault="00244FB6" w:rsidP="00244FB6">
      <w:pPr>
        <w:pStyle w:val="pf0"/>
        <w:spacing w:before="0" w:beforeAutospacing="0" w:after="0" w:afterAutospacing="0" w:line="480" w:lineRule="auto"/>
        <w:jc w:val="both"/>
        <w:rPr>
          <w:rFonts w:asciiTheme="majorBidi" w:hAnsiTheme="majorBidi" w:cstheme="majorBidi"/>
        </w:rPr>
      </w:pPr>
    </w:p>
    <w:p w14:paraId="7F138208" w14:textId="0B24C6E7" w:rsidR="00244FB6" w:rsidRPr="009F28FF" w:rsidRDefault="00244FB6" w:rsidP="009F28FF">
      <w:pPr>
        <w:pStyle w:val="Heading3"/>
        <w:ind w:firstLine="0"/>
        <w:rPr>
          <w:rFonts w:asciiTheme="majorBidi" w:hAnsiTheme="majorBidi"/>
          <w:b/>
          <w:bCs/>
          <w:color w:val="auto"/>
        </w:rPr>
      </w:pPr>
      <w:bookmarkStart w:id="62" w:name="_Toc165108649"/>
      <w:r w:rsidRPr="009F28FF">
        <w:rPr>
          <w:rFonts w:asciiTheme="majorBidi" w:hAnsiTheme="majorBidi"/>
          <w:b/>
          <w:bCs/>
          <w:color w:val="auto"/>
        </w:rPr>
        <w:t xml:space="preserve">Chapter </w:t>
      </w:r>
      <w:r w:rsidR="00C32AC2">
        <w:rPr>
          <w:rFonts w:asciiTheme="majorBidi" w:hAnsiTheme="majorBidi"/>
          <w:b/>
          <w:bCs/>
          <w:color w:val="auto"/>
        </w:rPr>
        <w:t>4</w:t>
      </w:r>
      <w:r w:rsidR="00F05B4E">
        <w:rPr>
          <w:rFonts w:asciiTheme="majorBidi" w:hAnsiTheme="majorBidi"/>
          <w:b/>
          <w:bCs/>
          <w:color w:val="auto"/>
        </w:rPr>
        <w:t>.</w:t>
      </w:r>
      <w:r w:rsidRPr="009F28FF">
        <w:rPr>
          <w:rFonts w:asciiTheme="majorBidi" w:hAnsiTheme="majorBidi"/>
          <w:b/>
          <w:bCs/>
          <w:color w:val="auto"/>
        </w:rPr>
        <w:t xml:space="preserve"> On the general method of investigating the intention</w:t>
      </w:r>
      <w:bookmarkEnd w:id="62"/>
    </w:p>
    <w:p w14:paraId="15AA8808" w14:textId="77777777" w:rsidR="00452175" w:rsidRDefault="00452175" w:rsidP="00244FB6">
      <w:pPr>
        <w:ind w:firstLine="0"/>
        <w:rPr>
          <w:b/>
          <w:bCs/>
        </w:rPr>
      </w:pPr>
    </w:p>
    <w:p w14:paraId="4CA60D0C" w14:textId="4D259EEA" w:rsidR="00CC49C0" w:rsidRDefault="00244FB6" w:rsidP="00244FB6">
      <w:pPr>
        <w:ind w:firstLine="708"/>
      </w:pPr>
      <w:r w:rsidRPr="009D5E56">
        <w:t>This</w:t>
      </w:r>
      <w:r>
        <w:t xml:space="preserve"> fourth chapter of the </w:t>
      </w:r>
      <w:r w:rsidRPr="009D5E56">
        <w:rPr>
          <w:i/>
          <w:iCs/>
        </w:rPr>
        <w:t>Liber arenalis scientiae</w:t>
      </w:r>
      <w:r>
        <w:t xml:space="preserve"> contains a discussion o</w:t>
      </w:r>
      <w:r w:rsidR="000B2685">
        <w:t>f</w:t>
      </w:r>
      <w:r>
        <w:t xml:space="preserve"> various methods for individuating the querent’s intentions in the geomantic chart. According to the compiler, </w:t>
      </w:r>
      <w:r w:rsidRPr="00402A31">
        <w:t xml:space="preserve">the preference of the author of </w:t>
      </w:r>
      <w:r>
        <w:t xml:space="preserve">the </w:t>
      </w:r>
      <w:r w:rsidRPr="001E4B5E">
        <w:rPr>
          <w:i/>
          <w:iCs/>
        </w:rPr>
        <w:t>Liber arenalis scientiae</w:t>
      </w:r>
      <w:r>
        <w:t xml:space="preserve"> is for the use</w:t>
      </w:r>
      <w:r w:rsidRPr="00402A31">
        <w:t xml:space="preserve"> of the eighteenth figure</w:t>
      </w:r>
      <w:r>
        <w:t>. This is presented as a general rule for investigating human intentions, and the text briefly reiterates the process to form the sixteenth, seventeenth and eighteenth figures. This methodology is opposed to another one, that</w:t>
      </w:r>
      <w:r w:rsidRPr="00402A31">
        <w:t xml:space="preserve"> uses the figure of the judge (the fifteenth) for finding out the intention of the inquirer</w:t>
      </w:r>
      <w:r>
        <w:t>: “</w:t>
      </w:r>
      <w:r w:rsidRPr="00103B76">
        <w:t>For, concerning the last one, which, according to the order is the eight&lt;eent&gt;h figure,&lt;as&gt; the author himself in these words undoubtedly understands, not as some people wish, from the fifteenth, which is called the judge.</w:t>
      </w:r>
      <w:r>
        <w:t>”</w:t>
      </w:r>
      <w:r>
        <w:rPr>
          <w:rStyle w:val="FootnoteReference"/>
        </w:rPr>
        <w:footnoteReference w:id="198"/>
      </w:r>
      <w:r>
        <w:t xml:space="preserve"> </w:t>
      </w:r>
      <w:r w:rsidRPr="00402A31">
        <w:t xml:space="preserve">The text </w:t>
      </w:r>
      <w:r>
        <w:t>then presents</w:t>
      </w:r>
      <w:r w:rsidRPr="00402A31">
        <w:t xml:space="preserve"> two </w:t>
      </w:r>
      <w:r>
        <w:t xml:space="preserve">different ways of investigating the querent’s thoughts, proving that </w:t>
      </w:r>
      <w:r w:rsidRPr="00402A31">
        <w:t>one should</w:t>
      </w:r>
      <w:r>
        <w:t xml:space="preserve"> not</w:t>
      </w:r>
      <w:r w:rsidRPr="00402A31">
        <w:t xml:space="preserve"> use the fifteenth</w:t>
      </w:r>
      <w:r>
        <w:t xml:space="preserve"> figure</w:t>
      </w:r>
      <w:r w:rsidRPr="00402A31">
        <w:t xml:space="preserve"> </w:t>
      </w:r>
      <w:r>
        <w:t xml:space="preserve">for this purpose. The reason for not using the fifteenth is that, if a chart is made correctly, the judge will always be an even figure. It follows that only eight of the sixteen geomantic figures can result in the domicile of the judge, excluding the eight figures with an odd number of </w:t>
      </w:r>
      <w:r w:rsidR="002F2BE4">
        <w:t>points</w:t>
      </w:r>
      <w:r>
        <w:t xml:space="preserve">. Therefore, a judgement on the client’s intention based on the fifteenth figure would always be made on one of the eight </w:t>
      </w:r>
      <w:r>
        <w:lastRenderedPageBreak/>
        <w:t xml:space="preserve">even figures, while any of the sixteen figures can result as the eighteenth. Consequently, a judgement on the client’s intention based on the eighteenth figure will not exclude any of the sixteen possible combinations of </w:t>
      </w:r>
      <w:r w:rsidR="002F2BE4">
        <w:t>points</w:t>
      </w:r>
      <w:r>
        <w:t xml:space="preserve">, and thus this methodology is preferred by the author of the </w:t>
      </w:r>
      <w:r w:rsidRPr="008C5825">
        <w:rPr>
          <w:i/>
          <w:iCs/>
        </w:rPr>
        <w:t>Liber arenalis scientiae</w:t>
      </w:r>
      <w:r>
        <w:t xml:space="preserve">. </w:t>
      </w:r>
    </w:p>
    <w:p w14:paraId="2A706EAF" w14:textId="7AC0BC16" w:rsidR="00244FB6" w:rsidRPr="00402A31" w:rsidRDefault="00244FB6" w:rsidP="00244FB6">
      <w:pPr>
        <w:ind w:firstLine="708"/>
      </w:pPr>
      <w:r>
        <w:t xml:space="preserve">The second method suggested as a better alternative to the use of the judge is that of considering the sixteenth figure, the superjudge, to reveal the querent’s thoughts. This figure is formed </w:t>
      </w:r>
      <w:r w:rsidR="00CC49C0">
        <w:t xml:space="preserve">by </w:t>
      </w:r>
      <w:r>
        <w:t xml:space="preserve">adding up the fifteenth figure with the first figure, and as with the eighteenth, it can consist of any of the possible sixteen designs. The text then </w:t>
      </w:r>
      <w:r w:rsidRPr="00402A31">
        <w:t xml:space="preserve">proceeds </w:t>
      </w:r>
      <w:r>
        <w:t xml:space="preserve">with the explanation of </w:t>
      </w:r>
      <w:r w:rsidRPr="00402A31">
        <w:t>the procedure to immediately know the cause of the inquiry of their client</w:t>
      </w:r>
      <w:r>
        <w:t xml:space="preserve"> by considering the sixteenth figure</w:t>
      </w:r>
      <w:r w:rsidRPr="00402A31">
        <w:t xml:space="preserve">. The method is the same as the one </w:t>
      </w:r>
      <w:r w:rsidR="000A0F32">
        <w:t>explained</w:t>
      </w:r>
      <w:r w:rsidRPr="00402A31">
        <w:t xml:space="preserve"> for the eighteenth figure in the previous chapter</w:t>
      </w:r>
      <w:r w:rsidR="000659C2">
        <w:t xml:space="preserve"> of the text</w:t>
      </w:r>
      <w:r w:rsidRPr="00402A31">
        <w:t xml:space="preserve">: the geomancer must search for a figure identical to the sixteenth in the houses of the </w:t>
      </w:r>
      <w:r>
        <w:t>first twelve domiciles of the chart</w:t>
      </w:r>
      <w:r w:rsidRPr="00402A31">
        <w:t xml:space="preserve">. </w:t>
      </w:r>
      <w:r>
        <w:t>Then the geomancer</w:t>
      </w:r>
      <w:r w:rsidRPr="00402A31">
        <w:t xml:space="preserve"> will judge the intention of the inquirer according to the nature of the house containing that figure. As </w:t>
      </w:r>
      <w:r>
        <w:t>in the case</w:t>
      </w:r>
      <w:r w:rsidRPr="00402A31">
        <w:t xml:space="preserve"> the eighteenth figure</w:t>
      </w:r>
      <w:r>
        <w:t xml:space="preserve">, if the sixteenth </w:t>
      </w:r>
      <w:r w:rsidRPr="00402A31">
        <w:t>is found in more than one house,</w:t>
      </w:r>
      <w:r>
        <w:t xml:space="preserve"> </w:t>
      </w:r>
      <w:r w:rsidRPr="00402A31">
        <w:t>the last house containing that figure sh</w:t>
      </w:r>
      <w:r>
        <w:t>ould</w:t>
      </w:r>
      <w:r w:rsidRPr="00402A31">
        <w:t xml:space="preserve"> be considered </w:t>
      </w:r>
      <w:r>
        <w:t>for revealing the querent’s intention</w:t>
      </w:r>
      <w:r w:rsidRPr="00402A31">
        <w:t xml:space="preserve">. </w:t>
      </w:r>
    </w:p>
    <w:p w14:paraId="3652FA21" w14:textId="71E6CF0C" w:rsidR="00244FB6" w:rsidRDefault="00244FB6" w:rsidP="00244FB6">
      <w:r>
        <w:t>After having expounded these different methodologies to reveal the thought that has prompted the querent to seek the guidance of the geomancer, the text focuses o</w:t>
      </w:r>
      <w:r w:rsidR="00A22301">
        <w:t>n</w:t>
      </w:r>
      <w:r>
        <w:t xml:space="preserve"> the importance of considering the figures of the two witnesses and of the judge in the geomantic chart.  </w:t>
      </w:r>
      <w:r w:rsidRPr="00402A31">
        <w:t xml:space="preserve">Therefore, the text </w:t>
      </w:r>
      <w:r>
        <w:t>now considers the significance of</w:t>
      </w:r>
      <w:r w:rsidRPr="00402A31">
        <w:t xml:space="preserve"> the thirteenth, the fourteenth and the fifteenth figures of the chart. In particular</w:t>
      </w:r>
      <w:r>
        <w:t xml:space="preserve">, </w:t>
      </w:r>
      <w:r w:rsidRPr="00402A31">
        <w:t xml:space="preserve">the </w:t>
      </w:r>
      <w:r w:rsidRPr="00402A31">
        <w:rPr>
          <w:i/>
          <w:iCs/>
        </w:rPr>
        <w:t xml:space="preserve">Liber </w:t>
      </w:r>
      <w:r>
        <w:rPr>
          <w:i/>
          <w:iCs/>
        </w:rPr>
        <w:t>a</w:t>
      </w:r>
      <w:r w:rsidRPr="00402A31">
        <w:rPr>
          <w:i/>
          <w:iCs/>
        </w:rPr>
        <w:t>renali</w:t>
      </w:r>
      <w:r>
        <w:rPr>
          <w:i/>
          <w:iCs/>
        </w:rPr>
        <w:t>s scientiae</w:t>
      </w:r>
      <w:r>
        <w:t xml:space="preserve"> stresses the importance of </w:t>
      </w:r>
      <w:r w:rsidRPr="00402A31">
        <w:t>the two witnesses</w:t>
      </w:r>
      <w:r>
        <w:t xml:space="preserve"> in the chart, and calls them “</w:t>
      </w:r>
      <w:r w:rsidR="00773565" w:rsidRPr="005035A5">
        <w:t>witnesses of the twelve houses and of the thing that is asked about</w:t>
      </w:r>
      <w:r w:rsidRPr="00402A31">
        <w:t>.</w:t>
      </w:r>
      <w:r>
        <w:t>”</w:t>
      </w:r>
      <w:r>
        <w:rPr>
          <w:rStyle w:val="FootnoteReference"/>
        </w:rPr>
        <w:footnoteReference w:id="199"/>
      </w:r>
      <w:r w:rsidRPr="00402A31">
        <w:t xml:space="preserve"> The thirteenth figure is called </w:t>
      </w:r>
      <w:r>
        <w:t xml:space="preserve">in the text </w:t>
      </w:r>
      <w:r w:rsidR="00D94C31">
        <w:t>“</w:t>
      </w:r>
      <w:r w:rsidRPr="00402A31">
        <w:t>the witness among the whole number of them,</w:t>
      </w:r>
      <w:r w:rsidR="00D94C31">
        <w:t>”</w:t>
      </w:r>
      <w:r w:rsidRPr="00402A31">
        <w:t xml:space="preserve"> </w:t>
      </w:r>
      <w:r>
        <w:t>perhaps</w:t>
      </w:r>
      <w:r w:rsidRPr="00402A31">
        <w:t xml:space="preserve"> because among the </w:t>
      </w:r>
      <w:r>
        <w:t xml:space="preserve">two </w:t>
      </w:r>
      <w:r w:rsidRPr="00402A31">
        <w:t xml:space="preserve">witnesses it is the one that </w:t>
      </w:r>
      <w:r>
        <w:t xml:space="preserve">is formed </w:t>
      </w:r>
      <w:r w:rsidRPr="00402A31">
        <w:t>from the mothers, th</w:t>
      </w:r>
      <w:r>
        <w:t>at are</w:t>
      </w:r>
      <w:r w:rsidRPr="00402A31">
        <w:t xml:space="preserve"> first figures to be formed in the theme. The </w:t>
      </w:r>
      <w:r w:rsidRPr="00402A31">
        <w:lastRenderedPageBreak/>
        <w:t>thirteenth figure is compared</w:t>
      </w:r>
      <w:r w:rsidR="002F2E48">
        <w:t xml:space="preserve"> to</w:t>
      </w:r>
      <w:r w:rsidRPr="00402A31">
        <w:t xml:space="preserve"> a planet from whose conjunction with or aspect to the Moon is now departing, it signifies the </w:t>
      </w:r>
      <w:r>
        <w:t>root</w:t>
      </w:r>
      <w:r w:rsidRPr="00402A31">
        <w:t xml:space="preserve"> of thoughts and </w:t>
      </w:r>
      <w:r>
        <w:t xml:space="preserve">alludes to </w:t>
      </w:r>
      <w:r w:rsidRPr="00402A31">
        <w:t>past things.</w:t>
      </w:r>
      <w:r>
        <w:rPr>
          <w:rStyle w:val="FootnoteReference"/>
        </w:rPr>
        <w:footnoteReference w:id="200"/>
      </w:r>
      <w:r w:rsidRPr="00402A31">
        <w:t xml:space="preserve"> The fourteenth figure, that is the second witness, is instead </w:t>
      </w:r>
      <w:r>
        <w:t xml:space="preserve">compared to </w:t>
      </w:r>
      <w:r w:rsidRPr="00402A31">
        <w:t>a planet to whose conjunction or aspect the Moon is approaching and signifies future things.</w:t>
      </w:r>
      <w:r>
        <w:rPr>
          <w:rStyle w:val="FootnoteReference"/>
        </w:rPr>
        <w:footnoteReference w:id="201"/>
      </w:r>
      <w:r w:rsidRPr="00402A31">
        <w:t xml:space="preserve"> </w:t>
      </w:r>
      <w:r>
        <w:t>Finally, t</w:t>
      </w:r>
      <w:r w:rsidRPr="00402A31">
        <w:t xml:space="preserve">he fifteenth figure, the judge, is </w:t>
      </w:r>
      <w:r>
        <w:t>defined as</w:t>
      </w:r>
      <w:r w:rsidRPr="00402A31">
        <w:t xml:space="preserve"> the root of the whole </w:t>
      </w:r>
      <w:r w:rsidR="000659C2">
        <w:t>fate</w:t>
      </w:r>
      <w:r w:rsidRPr="00402A31">
        <w:t xml:space="preserve"> and is </w:t>
      </w:r>
      <w:r>
        <w:t>described as</w:t>
      </w:r>
      <w:r w:rsidRPr="00402A31">
        <w:t xml:space="preserve"> the guarantee of the interrogation according to the </w:t>
      </w:r>
      <w:r>
        <w:t>twelve domiciles.</w:t>
      </w:r>
      <w:r w:rsidRPr="00402A31">
        <w:rPr>
          <w:rStyle w:val="FootnoteReference"/>
        </w:rPr>
        <w:footnoteReference w:id="202"/>
      </w:r>
      <w:r w:rsidRPr="00402A31">
        <w:t xml:space="preserve"> As seen previously, this whole analogy is </w:t>
      </w:r>
      <w:r>
        <w:t>found in a more concise form in the geomantic text</w:t>
      </w:r>
      <w:r w:rsidRPr="00402A31">
        <w:t xml:space="preserve"> </w:t>
      </w:r>
      <w:r w:rsidRPr="00402A31">
        <w:rPr>
          <w:i/>
          <w:iCs/>
        </w:rPr>
        <w:t>Notandum est quod letitia</w:t>
      </w:r>
      <w:r>
        <w:t xml:space="preserve"> contained in the manuscript Digby 50</w:t>
      </w:r>
      <w:r w:rsidRPr="00402A31">
        <w:t>.</w:t>
      </w:r>
      <w:r>
        <w:rPr>
          <w:rStyle w:val="FootnoteReference"/>
        </w:rPr>
        <w:footnoteReference w:id="203"/>
      </w:r>
      <w:r>
        <w:t xml:space="preserve"> The </w:t>
      </w:r>
      <w:r w:rsidRPr="00C12BF1">
        <w:rPr>
          <w:i/>
          <w:iCs/>
        </w:rPr>
        <w:t>Liber arenalis scientiae</w:t>
      </w:r>
      <w:r>
        <w:t xml:space="preserve"> here compares these geomantic methodologies to astronomy, or rather astrology, describing how also in the science of the stars people can follow different systems to form true judgements:</w:t>
      </w:r>
      <w:r>
        <w:rPr>
          <w:rStyle w:val="FootnoteReference"/>
        </w:rPr>
        <w:footnoteReference w:id="204"/>
      </w:r>
      <w:r>
        <w:t xml:space="preserve"> “</w:t>
      </w:r>
      <w:bookmarkStart w:id="63" w:name="_Hlk149126581"/>
      <w:r w:rsidR="000D7E2C" w:rsidRPr="00491D64">
        <w:t>just as in astronomy certain experts of this art judge something according to the first and the fifth houses, since these are the first of the mothers and</w:t>
      </w:r>
      <w:r w:rsidR="000D7E2C">
        <w:t xml:space="preserve"> </w:t>
      </w:r>
      <w:r w:rsidR="000D7E2C" w:rsidRPr="00491D64">
        <w:t>the other the first of the daughters.</w:t>
      </w:r>
      <w:r w:rsidRPr="00C12BF1">
        <w:t xml:space="preserve"> Others judge according to the first and the fourth, as the first is the cause of the beginning, and the other of the end</w:t>
      </w:r>
      <w:bookmarkEnd w:id="63"/>
      <w:r w:rsidRPr="00C12BF1">
        <w:t>.</w:t>
      </w:r>
      <w:r>
        <w:t>”</w:t>
      </w:r>
      <w:r>
        <w:rPr>
          <w:rStyle w:val="FootnoteReference"/>
        </w:rPr>
        <w:footnoteReference w:id="205"/>
      </w:r>
      <w:r>
        <w:t xml:space="preserve"> However, after having exposed different methods for reading the querent’s intention in the geomantic chart, the compiler returns to stress the importance of considering in which house a figure identical to the eighteen falls, together with the observation of the witnesses and the judge: “</w:t>
      </w:r>
      <w:r w:rsidR="009E6E12" w:rsidRPr="00491D64">
        <w:t xml:space="preserve">A more truthful judgement however will proceed if one examines </w:t>
      </w:r>
      <w:r w:rsidR="009E6E12" w:rsidRPr="00491D64">
        <w:lastRenderedPageBreak/>
        <w:t>how often the (eighteenth) figure occurs, and the two witnesses and the end are examined and it is judged according to those</w:t>
      </w:r>
      <w:r w:rsidRPr="0011680D">
        <w:t>.</w:t>
      </w:r>
      <w:r>
        <w:t>”</w:t>
      </w:r>
      <w:r>
        <w:rPr>
          <w:rStyle w:val="FootnoteReference"/>
        </w:rPr>
        <w:footnoteReference w:id="206"/>
      </w:r>
    </w:p>
    <w:p w14:paraId="28529390" w14:textId="398FBB1B" w:rsidR="00244FB6" w:rsidRDefault="00244FB6" w:rsidP="00244FB6">
      <w:r>
        <w:t>Once again the text returns on the importance of the two witnesses among the various figures in the geomantic chart, this time explaining how the good or bad significance of these two figures can influence the outcome of the matter asked about. However, according to the text, it is not sufficient to consider the good or bad nature of the two witnesses, because this will also depend on the nature of the figures from which the witnesses are generated: “</w:t>
      </w:r>
      <w:r w:rsidR="003A0ABF" w:rsidRPr="00F86134">
        <w:t>If the witnesses are good, good will come forth about the matter that is inquired about. However, consider this: if those two will come forth from good or bad.</w:t>
      </w:r>
      <w:r w:rsidR="003A0ABF" w:rsidRPr="0092115F">
        <w:t xml:space="preserve"> For the outcomes will be good if they &lt;come&gt; from the good</w:t>
      </w:r>
      <w:r w:rsidR="003A0ABF">
        <w:t>. But if from the bad,</w:t>
      </w:r>
      <w:r w:rsidR="003A0ABF" w:rsidRPr="0092115F">
        <w:t xml:space="preserve"> the opposite</w:t>
      </w:r>
      <w:r w:rsidRPr="007E63A1">
        <w:t>.</w:t>
      </w:r>
      <w:r>
        <w:t>”</w:t>
      </w:r>
      <w:r>
        <w:rPr>
          <w:rStyle w:val="FootnoteReference"/>
        </w:rPr>
        <w:footnoteReference w:id="207"/>
      </w:r>
      <w:r>
        <w:t xml:space="preserve"> </w:t>
      </w:r>
      <w:r w:rsidRPr="00402A31">
        <w:t xml:space="preserve">But </w:t>
      </w:r>
      <w:r>
        <w:t>in regards to</w:t>
      </w:r>
      <w:r w:rsidRPr="00402A31">
        <w:t xml:space="preserve"> the</w:t>
      </w:r>
      <w:r>
        <w:t xml:space="preserve"> positive or negative</w:t>
      </w:r>
      <w:r w:rsidRPr="00402A31">
        <w:t xml:space="preserve"> influence of the witnesses on the outcome of the inquiry</w:t>
      </w:r>
      <w:r>
        <w:t xml:space="preserve">, the </w:t>
      </w:r>
      <w:r w:rsidRPr="00482954">
        <w:rPr>
          <w:i/>
          <w:iCs/>
        </w:rPr>
        <w:t>Liber arenalis scientiae</w:t>
      </w:r>
      <w:r>
        <w:t xml:space="preserve"> presents a very complex way of asserting the influence that the figures used to form the witnesses have on determining the good or bad influence of these figures:</w:t>
      </w:r>
      <w:r w:rsidRPr="00402A31">
        <w:t xml:space="preserve"> it is possible that if a witness is good, although deriving from bad figures, the malice of these can be mitigated by the goodness of the witness and vice versa</w:t>
      </w:r>
      <w:r>
        <w:t xml:space="preserve">: </w:t>
      </w:r>
    </w:p>
    <w:p w14:paraId="02F3D169" w14:textId="77777777" w:rsidR="00244FB6" w:rsidRDefault="00244FB6" w:rsidP="00244FB6"/>
    <w:p w14:paraId="5EB5514E" w14:textId="10AFA20D" w:rsidR="00244FB6" w:rsidRDefault="00F94AED" w:rsidP="00244FB6">
      <w:pPr>
        <w:ind w:left="567" w:firstLine="0"/>
        <w:rPr>
          <w:sz w:val="20"/>
          <w:szCs w:val="20"/>
        </w:rPr>
      </w:pPr>
      <w:r w:rsidRPr="00F94AED">
        <w:rPr>
          <w:sz w:val="20"/>
          <w:szCs w:val="20"/>
        </w:rPr>
        <w:t>But if the aforesaid witnesses have been good and come out of evil, their malice is remitted a little by their goodness, and vice versa. But if the aforesaid witnesses were evil and came out of the evil (</w:t>
      </w:r>
      <w:r w:rsidRPr="00F94AED">
        <w:rPr>
          <w:i/>
          <w:iCs/>
          <w:sz w:val="20"/>
          <w:szCs w:val="20"/>
        </w:rPr>
        <w:t>lacuna</w:t>
      </w:r>
      <w:r w:rsidRPr="00F94AED">
        <w:rPr>
          <w:sz w:val="20"/>
          <w:szCs w:val="20"/>
        </w:rPr>
        <w:t>) from the evil and from the good and vice versa, they will indicate the reverse of the aforesaid, and this, according to those from which they came out, begins well and ends badly, and vice versa</w:t>
      </w:r>
      <w:r w:rsidR="00244FB6" w:rsidRPr="00FB7AE8">
        <w:rPr>
          <w:sz w:val="20"/>
          <w:szCs w:val="20"/>
        </w:rPr>
        <w:t>.</w:t>
      </w:r>
      <w:r w:rsidR="00244FB6">
        <w:rPr>
          <w:rStyle w:val="FootnoteReference"/>
          <w:sz w:val="20"/>
          <w:szCs w:val="20"/>
        </w:rPr>
        <w:footnoteReference w:id="208"/>
      </w:r>
    </w:p>
    <w:p w14:paraId="6CFD04F6" w14:textId="77777777" w:rsidR="00244FB6" w:rsidRDefault="00244FB6" w:rsidP="00244FB6">
      <w:pPr>
        <w:ind w:firstLine="0"/>
      </w:pPr>
    </w:p>
    <w:p w14:paraId="41B44A3A" w14:textId="77777777" w:rsidR="00244FB6" w:rsidRPr="00FB7AE8" w:rsidRDefault="00244FB6" w:rsidP="00244FB6">
      <w:pPr>
        <w:ind w:firstLine="0"/>
      </w:pPr>
      <w:r>
        <w:lastRenderedPageBreak/>
        <w:t>Another aspect that the text takes into consideration is the relationship between the two witnesses in the case that the first is good and the second bad, and vice versa, and how these combinations of good and evil influence the outcome of the matter asked about:</w:t>
      </w:r>
    </w:p>
    <w:p w14:paraId="3C906C76" w14:textId="77777777" w:rsidR="00244FB6" w:rsidRDefault="00244FB6" w:rsidP="00244FB6">
      <w:pPr>
        <w:ind w:firstLine="0"/>
        <w:rPr>
          <w:sz w:val="20"/>
          <w:szCs w:val="20"/>
        </w:rPr>
      </w:pPr>
    </w:p>
    <w:p w14:paraId="0B9DB919" w14:textId="14C94FDC" w:rsidR="00244FB6" w:rsidRPr="00BB694E" w:rsidRDefault="00F94AED" w:rsidP="00244FB6">
      <w:pPr>
        <w:ind w:left="567" w:firstLine="0"/>
        <w:rPr>
          <w:sz w:val="20"/>
          <w:szCs w:val="20"/>
        </w:rPr>
      </w:pPr>
      <w:r w:rsidRPr="00F94AED">
        <w:rPr>
          <w:sz w:val="20"/>
          <w:szCs w:val="20"/>
        </w:rPr>
        <w:t>But if the first witness is good, but the witnesses are bad, the goodness is slightly diminished, but it is not destroyed entirely. However, if bad testimonies or good ones came forth first, malice diverts the goodness of the witnesses first. Nor should this be omitted: that if they have come from good and bad, the sought matter will begin well and end badly. However, if they come from bad and good, it will signify the opposite of what has been said</w:t>
      </w:r>
      <w:r w:rsidR="00244FB6" w:rsidRPr="00AB1315">
        <w:rPr>
          <w:sz w:val="20"/>
          <w:szCs w:val="20"/>
        </w:rPr>
        <w:t>.</w:t>
      </w:r>
      <w:r w:rsidR="00244FB6">
        <w:rPr>
          <w:rStyle w:val="FootnoteReference"/>
          <w:sz w:val="20"/>
          <w:szCs w:val="20"/>
        </w:rPr>
        <w:footnoteReference w:id="209"/>
      </w:r>
    </w:p>
    <w:p w14:paraId="3CD29979" w14:textId="77777777" w:rsidR="00244FB6" w:rsidRDefault="00244FB6" w:rsidP="00244FB6"/>
    <w:p w14:paraId="765682EE" w14:textId="67DFF6C7" w:rsidR="00244FB6" w:rsidRPr="00BB694E" w:rsidRDefault="00244FB6" w:rsidP="00244FB6">
      <w:pPr>
        <w:ind w:firstLine="0"/>
      </w:pPr>
      <w:r>
        <w:t>The same rule of considering the goodness o</w:t>
      </w:r>
      <w:r w:rsidR="00207316">
        <w:t>r</w:t>
      </w:r>
      <w:r>
        <w:t xml:space="preserve"> badness of the figures that originate the one taken into consideration is then also applied to the fifteenth figure, the judge: “</w:t>
      </w:r>
      <w:r w:rsidR="00F94AED" w:rsidRPr="00F86134">
        <w:t>The fifteenth should also be considered: whether it is good or bad, that is</w:t>
      </w:r>
      <w:r w:rsidR="00F94AED">
        <w:t>,</w:t>
      </w:r>
      <w:r w:rsidR="00F94AED" w:rsidRPr="00F86134">
        <w:t xml:space="preserve"> if it emerges from the good or the bad</w:t>
      </w:r>
      <w:r w:rsidR="00F94AED">
        <w:t>,</w:t>
      </w:r>
      <w:r w:rsidR="00F94AED" w:rsidRPr="00F86134">
        <w:t xml:space="preserve"> and from which</w:t>
      </w:r>
      <w:r w:rsidR="00F94AED">
        <w:t>ever</w:t>
      </w:r>
      <w:r w:rsidR="00F94AED" w:rsidRPr="00F86134">
        <w:t xml:space="preserve"> of them</w:t>
      </w:r>
      <w:r w:rsidR="00F94AED">
        <w:t xml:space="preserve"> it emerges </w:t>
      </w:r>
      <w:r w:rsidR="00F94AED" w:rsidRPr="00F86134">
        <w:t xml:space="preserve">you will be able to judge </w:t>
      </w:r>
      <w:r w:rsidR="00F94AED">
        <w:t xml:space="preserve">also </w:t>
      </w:r>
      <w:r w:rsidR="00F94AED" w:rsidRPr="00F86134">
        <w:t>according to the aforesaid reasoning.</w:t>
      </w:r>
      <w:r>
        <w:t>”</w:t>
      </w:r>
      <w:r>
        <w:rPr>
          <w:rStyle w:val="FootnoteReference"/>
        </w:rPr>
        <w:footnoteReference w:id="210"/>
      </w:r>
      <w:r>
        <w:t xml:space="preserve"> Finally, this</w:t>
      </w:r>
      <w:r w:rsidRPr="00402A31">
        <w:t xml:space="preserve"> chapter concludes by </w:t>
      </w:r>
      <w:r>
        <w:t>providing</w:t>
      </w:r>
      <w:r w:rsidRPr="00402A31">
        <w:t xml:space="preserve"> some </w:t>
      </w:r>
      <w:r>
        <w:t>example</w:t>
      </w:r>
      <w:r w:rsidRPr="00402A31">
        <w:t xml:space="preserve"> </w:t>
      </w:r>
      <w:r>
        <w:t>of</w:t>
      </w:r>
      <w:r w:rsidRPr="00402A31">
        <w:t xml:space="preserve"> cases in which the presence of a certain figure in the first house can indicate </w:t>
      </w:r>
      <w:r>
        <w:t>whether</w:t>
      </w:r>
      <w:r w:rsidRPr="00402A31">
        <w:t xml:space="preserve"> the prediction is true or false</w:t>
      </w:r>
      <w:r>
        <w:t>.</w:t>
      </w:r>
      <w:r w:rsidRPr="00402A31">
        <w:t xml:space="preserve"> In the case in which that figure will indicate falsehood, the geomancer will have to form the figure of the superjudge that will then decide the good or bad outcome of the </w:t>
      </w:r>
      <w:r>
        <w:t>matter</w:t>
      </w:r>
      <w:r w:rsidRPr="00402A31">
        <w:t>.</w:t>
      </w:r>
    </w:p>
    <w:p w14:paraId="6FE9EBB4" w14:textId="77777777" w:rsidR="00244FB6" w:rsidRDefault="00244FB6" w:rsidP="00244FB6">
      <w:pPr>
        <w:ind w:firstLine="0"/>
        <w:rPr>
          <w:b/>
          <w:bCs/>
        </w:rPr>
      </w:pPr>
    </w:p>
    <w:p w14:paraId="7C045358" w14:textId="39C1802B" w:rsidR="00244FB6" w:rsidRPr="009F28FF" w:rsidRDefault="00244FB6" w:rsidP="009F28FF">
      <w:pPr>
        <w:pStyle w:val="Heading3"/>
        <w:ind w:firstLine="0"/>
        <w:rPr>
          <w:rFonts w:asciiTheme="majorBidi" w:hAnsiTheme="majorBidi"/>
          <w:b/>
          <w:bCs/>
          <w:color w:val="auto"/>
        </w:rPr>
      </w:pPr>
      <w:bookmarkStart w:id="64" w:name="_Toc165108650"/>
      <w:r w:rsidRPr="009F28FF">
        <w:rPr>
          <w:rFonts w:asciiTheme="majorBidi" w:hAnsiTheme="majorBidi"/>
          <w:b/>
          <w:bCs/>
          <w:color w:val="auto"/>
        </w:rPr>
        <w:t xml:space="preserve">Chapter </w:t>
      </w:r>
      <w:r w:rsidR="00B7722D">
        <w:rPr>
          <w:rFonts w:asciiTheme="majorBidi" w:hAnsiTheme="majorBidi"/>
          <w:b/>
          <w:bCs/>
          <w:color w:val="auto"/>
        </w:rPr>
        <w:t>5</w:t>
      </w:r>
      <w:r w:rsidR="00F05B4E">
        <w:rPr>
          <w:rFonts w:asciiTheme="majorBidi" w:hAnsiTheme="majorBidi"/>
          <w:b/>
          <w:bCs/>
          <w:color w:val="auto"/>
        </w:rPr>
        <w:t>.</w:t>
      </w:r>
      <w:r w:rsidRPr="009F28FF">
        <w:rPr>
          <w:rFonts w:asciiTheme="majorBidi" w:hAnsiTheme="majorBidi"/>
          <w:b/>
          <w:bCs/>
          <w:color w:val="auto"/>
        </w:rPr>
        <w:t xml:space="preserve"> On the rules of finding the intention according to the astrologer Aephata</w:t>
      </w:r>
      <w:bookmarkEnd w:id="64"/>
    </w:p>
    <w:p w14:paraId="68E25C2E" w14:textId="77777777" w:rsidR="00050FD4" w:rsidRPr="00D24AE0" w:rsidRDefault="00050FD4" w:rsidP="00244FB6">
      <w:pPr>
        <w:ind w:firstLine="0"/>
        <w:rPr>
          <w:b/>
          <w:bCs/>
        </w:rPr>
      </w:pPr>
    </w:p>
    <w:p w14:paraId="4CFE5A05" w14:textId="42D71DB5" w:rsidR="00244FB6" w:rsidRDefault="00244FB6" w:rsidP="00244FB6">
      <w:r w:rsidRPr="00402A31">
        <w:lastRenderedPageBreak/>
        <w:t xml:space="preserve">The last chapter of the </w:t>
      </w:r>
      <w:r w:rsidRPr="00402A31">
        <w:rPr>
          <w:i/>
          <w:iCs/>
        </w:rPr>
        <w:t xml:space="preserve">Liber </w:t>
      </w:r>
      <w:r>
        <w:rPr>
          <w:i/>
          <w:iCs/>
        </w:rPr>
        <w:t>arenalis scientiae</w:t>
      </w:r>
      <w:r w:rsidRPr="00402A31">
        <w:t xml:space="preserve"> is once again concerned with the discovery of the</w:t>
      </w:r>
      <w:r>
        <w:t xml:space="preserve"> querent’s</w:t>
      </w:r>
      <w:r w:rsidRPr="00402A31">
        <w:t xml:space="preserve"> intention. The title of the chapter refers to an astrologer named Aephata, a sage in astronomy whose rules for discovering the intention of the inquirer are said to be contained in th</w:t>
      </w:r>
      <w:r>
        <w:t xml:space="preserve">is </w:t>
      </w:r>
      <w:r w:rsidRPr="00402A31">
        <w:t>chapter. The identity of this real or unreal character is not known. These rules are said to have been transmitted from him to other Arab and Egyptian sages.</w:t>
      </w:r>
      <w:r w:rsidRPr="00402A31">
        <w:rPr>
          <w:rStyle w:val="FootnoteReference"/>
        </w:rPr>
        <w:footnoteReference w:id="211"/>
      </w:r>
      <w:r w:rsidRPr="00402A31">
        <w:t xml:space="preserve"> </w:t>
      </w:r>
      <w:r>
        <w:t>According to the text, these rules allow</w:t>
      </w:r>
      <w:r w:rsidR="00EB7261">
        <w:t xml:space="preserve"> one</w:t>
      </w:r>
      <w:r>
        <w:t xml:space="preserve"> to reveal what men wish and what they think, before it is made clear what is held in their hearts.</w:t>
      </w:r>
      <w:r>
        <w:rPr>
          <w:rStyle w:val="FootnoteReference"/>
        </w:rPr>
        <w:footnoteReference w:id="212"/>
      </w:r>
      <w:r>
        <w:t xml:space="preserve"> Despite having announced that an explanation of four rules would follow, the chapter </w:t>
      </w:r>
      <w:r w:rsidRPr="00402A31">
        <w:t xml:space="preserve">instead </w:t>
      </w:r>
      <w:r>
        <w:t xml:space="preserve">contains a </w:t>
      </w:r>
      <w:r w:rsidRPr="00402A31">
        <w:t>description</w:t>
      </w:r>
      <w:r>
        <w:t xml:space="preserve"> of each of the sixteen geomantic figures, that informs the reader on</w:t>
      </w:r>
      <w:r w:rsidRPr="00402A31">
        <w:t xml:space="preserve"> what the intention of the client is and what to tell him based on the appearance of each </w:t>
      </w:r>
      <w:r>
        <w:t>figure in the chart</w:t>
      </w:r>
      <w:r w:rsidR="00E6655E">
        <w:t>.</w:t>
      </w:r>
      <w:r>
        <w:t xml:space="preserve"> </w:t>
      </w:r>
      <w:r w:rsidR="00E6655E">
        <w:t>T</w:t>
      </w:r>
      <w:r>
        <w:t>he two passages that follow report this description for two different geomantic figures:</w:t>
      </w:r>
    </w:p>
    <w:p w14:paraId="54D03FD1" w14:textId="77777777" w:rsidR="00244FB6" w:rsidRDefault="00244FB6" w:rsidP="00244FB6">
      <w:pPr>
        <w:ind w:left="567" w:firstLine="0"/>
      </w:pPr>
    </w:p>
    <w:p w14:paraId="542D1223" w14:textId="5133E4D0" w:rsidR="00244FB6" w:rsidRDefault="00B276A3" w:rsidP="00B276A3">
      <w:pPr>
        <w:ind w:left="567" w:firstLine="0"/>
        <w:rPr>
          <w:sz w:val="20"/>
          <w:szCs w:val="20"/>
        </w:rPr>
      </w:pPr>
      <w:r w:rsidRPr="00B276A3">
        <w:rPr>
          <w:sz w:val="20"/>
          <w:szCs w:val="20"/>
        </w:rPr>
        <w:t xml:space="preserve">On the meaning of </w:t>
      </w:r>
      <w:r w:rsidRPr="00462DBB">
        <w:rPr>
          <w:i/>
          <w:iCs/>
          <w:sz w:val="20"/>
          <w:szCs w:val="20"/>
        </w:rPr>
        <w:t>Fortuna Minor</w:t>
      </w:r>
      <w:r w:rsidRPr="00B276A3">
        <w:rPr>
          <w:sz w:val="20"/>
          <w:szCs w:val="20"/>
        </w:rPr>
        <w:t>. If two odd and two even come out as here (1122), he asks about a journey or a change of house, or from place to place, and there is good in everything. If he says: ‘I do not want to do that which you say,’ say to him ‘You are asking me about a man who went away from you, and you are enquiring about that separation from you, like a woman, or a servant, or an animal, or for the person who will not come back. And you will presently lose something, and the sick person you have with you, is sick in his hands, and the man that went away from you has crossed the sea and he will make a long delay, and everything you ask to obtain comes forth as troublesome to you, and you are in a place in which you are not sure whether the soldiers are with you or are enemies. You must protect your soul</w:t>
      </w:r>
      <w:r>
        <w:rPr>
          <w:sz w:val="20"/>
          <w:szCs w:val="20"/>
        </w:rPr>
        <w:t>.</w:t>
      </w:r>
      <w:r w:rsidRPr="00B276A3">
        <w:rPr>
          <w:sz w:val="20"/>
          <w:szCs w:val="20"/>
        </w:rPr>
        <w:t>’</w:t>
      </w:r>
      <w:r w:rsidR="00244FB6">
        <w:rPr>
          <w:rStyle w:val="FootnoteReference"/>
          <w:sz w:val="20"/>
          <w:szCs w:val="20"/>
        </w:rPr>
        <w:footnoteReference w:id="213"/>
      </w:r>
    </w:p>
    <w:p w14:paraId="601DA10E" w14:textId="77777777" w:rsidR="00244FB6" w:rsidRDefault="00244FB6" w:rsidP="00244FB6">
      <w:pPr>
        <w:ind w:left="567" w:firstLine="0"/>
        <w:rPr>
          <w:sz w:val="20"/>
          <w:szCs w:val="20"/>
        </w:rPr>
      </w:pPr>
    </w:p>
    <w:p w14:paraId="6BB875D8" w14:textId="00FAD709" w:rsidR="00244FB6" w:rsidRDefault="00462DBB" w:rsidP="00244FB6">
      <w:pPr>
        <w:ind w:left="567" w:firstLine="0"/>
        <w:rPr>
          <w:sz w:val="20"/>
          <w:szCs w:val="20"/>
        </w:rPr>
      </w:pPr>
      <w:r w:rsidRPr="00462DBB">
        <w:rPr>
          <w:sz w:val="20"/>
          <w:szCs w:val="20"/>
        </w:rPr>
        <w:lastRenderedPageBreak/>
        <w:t xml:space="preserve">On the meaning of </w:t>
      </w:r>
      <w:r w:rsidRPr="008213A2">
        <w:rPr>
          <w:i/>
          <w:iCs/>
          <w:sz w:val="20"/>
          <w:szCs w:val="20"/>
        </w:rPr>
        <w:t>Caput Altum</w:t>
      </w:r>
      <w:r w:rsidRPr="00462DBB">
        <w:rPr>
          <w:sz w:val="20"/>
          <w:szCs w:val="20"/>
        </w:rPr>
        <w:t>. If this lot falls (1222) he asks on behalf of his father who has gone away from him, or an uncle, or on behalf of a servant that he wants to sell or be separated from; conducting a journey is good, the man who left will come back late, and the thing you want to sell is good, and whatever you ask for, you will obtain quickly. Selling or embarking on a journey is good, and the sick person will move from one place to another and will be cured. The woman will give birth to a daughter, and whatever exits from your hand will not be restored, God knows more than I do</w:t>
      </w:r>
      <w:r w:rsidR="00244FB6" w:rsidRPr="00FC0AB0">
        <w:rPr>
          <w:sz w:val="20"/>
          <w:szCs w:val="20"/>
        </w:rPr>
        <w:t>.</w:t>
      </w:r>
      <w:r w:rsidR="00244FB6">
        <w:rPr>
          <w:rStyle w:val="FootnoteReference"/>
          <w:sz w:val="20"/>
          <w:szCs w:val="20"/>
        </w:rPr>
        <w:footnoteReference w:id="214"/>
      </w:r>
    </w:p>
    <w:p w14:paraId="1E8DBE8E" w14:textId="77777777" w:rsidR="00244FB6" w:rsidRPr="00FC0AB0" w:rsidRDefault="00244FB6" w:rsidP="00244FB6">
      <w:pPr>
        <w:ind w:firstLine="0"/>
        <w:rPr>
          <w:sz w:val="20"/>
          <w:szCs w:val="20"/>
        </w:rPr>
      </w:pPr>
    </w:p>
    <w:p w14:paraId="3ED41465" w14:textId="780BE08E" w:rsidR="00244FB6" w:rsidRPr="00402A31" w:rsidRDefault="00244FB6" w:rsidP="00244FB6">
      <w:pPr>
        <w:ind w:firstLine="0"/>
      </w:pPr>
      <w:r w:rsidRPr="00402A31">
        <w:t>This chapter</w:t>
      </w:r>
      <w:r>
        <w:t xml:space="preserve"> is</w:t>
      </w:r>
      <w:r w:rsidRPr="00402A31">
        <w:t xml:space="preserve"> referred to</w:t>
      </w:r>
      <w:r>
        <w:t xml:space="preserve"> several times in other parts of the </w:t>
      </w:r>
      <w:r w:rsidRPr="006A6AF6">
        <w:rPr>
          <w:i/>
          <w:iCs/>
        </w:rPr>
        <w:t>Liber arenalis scientiae</w:t>
      </w:r>
      <w:r>
        <w:t>,</w:t>
      </w:r>
      <w:r w:rsidRPr="00402A31">
        <w:t xml:space="preserve"> </w:t>
      </w:r>
      <w:r>
        <w:t>where the reader is directed towards the part</w:t>
      </w:r>
      <w:r w:rsidRPr="00402A31">
        <w:t xml:space="preserve"> that says ‘when this </w:t>
      </w:r>
      <w:r w:rsidR="00683347">
        <w:t>lot</w:t>
      </w:r>
      <w:r w:rsidRPr="00402A31">
        <w:t xml:space="preserve"> falls’</w:t>
      </w:r>
      <w:r>
        <w:t xml:space="preserve"> (</w:t>
      </w:r>
      <w:r w:rsidRPr="006A6AF6">
        <w:rPr>
          <w:i/>
          <w:iCs/>
        </w:rPr>
        <w:t>Si ceciderit hec sors</w:t>
      </w:r>
      <w:r>
        <w:t>), where the reader is expected to find the meaning of the querent’s intention by comparing the figures found in a chart with those in this chapter</w:t>
      </w:r>
      <w:r w:rsidRPr="00402A31">
        <w:t xml:space="preserve">. The treatise ends with a list of the sixteen figures </w:t>
      </w:r>
      <w:r w:rsidR="004C2F09">
        <w:t>ordered</w:t>
      </w:r>
      <w:r w:rsidRPr="00402A31">
        <w:t xml:space="preserve"> according to their absolute or moderate goodness, and absolute and moderate badness, which as expressed previously in this chapter, corresponds to the </w:t>
      </w:r>
      <w:r w:rsidRPr="006A6AF6">
        <w:t>incipit</w:t>
      </w:r>
      <w:r w:rsidRPr="00402A31">
        <w:t xml:space="preserve"> of the </w:t>
      </w:r>
      <w:r w:rsidRPr="00402A31">
        <w:rPr>
          <w:i/>
          <w:iCs/>
        </w:rPr>
        <w:t xml:space="preserve">Notandum est quod </w:t>
      </w:r>
      <w:r>
        <w:rPr>
          <w:i/>
          <w:iCs/>
        </w:rPr>
        <w:t>l</w:t>
      </w:r>
      <w:r w:rsidRPr="00402A31">
        <w:rPr>
          <w:i/>
          <w:iCs/>
        </w:rPr>
        <w:t>etitia</w:t>
      </w:r>
      <w:r w:rsidRPr="00402A31">
        <w:t>, contained in the ms. Oxford, BL, Digby 50, ff. 93r-106r.</w:t>
      </w:r>
    </w:p>
    <w:p w14:paraId="691F331E" w14:textId="77777777" w:rsidR="00244FB6" w:rsidRPr="000A23D8" w:rsidRDefault="00244FB6" w:rsidP="00244FB6">
      <w:pPr>
        <w:ind w:firstLine="0"/>
      </w:pPr>
    </w:p>
    <w:p w14:paraId="1D24BBCA" w14:textId="33A0276A" w:rsidR="004804F5" w:rsidRDefault="00244FB6" w:rsidP="00CA4EFE">
      <w:pPr>
        <w:ind w:firstLine="0"/>
      </w:pPr>
      <w:r>
        <w:rPr>
          <w:b/>
          <w:bCs/>
        </w:rPr>
        <w:tab/>
      </w:r>
      <w:r>
        <w:t xml:space="preserve">This study on the treatise </w:t>
      </w:r>
      <w:r w:rsidRPr="003F31AD">
        <w:rPr>
          <w:i/>
          <w:iCs/>
        </w:rPr>
        <w:t>Liber arenalis scientiae</w:t>
      </w:r>
      <w:r>
        <w:t xml:space="preserve"> has highlighted the complexity of its transmission. While all the manuscripts taken into consideration bear witness to the existence of an early geomantic treatise translated into Latin by Plato of Tivoli, none of the extant copies bearing this attribution contain such a treatise. Rather, they all contain compilations of material dealing with geomancy source</w:t>
      </w:r>
      <w:r w:rsidR="00890076">
        <w:t>d</w:t>
      </w:r>
      <w:r>
        <w:t xml:space="preserve"> from different texts. Nevertheless, this does not undermine the importance of the </w:t>
      </w:r>
      <w:r w:rsidRPr="003F31AD">
        <w:rPr>
          <w:i/>
          <w:iCs/>
        </w:rPr>
        <w:t>Liber arenalis scientiae</w:t>
      </w:r>
      <w:r>
        <w:t xml:space="preserve"> as a witness of the transmission of geomantic wisdom in the late medieval and early modern times. In particular, the exemplar contained in the manuscript </w:t>
      </w:r>
      <w:r w:rsidRPr="002B2B82">
        <w:t>Cambridge, Magdalen Coll., F.4.27</w:t>
      </w:r>
      <w:r>
        <w:t xml:space="preserve"> contributes to reinforcing Palazzo’s theory on the production of geomantic treatises and anthologies in </w:t>
      </w:r>
      <w:r w:rsidR="0087252B">
        <w:lastRenderedPageBreak/>
        <w:t xml:space="preserve">medieval Europe </w:t>
      </w:r>
      <w:r>
        <w:t xml:space="preserve">as a cohesive body of work. The text preserved in this fourteenth-century codex is a geomantic anthology that gathers material from different sources and deals with a specific aspect of the geomantic technique: it illustrates methodologies to reveal the querent’s hidden intention, the question that has prompted him or her to seek geomantic guidance, through the reading of the geomantic chart. This short treatise on discovering the querent’s intention is </w:t>
      </w:r>
      <w:r w:rsidR="00CA4EFE">
        <w:t xml:space="preserve">an integral part of the miscellany in which it is found, containing some of the most important geomantic treatises of the time, together with other tracts explicating different aspects of the geomantic technique. Therefore, the Cambridge manuscript </w:t>
      </w:r>
      <w:r>
        <w:t>in its entirety offer a profound and detailed account on the various aspects of the geomantic art</w:t>
      </w:r>
      <w:r w:rsidR="00CA4EFE">
        <w:t>, a text that can function as a comprehensive guide for learning and mastering the geomantic art</w:t>
      </w:r>
      <w:r>
        <w:t xml:space="preserve">. </w:t>
      </w:r>
    </w:p>
    <w:p w14:paraId="2C7698EF" w14:textId="29DDB7FB" w:rsidR="00244FB6" w:rsidRDefault="00244FB6" w:rsidP="00317F1A">
      <w:r>
        <w:t xml:space="preserve">The first portion of </w:t>
      </w:r>
      <w:r w:rsidR="00CA4EFE">
        <w:t xml:space="preserve">the </w:t>
      </w:r>
      <w:r w:rsidR="00CA4EFE" w:rsidRPr="00CA4EFE">
        <w:rPr>
          <w:i/>
          <w:iCs/>
        </w:rPr>
        <w:t>Liber arenalis scientiae</w:t>
      </w:r>
      <w:r>
        <w:t xml:space="preserve">, containing a list of the sixteen geomantic figures, and that utilises a unique and obscure nomenclature, is common also to the manuscripts </w:t>
      </w:r>
      <w:r w:rsidRPr="008921CD">
        <w:t xml:space="preserve">Oxford, Bodleian Library, Rawlinson D.1227 </w:t>
      </w:r>
      <w:r>
        <w:t>and</w:t>
      </w:r>
      <w:r w:rsidRPr="008921CD">
        <w:t xml:space="preserve"> Augsburg, Staats- und Stadtbibliothek, 2° Cod. 211</w:t>
      </w:r>
      <w:r>
        <w:t xml:space="preserve">. It is possible that this first </w:t>
      </w:r>
      <w:r w:rsidR="00405898">
        <w:t>section</w:t>
      </w:r>
      <w:r>
        <w:t xml:space="preserve"> may derive from a translation of a text titled ‘The Book of the Science of the Sand’ made by Plato of Tivoli in the twelfth century. Nevertheless, the evidence is support of this hypothesis is too scant to arrive to any conclusion on the origins of this text, and the shortness of this section does not allow to make a comparison between the terminology used by Plato in other translations and the one used in th</w:t>
      </w:r>
      <w:r w:rsidR="009661CD">
        <w:t xml:space="preserve">e </w:t>
      </w:r>
      <w:r w:rsidR="009661CD" w:rsidRPr="009661CD">
        <w:rPr>
          <w:i/>
          <w:iCs/>
        </w:rPr>
        <w:t>Liber arenalis scientiae</w:t>
      </w:r>
      <w:r>
        <w:t xml:space="preserve">. Concerning the compiler of this geomantic anthology attributed to Plato of Tivoli, it is clear that he did not merely merge different material together, but he re-elaborated it to make it fit into the topic discussed in this work, the discovery of the querent’s intentions. This emerges clearly comparing the text in </w:t>
      </w:r>
      <w:r w:rsidRPr="002B2B82">
        <w:t>Cambridge, Magdalen Coll., F.4.27</w:t>
      </w:r>
      <w:r>
        <w:t xml:space="preserve"> with the anonymous </w:t>
      </w:r>
      <w:r w:rsidRPr="002D401A">
        <w:rPr>
          <w:i/>
          <w:iCs/>
        </w:rPr>
        <w:t>Notandum est quod laetitia</w:t>
      </w:r>
      <w:r w:rsidRPr="002D401A">
        <w:t xml:space="preserve">, </w:t>
      </w:r>
      <w:r>
        <w:t xml:space="preserve">in the twelfth-century manuscript </w:t>
      </w:r>
      <w:r w:rsidRPr="00402A31">
        <w:t>Oxford, BL, Digby 50</w:t>
      </w:r>
      <w:r>
        <w:t xml:space="preserve">. From this juxtaposition appears that while the </w:t>
      </w:r>
      <w:r w:rsidRPr="002D401A">
        <w:rPr>
          <w:i/>
          <w:iCs/>
        </w:rPr>
        <w:t>Notandum est</w:t>
      </w:r>
      <w:r>
        <w:t xml:space="preserve"> does not contain any mention of the topic of human intentions, expensive portions of this text are used </w:t>
      </w:r>
      <w:r>
        <w:lastRenderedPageBreak/>
        <w:t xml:space="preserve">in the </w:t>
      </w:r>
      <w:r w:rsidRPr="002D401A">
        <w:rPr>
          <w:i/>
          <w:iCs/>
        </w:rPr>
        <w:t>Liber arenalis scientiae</w:t>
      </w:r>
      <w:r>
        <w:t xml:space="preserve"> to illustrate the process of discovery of human thoughts through the geomantic technique. As preserved in the Cambridge codex, the treatise attributed to Plato constitutes a</w:t>
      </w:r>
      <w:r w:rsidR="00A27115">
        <w:t xml:space="preserve"> unique contribution </w:t>
      </w:r>
      <w:r>
        <w:t xml:space="preserve">in the </w:t>
      </w:r>
      <w:r w:rsidR="0087252B">
        <w:t>European</w:t>
      </w:r>
      <w:r>
        <w:t xml:space="preserve"> geomantic production, as it is – to my knowledge – the only compilation specifically dedicated to expounding th</w:t>
      </w:r>
      <w:r w:rsidR="00AF5B59">
        <w:t xml:space="preserve">is specific </w:t>
      </w:r>
      <w:r>
        <w:t>aspect of the geomancy</w:t>
      </w:r>
      <w:r w:rsidR="00AF5B59">
        <w:t xml:space="preserve"> technique</w:t>
      </w:r>
      <w:r>
        <w:t>, and thus offer the perfect case study to investigate the role of human intentions in this form of predictions.</w:t>
      </w:r>
    </w:p>
    <w:p w14:paraId="7C51AF82" w14:textId="653DB6C8" w:rsidR="00BF3D96" w:rsidRDefault="00BF3D96" w:rsidP="00BF3D96">
      <w:r>
        <w:br w:type="page"/>
      </w:r>
    </w:p>
    <w:p w14:paraId="00B7A48B" w14:textId="5383AA9C" w:rsidR="00244FB6" w:rsidRPr="009F28FF" w:rsidRDefault="00244FB6" w:rsidP="009F28FF">
      <w:pPr>
        <w:pStyle w:val="Heading1"/>
        <w:ind w:firstLine="0"/>
        <w:rPr>
          <w:rFonts w:asciiTheme="majorBidi" w:hAnsiTheme="majorBidi"/>
          <w:color w:val="auto"/>
          <w:sz w:val="24"/>
          <w:szCs w:val="24"/>
        </w:rPr>
      </w:pPr>
      <w:bookmarkStart w:id="65" w:name="_Toc165108651"/>
      <w:r w:rsidRPr="009F28FF">
        <w:rPr>
          <w:rFonts w:asciiTheme="majorBidi" w:hAnsiTheme="majorBidi"/>
          <w:color w:val="auto"/>
          <w:sz w:val="24"/>
          <w:szCs w:val="24"/>
        </w:rPr>
        <w:lastRenderedPageBreak/>
        <w:t xml:space="preserve">III. </w:t>
      </w:r>
      <w:r w:rsidR="004D3A8D" w:rsidRPr="009F28FF">
        <w:rPr>
          <w:rFonts w:asciiTheme="majorBidi" w:hAnsiTheme="majorBidi"/>
          <w:color w:val="auto"/>
          <w:sz w:val="24"/>
          <w:szCs w:val="24"/>
        </w:rPr>
        <w:t>AS ABOVE SO BELOW: GEOMANCY AND THE STARS</w:t>
      </w:r>
      <w:bookmarkEnd w:id="65"/>
    </w:p>
    <w:p w14:paraId="20301561" w14:textId="77777777" w:rsidR="00244FB6" w:rsidRDefault="00244FB6" w:rsidP="00244FB6">
      <w:pPr>
        <w:ind w:firstLine="0"/>
      </w:pPr>
    </w:p>
    <w:p w14:paraId="6FB0FC82" w14:textId="14394924" w:rsidR="00244FB6" w:rsidRDefault="007669BF" w:rsidP="00563DD1">
      <w:r>
        <w:t>The previous chapter of this thesis has delved into</w:t>
      </w:r>
      <w:r w:rsidR="00244FB6">
        <w:t xml:space="preserve"> the examination of </w:t>
      </w:r>
      <w:r w:rsidR="00175D1D">
        <w:t>Plato of Tivoli’s</w:t>
      </w:r>
      <w:r w:rsidR="00244FB6" w:rsidRPr="00C41E89">
        <w:rPr>
          <w:i/>
          <w:iCs/>
        </w:rPr>
        <w:t xml:space="preserve"> Liber </w:t>
      </w:r>
      <w:r w:rsidR="000444E0">
        <w:rPr>
          <w:i/>
          <w:iCs/>
        </w:rPr>
        <w:t>a</w:t>
      </w:r>
      <w:r w:rsidR="00244FB6" w:rsidRPr="00C41E89">
        <w:rPr>
          <w:i/>
          <w:iCs/>
        </w:rPr>
        <w:t xml:space="preserve">renalis </w:t>
      </w:r>
      <w:r w:rsidR="000444E0">
        <w:rPr>
          <w:i/>
          <w:iCs/>
        </w:rPr>
        <w:t>s</w:t>
      </w:r>
      <w:r w:rsidR="00244FB6" w:rsidRPr="00C41E89">
        <w:rPr>
          <w:i/>
          <w:iCs/>
        </w:rPr>
        <w:t>cientiae</w:t>
      </w:r>
      <w:r w:rsidR="00244FB6">
        <w:t xml:space="preserve">. Plato’s work centres on the geomancer’s </w:t>
      </w:r>
      <w:r w:rsidR="002152D8">
        <w:t>expertise</w:t>
      </w:r>
      <w:r w:rsidR="00244FB6">
        <w:t xml:space="preserve"> in discovering the hidden intentions of the querent, thus gaining insights into their innermost thoughts and desires. Medieval authors held the conviction that the geomancer’s ability to unveil the concealed wishes and cogitations residing within the human soul hinged upon the interrelation that they saw between the stars, the human soul, and the </w:t>
      </w:r>
      <w:r>
        <w:t xml:space="preserve">sixteen </w:t>
      </w:r>
      <w:r w:rsidR="00244FB6">
        <w:t xml:space="preserve">geomantic figures. </w:t>
      </w:r>
      <w:r w:rsidR="00893E3A">
        <w:t>This chapter and the one that will follow</w:t>
      </w:r>
      <w:r w:rsidR="00244FB6">
        <w:t xml:space="preserve"> are dedicated to unravelling this profound connection. In comprehending the intricate relationship between the geomantic figures and the human soul, it becomes imperative to elucidate the link, frequently </w:t>
      </w:r>
      <w:r w:rsidR="00563DD1">
        <w:t xml:space="preserve">illustrated </w:t>
      </w:r>
      <w:r w:rsidR="00244FB6">
        <w:t xml:space="preserve">in geomantic texts, between the geomantic figures and the celestial bodies. </w:t>
      </w:r>
      <w:r w:rsidR="002152D8">
        <w:t>Only</w:t>
      </w:r>
      <w:r w:rsidR="00244FB6">
        <w:t xml:space="preserve"> by apprehending geomancy as a practice that elucidates and embraces the profound interconnection between the microcosm and macrocosm, as well as the sublunary realm and the celestial spheres, can the exploration of the human soul within the context of th</w:t>
      </w:r>
      <w:r w:rsidR="00563DD1">
        <w:t>is</w:t>
      </w:r>
      <w:r w:rsidR="00244FB6">
        <w:t xml:space="preserve"> predictive art attain coherence and significance.</w:t>
      </w:r>
    </w:p>
    <w:p w14:paraId="73D3FD7F" w14:textId="611CDC65" w:rsidR="00244FB6" w:rsidRPr="00C41E89" w:rsidRDefault="00244FB6" w:rsidP="00244FB6">
      <w:r w:rsidRPr="002D4A0A">
        <w:t xml:space="preserve">Medieval society was </w:t>
      </w:r>
      <w:r w:rsidR="00536CED" w:rsidRPr="002D4A0A">
        <w:t>aware</w:t>
      </w:r>
      <w:r w:rsidRPr="002D4A0A">
        <w:t xml:space="preserve"> of the association between the stars and the geomantic figures.</w:t>
      </w:r>
      <w:r>
        <w:t xml:space="preserve"> This awareness is evident in the literary references to geomancy </w:t>
      </w:r>
      <w:r w:rsidR="00C027CC">
        <w:t>previously analysed, such as t</w:t>
      </w:r>
      <w:r w:rsidR="007C7E9E">
        <w:t>he works of</w:t>
      </w:r>
      <w:r w:rsidR="00C027CC">
        <w:t xml:space="preserve"> </w:t>
      </w:r>
      <w:r>
        <w:t>Dante</w:t>
      </w:r>
      <w:r w:rsidR="00C027CC">
        <w:t xml:space="preserve"> and</w:t>
      </w:r>
      <w:r>
        <w:t xml:space="preserve"> Chaucer, where the geomantic figures are consistently positioned in the heavens rather than on Earth</w:t>
      </w:r>
      <w:r w:rsidR="00C027CC">
        <w:t xml:space="preserve"> </w:t>
      </w:r>
      <w:r>
        <w:t>as signs traced in the sand. Scholarly literature has frequently addressed the interplay between astrology and geomancy. This chapter seeks to shed light on certain aspects of this matter, thereby initiating a discussion on the intricate relationship between the human soul</w:t>
      </w:r>
      <w:r w:rsidR="007E0AD7">
        <w:t>,</w:t>
      </w:r>
      <w:r>
        <w:t xml:space="preserve"> the geomantic figures</w:t>
      </w:r>
      <w:r w:rsidR="007E0AD7">
        <w:t>, and the celestial bodies</w:t>
      </w:r>
      <w:r>
        <w:t xml:space="preserve">. </w:t>
      </w:r>
      <w:r w:rsidR="005D18B1">
        <w:t>T</w:t>
      </w:r>
      <w:r>
        <w:t xml:space="preserve">his relationship finds itself embroiled within the broader medieval discourse concerning the delicate balance between human volition and astral determinism. </w:t>
      </w:r>
      <w:r w:rsidR="00186BC8">
        <w:t>T</w:t>
      </w:r>
      <w:r>
        <w:t xml:space="preserve">he principal objectives of </w:t>
      </w:r>
      <w:r>
        <w:lastRenderedPageBreak/>
        <w:t>this chapter are threefold: firstly, to establish the position of geomancy within the medieval cosmological framework and comprehend its functional significance therein; secondly, to explicate the dynamic interrelation between geomancy and astrology; and thirdly, to explore the intricate connections between geomantic figures and celestial configurations. Through this exploration, the chapter aims to provide a comprehensive understanding of the profound nexus between geomancy and the cosmic order</w:t>
      </w:r>
      <w:r w:rsidR="00186BC8">
        <w:t>.</w:t>
      </w:r>
    </w:p>
    <w:p w14:paraId="26B0F9E2" w14:textId="77777777" w:rsidR="00244FB6" w:rsidRDefault="00244FB6" w:rsidP="00244FB6">
      <w:pPr>
        <w:ind w:firstLine="0"/>
      </w:pPr>
    </w:p>
    <w:p w14:paraId="6E6F199B" w14:textId="34F68866" w:rsidR="00244FB6" w:rsidRPr="009F28FF" w:rsidRDefault="00244FB6" w:rsidP="009F28FF">
      <w:pPr>
        <w:pStyle w:val="Heading2"/>
        <w:ind w:firstLine="0"/>
        <w:rPr>
          <w:rFonts w:asciiTheme="majorBidi" w:hAnsiTheme="majorBidi"/>
          <w:color w:val="auto"/>
          <w:sz w:val="20"/>
          <w:szCs w:val="20"/>
        </w:rPr>
      </w:pPr>
      <w:bookmarkStart w:id="66" w:name="_Toc165108652"/>
      <w:r w:rsidRPr="009F28FF">
        <w:rPr>
          <w:rFonts w:asciiTheme="majorBidi" w:hAnsiTheme="majorBidi"/>
          <w:color w:val="auto"/>
          <w:sz w:val="20"/>
          <w:szCs w:val="20"/>
        </w:rPr>
        <w:t>III.</w:t>
      </w:r>
      <w:r w:rsidR="0018056F">
        <w:rPr>
          <w:rFonts w:asciiTheme="majorBidi" w:hAnsiTheme="majorBidi"/>
          <w:color w:val="auto"/>
          <w:sz w:val="20"/>
          <w:szCs w:val="20"/>
        </w:rPr>
        <w:t>1</w:t>
      </w:r>
      <w:r w:rsidRPr="009F28FF">
        <w:rPr>
          <w:rFonts w:asciiTheme="majorBidi" w:hAnsiTheme="majorBidi"/>
          <w:color w:val="auto"/>
          <w:sz w:val="20"/>
          <w:szCs w:val="20"/>
        </w:rPr>
        <w:t xml:space="preserve"> THE SCIENCE OF THE SAND AND THE SCIENCE OF THE STARS</w:t>
      </w:r>
      <w:bookmarkEnd w:id="66"/>
    </w:p>
    <w:p w14:paraId="37364C97" w14:textId="77777777" w:rsidR="00244FB6" w:rsidRDefault="00244FB6" w:rsidP="00244FB6">
      <w:pPr>
        <w:ind w:firstLine="0"/>
      </w:pPr>
    </w:p>
    <w:p w14:paraId="39250B4E" w14:textId="3151D1AF" w:rsidR="00244FB6" w:rsidRDefault="00244FB6" w:rsidP="00244FB6">
      <w:pPr>
        <w:ind w:firstLine="0"/>
      </w:pPr>
      <w:r>
        <w:tab/>
      </w:r>
      <w:r w:rsidR="000A583E">
        <w:t>M</w:t>
      </w:r>
      <w:r w:rsidRPr="00186339">
        <w:t xml:space="preserve">edieval texts on geomancy consistently grappled with the interplay between geomancy and astrology, portraying geomancy as a </w:t>
      </w:r>
      <w:r>
        <w:t>‘daughter’</w:t>
      </w:r>
      <w:r w:rsidRPr="00186339">
        <w:t xml:space="preserve"> discipline </w:t>
      </w:r>
      <w:r w:rsidR="006061A8">
        <w:t>to</w:t>
      </w:r>
      <w:r w:rsidRPr="00186339">
        <w:t xml:space="preserve"> the science of </w:t>
      </w:r>
      <w:r>
        <w:t>the stars.</w:t>
      </w:r>
      <w:r>
        <w:rPr>
          <w:rStyle w:val="FootnoteReference"/>
        </w:rPr>
        <w:footnoteReference w:id="215"/>
      </w:r>
      <w:r>
        <w:t xml:space="preserve"> Indeed, it was occasionally referred to as ‘terrestrial astrology’(</w:t>
      </w:r>
      <w:r w:rsidRPr="0033439F">
        <w:rPr>
          <w:i/>
          <w:iCs/>
        </w:rPr>
        <w:t>astrologia terrestris</w:t>
      </w:r>
      <w:r>
        <w:t>) or ‘brief astrology’ (</w:t>
      </w:r>
      <w:r w:rsidRPr="0033439F">
        <w:rPr>
          <w:i/>
          <w:iCs/>
        </w:rPr>
        <w:t>astrologia brevis</w:t>
      </w:r>
      <w:r>
        <w:t>). T</w:t>
      </w:r>
      <w:r w:rsidRPr="00186339">
        <w:t>he emphasis on this linkage served a twofold purpose: first, to confer a more elevated status upon geomancy as a science by designating it a subsidiary of astrology; and second, to distance geomancy from the realm of diverse divinatory practices</w:t>
      </w:r>
      <w:r w:rsidR="00F019CA">
        <w:t xml:space="preserve"> </w:t>
      </w:r>
      <w:r w:rsidRPr="00186339">
        <w:t xml:space="preserve">and magical arts </w:t>
      </w:r>
      <w:r>
        <w:t xml:space="preserve">to which </w:t>
      </w:r>
      <w:r w:rsidR="00BB3E8C">
        <w:t>it</w:t>
      </w:r>
      <w:r>
        <w:t xml:space="preserve"> was often associated</w:t>
      </w:r>
      <w:r w:rsidRPr="00186339">
        <w:t xml:space="preserve">. Notably, in the hierarchical arrangement of medieval sciences, the investigation into the movements of </w:t>
      </w:r>
      <w:r w:rsidR="00F030FE">
        <w:t xml:space="preserve">the </w:t>
      </w:r>
      <w:r w:rsidRPr="00186339">
        <w:t>celestial spheres</w:t>
      </w:r>
      <w:r w:rsidR="00F030FE">
        <w:t xml:space="preserve"> and their influences upon Earth</w:t>
      </w:r>
      <w:r w:rsidRPr="00186339">
        <w:t xml:space="preserve"> held a preeminent position.</w:t>
      </w:r>
      <w:r>
        <w:t xml:space="preserve"> </w:t>
      </w:r>
      <w:r w:rsidRPr="005A2890">
        <w:t>However, the association between geomancy and astrology was not confined to mere formal classification.</w:t>
      </w:r>
      <w:r>
        <w:t xml:space="preserve"> As previously mentioned, there exist instances of works produced in late medieval Europe, that alluded to the geomantic figures as being found in the heavens, akin constellations, rather than on Earth. </w:t>
      </w:r>
      <w:r w:rsidRPr="001C5040">
        <w:t xml:space="preserve">This observation compellingly suggests that during the medieval </w:t>
      </w:r>
      <w:r w:rsidR="00C3252C">
        <w:t>period</w:t>
      </w:r>
      <w:r w:rsidRPr="001C5040">
        <w:t>, the correspondence between celestial imagery and geomantic figures was widely acknowledged and well-established.</w:t>
      </w:r>
    </w:p>
    <w:p w14:paraId="5D2F8FFE" w14:textId="7C577B23" w:rsidR="00244FB6" w:rsidRDefault="00244FB6" w:rsidP="00244FB6">
      <w:pPr>
        <w:ind w:firstLine="0"/>
      </w:pPr>
      <w:r>
        <w:lastRenderedPageBreak/>
        <w:tab/>
      </w:r>
      <w:r w:rsidRPr="005A2890">
        <w:t xml:space="preserve">However, the connection between geomancy and astrology transcends the examination of the visual resemblance between the figures inscribed in the sand and those </w:t>
      </w:r>
      <w:r w:rsidR="00DB5321">
        <w:t>observable</w:t>
      </w:r>
      <w:r w:rsidRPr="005A2890">
        <w:t xml:space="preserve"> in the </w:t>
      </w:r>
      <w:r w:rsidR="00DB5321">
        <w:t>heavens</w:t>
      </w:r>
      <w:r w:rsidRPr="005A2890">
        <w:t>. Rather, the very essence of the geomantic process is imbued with astrological e</w:t>
      </w:r>
      <w:r>
        <w:t>lements</w:t>
      </w:r>
      <w:r w:rsidRPr="005A2890">
        <w:t>, intrinsically reliant on the celestial spheres</w:t>
      </w:r>
      <w:r>
        <w:t>’</w:t>
      </w:r>
      <w:r w:rsidRPr="005A2890">
        <w:t xml:space="preserve"> perpetual motion. The conviction that the geomantic figures originated as a direct consequence of celestial movements finds recurrent expression in the prologues of numerous</w:t>
      </w:r>
      <w:r w:rsidR="00DC2E92">
        <w:t xml:space="preserve"> geomantic</w:t>
      </w:r>
      <w:r w:rsidRPr="005A2890">
        <w:t xml:space="preserve"> treatises. A</w:t>
      </w:r>
      <w:r w:rsidR="00171432">
        <w:t xml:space="preserve">n </w:t>
      </w:r>
      <w:r w:rsidRPr="005A2890">
        <w:t>illustration of this notion is evident in a work on geomancy attributed to Pietro d’Abano (c. 1257-1316), philosopher</w:t>
      </w:r>
      <w:r w:rsidR="00B7561A">
        <w:t xml:space="preserve">, </w:t>
      </w:r>
      <w:r w:rsidRPr="005A2890">
        <w:t>astrologer</w:t>
      </w:r>
      <w:r w:rsidR="00B7561A">
        <w:t>, and teacher of</w:t>
      </w:r>
      <w:r w:rsidRPr="005A2890">
        <w:t xml:space="preserve"> medicine at the University of Padua. The introductory lines of </w:t>
      </w:r>
      <w:r>
        <w:t xml:space="preserve">this </w:t>
      </w:r>
      <w:r w:rsidRPr="005A2890">
        <w:t xml:space="preserve">book </w:t>
      </w:r>
      <w:r w:rsidR="00B7561A" w:rsidRPr="005A2890">
        <w:t>declare</w:t>
      </w:r>
      <w:r w:rsidRPr="005A2890">
        <w:t>:</w:t>
      </w:r>
    </w:p>
    <w:p w14:paraId="04B3E941" w14:textId="77777777" w:rsidR="00244FB6" w:rsidRDefault="00244FB6" w:rsidP="00244FB6">
      <w:pPr>
        <w:ind w:firstLine="0"/>
      </w:pPr>
    </w:p>
    <w:p w14:paraId="05081E43" w14:textId="77777777" w:rsidR="00244FB6" w:rsidRDefault="00244FB6" w:rsidP="00244FB6">
      <w:pPr>
        <w:ind w:left="567" w:firstLine="0"/>
        <w:rPr>
          <w:sz w:val="20"/>
          <w:szCs w:val="20"/>
        </w:rPr>
      </w:pPr>
      <w:r w:rsidRPr="0052727B">
        <w:rPr>
          <w:sz w:val="20"/>
          <w:szCs w:val="20"/>
        </w:rPr>
        <w:t>Geomancy is none other than a</w:t>
      </w:r>
      <w:r>
        <w:rPr>
          <w:sz w:val="20"/>
          <w:szCs w:val="20"/>
        </w:rPr>
        <w:t xml:space="preserve"> true</w:t>
      </w:r>
      <w:r w:rsidRPr="0052727B">
        <w:rPr>
          <w:sz w:val="20"/>
          <w:szCs w:val="20"/>
        </w:rPr>
        <w:t xml:space="preserve"> vicarious science, and subordinated to astrology; through which one makes known the end and the effect of things, which one has to operate with the help of celestial influences</w:t>
      </w:r>
      <w:r>
        <w:rPr>
          <w:sz w:val="20"/>
          <w:szCs w:val="20"/>
        </w:rPr>
        <w:t>,</w:t>
      </w:r>
      <w:r w:rsidRPr="0052727B">
        <w:rPr>
          <w:sz w:val="20"/>
          <w:szCs w:val="20"/>
        </w:rPr>
        <w:t xml:space="preserve"> without the means of which no true judgment can be reduced to perfect knowledge</w:t>
      </w:r>
      <w:r>
        <w:rPr>
          <w:sz w:val="20"/>
          <w:szCs w:val="20"/>
        </w:rPr>
        <w:t>.</w:t>
      </w:r>
      <w:r>
        <w:rPr>
          <w:rStyle w:val="FootnoteReference"/>
          <w:sz w:val="20"/>
          <w:szCs w:val="20"/>
        </w:rPr>
        <w:footnoteReference w:id="216"/>
      </w:r>
    </w:p>
    <w:p w14:paraId="237D93EF" w14:textId="77777777" w:rsidR="00244FB6" w:rsidRDefault="00244FB6" w:rsidP="00244FB6">
      <w:pPr>
        <w:ind w:firstLine="0"/>
        <w:rPr>
          <w:sz w:val="20"/>
          <w:szCs w:val="20"/>
        </w:rPr>
      </w:pPr>
    </w:p>
    <w:p w14:paraId="23A0F604" w14:textId="784BC5E5" w:rsidR="00244FB6" w:rsidRDefault="00244FB6" w:rsidP="00244FB6">
      <w:pPr>
        <w:ind w:firstLine="0"/>
      </w:pPr>
      <w:r>
        <w:t>Thus, according to d’Abano</w:t>
      </w:r>
      <w:r w:rsidR="00A82409">
        <w:t>’s</w:t>
      </w:r>
      <w:r w:rsidR="00626DC6">
        <w:t xml:space="preserve"> text</w:t>
      </w:r>
      <w:r>
        <w:t xml:space="preserve">, the geomantic prediction is inextricably connected to the celestial </w:t>
      </w:r>
      <w:r w:rsidR="00626DC6">
        <w:t>influxes</w:t>
      </w:r>
      <w:r>
        <w:t xml:space="preserve">. Furthermore, the text explains how the hand of the geomancer, while drawing the </w:t>
      </w:r>
      <w:r w:rsidR="002F2BE4">
        <w:t>points</w:t>
      </w:r>
      <w:r>
        <w:t xml:space="preserve"> that form the sixteen figures, regardless of the material used in the practice, is always guided by the celestial virtue:</w:t>
      </w:r>
    </w:p>
    <w:p w14:paraId="710AC826" w14:textId="77777777" w:rsidR="00244FB6" w:rsidRDefault="00244FB6" w:rsidP="00244FB6">
      <w:pPr>
        <w:ind w:firstLine="0"/>
      </w:pPr>
    </w:p>
    <w:p w14:paraId="45AD4BB2" w14:textId="47B05321" w:rsidR="00244FB6" w:rsidRDefault="00244FB6" w:rsidP="00244FB6">
      <w:pPr>
        <w:ind w:left="567" w:firstLine="0"/>
        <w:rPr>
          <w:sz w:val="20"/>
          <w:szCs w:val="20"/>
        </w:rPr>
      </w:pPr>
      <w:r>
        <w:rPr>
          <w:sz w:val="20"/>
          <w:szCs w:val="20"/>
        </w:rPr>
        <w:t>[…] t</w:t>
      </w:r>
      <w:r w:rsidRPr="00B66690">
        <w:rPr>
          <w:sz w:val="20"/>
          <w:szCs w:val="20"/>
        </w:rPr>
        <w:t xml:space="preserve">his divination used to be made on the ground, in the open air: but then this combination of </w:t>
      </w:r>
      <w:r w:rsidR="002F2BE4">
        <w:rPr>
          <w:sz w:val="20"/>
          <w:szCs w:val="20"/>
        </w:rPr>
        <w:t>points</w:t>
      </w:r>
      <w:r w:rsidRPr="00B66690">
        <w:rPr>
          <w:sz w:val="20"/>
          <w:szCs w:val="20"/>
        </w:rPr>
        <w:t xml:space="preserve"> was transferred to paper and ink, the expert </w:t>
      </w:r>
      <w:r>
        <w:rPr>
          <w:sz w:val="20"/>
          <w:szCs w:val="20"/>
        </w:rPr>
        <w:t>G</w:t>
      </w:r>
      <w:r w:rsidRPr="00B66690">
        <w:rPr>
          <w:sz w:val="20"/>
          <w:szCs w:val="20"/>
        </w:rPr>
        <w:t>eomancers judg</w:t>
      </w:r>
      <w:r>
        <w:rPr>
          <w:sz w:val="20"/>
          <w:szCs w:val="20"/>
        </w:rPr>
        <w:t>ing</w:t>
      </w:r>
      <w:r w:rsidRPr="00B66690">
        <w:rPr>
          <w:sz w:val="20"/>
          <w:szCs w:val="20"/>
        </w:rPr>
        <w:t xml:space="preserve"> that the celestial influences can descend through </w:t>
      </w:r>
      <w:r>
        <w:rPr>
          <w:sz w:val="20"/>
          <w:szCs w:val="20"/>
        </w:rPr>
        <w:t>everything;</w:t>
      </w:r>
      <w:r w:rsidRPr="00B66690">
        <w:rPr>
          <w:sz w:val="20"/>
          <w:szCs w:val="20"/>
        </w:rPr>
        <w:t xml:space="preserve"> and these </w:t>
      </w:r>
      <w:r w:rsidR="002F2BE4">
        <w:rPr>
          <w:sz w:val="20"/>
          <w:szCs w:val="20"/>
        </w:rPr>
        <w:t>points</w:t>
      </w:r>
      <w:r w:rsidRPr="00B66690">
        <w:rPr>
          <w:sz w:val="20"/>
          <w:szCs w:val="20"/>
        </w:rPr>
        <w:t xml:space="preserve"> must be formed […] according to &lt;the fact&gt; that the hand of the </w:t>
      </w:r>
      <w:r w:rsidRPr="00B66690">
        <w:rPr>
          <w:sz w:val="20"/>
          <w:szCs w:val="20"/>
        </w:rPr>
        <w:lastRenderedPageBreak/>
        <w:t xml:space="preserve">geomancer in drawing the </w:t>
      </w:r>
      <w:r w:rsidR="002F2BE4">
        <w:rPr>
          <w:sz w:val="20"/>
          <w:szCs w:val="20"/>
        </w:rPr>
        <w:t>points</w:t>
      </w:r>
      <w:r w:rsidRPr="00B66690">
        <w:rPr>
          <w:sz w:val="20"/>
          <w:szCs w:val="20"/>
        </w:rPr>
        <w:t xml:space="preserve"> is led by the celestial influence, and &lt;is&gt; held and governed by the divine help.</w:t>
      </w:r>
      <w:r>
        <w:rPr>
          <w:rStyle w:val="FootnoteReference"/>
          <w:sz w:val="20"/>
          <w:szCs w:val="20"/>
        </w:rPr>
        <w:footnoteReference w:id="217"/>
      </w:r>
    </w:p>
    <w:p w14:paraId="243DC91A" w14:textId="77777777" w:rsidR="00244FB6" w:rsidRDefault="00244FB6" w:rsidP="00244FB6">
      <w:pPr>
        <w:ind w:firstLine="0"/>
        <w:rPr>
          <w:sz w:val="20"/>
          <w:szCs w:val="20"/>
        </w:rPr>
      </w:pPr>
    </w:p>
    <w:p w14:paraId="7158B153" w14:textId="25AB23F9" w:rsidR="00244FB6" w:rsidRDefault="00244FB6" w:rsidP="00244FB6">
      <w:pPr>
        <w:ind w:firstLine="0"/>
      </w:pPr>
      <w:r w:rsidRPr="008316B2">
        <w:t xml:space="preserve">Given the unquestionable significance ascribed by medieval </w:t>
      </w:r>
      <w:r w:rsidR="009C0EA4">
        <w:t>authors</w:t>
      </w:r>
      <w:r w:rsidRPr="008316B2">
        <w:t xml:space="preserve"> to the celestial movements in the context of geomantic practice, it becomes paramount to elucidate the interrelation between the discipline </w:t>
      </w:r>
      <w:r w:rsidR="009C0EA4">
        <w:t>studying</w:t>
      </w:r>
      <w:r w:rsidRPr="008316B2">
        <w:t xml:space="preserve"> the effects of these celestial motions on </w:t>
      </w:r>
      <w:r w:rsidR="009C0EA4">
        <w:t>Earth</w:t>
      </w:r>
      <w:r w:rsidRPr="008316B2">
        <w:t xml:space="preserve"> and the practice of geomancy. In order to grasp the ramifications of the correlation between these two </w:t>
      </w:r>
      <w:r w:rsidR="00182FB7">
        <w:t>disciplines</w:t>
      </w:r>
      <w:r w:rsidRPr="008316B2">
        <w:t xml:space="preserve">, </w:t>
      </w:r>
      <w:r w:rsidR="004866BD">
        <w:t>the next section of this chapter</w:t>
      </w:r>
      <w:r>
        <w:t xml:space="preserve"> will offer </w:t>
      </w:r>
      <w:r w:rsidRPr="008316B2">
        <w:t>a brief exploration of the pivotal role of astrology within medieval culture</w:t>
      </w:r>
      <w:r>
        <w:t>.</w:t>
      </w:r>
    </w:p>
    <w:p w14:paraId="7297B6E8" w14:textId="77777777" w:rsidR="00244FB6" w:rsidRDefault="00244FB6" w:rsidP="00244FB6">
      <w:pPr>
        <w:ind w:firstLine="0"/>
      </w:pPr>
    </w:p>
    <w:p w14:paraId="4150E8ED" w14:textId="27B583E1" w:rsidR="00244FB6" w:rsidRPr="009F28FF" w:rsidRDefault="00244FB6" w:rsidP="009F28FF">
      <w:pPr>
        <w:pStyle w:val="Heading3"/>
        <w:ind w:firstLine="0"/>
        <w:rPr>
          <w:rFonts w:asciiTheme="majorBidi" w:hAnsiTheme="majorBidi"/>
          <w:b/>
          <w:bCs/>
          <w:color w:val="auto"/>
        </w:rPr>
      </w:pPr>
      <w:bookmarkStart w:id="67" w:name="_Toc165108653"/>
      <w:r w:rsidRPr="009F28FF">
        <w:rPr>
          <w:rFonts w:asciiTheme="majorBidi" w:hAnsiTheme="majorBidi"/>
          <w:b/>
          <w:bCs/>
          <w:color w:val="auto"/>
        </w:rPr>
        <w:t>Astrology in the late-medieval universe</w:t>
      </w:r>
      <w:bookmarkEnd w:id="67"/>
    </w:p>
    <w:p w14:paraId="5804B5AC" w14:textId="77777777" w:rsidR="00244FB6" w:rsidRDefault="00244FB6" w:rsidP="00244FB6">
      <w:pPr>
        <w:ind w:firstLine="0"/>
        <w:rPr>
          <w:i/>
          <w:iCs/>
        </w:rPr>
      </w:pPr>
    </w:p>
    <w:p w14:paraId="53CFE35A" w14:textId="023F4A11" w:rsidR="00244FB6" w:rsidRDefault="00244FB6" w:rsidP="00482D72">
      <w:pPr>
        <w:ind w:firstLine="0"/>
      </w:pPr>
      <w:r>
        <w:tab/>
      </w:r>
      <w:r w:rsidRPr="00513E33">
        <w:t xml:space="preserve">To comprehend the profound significance and widespread diffusion of astrology in the late medieval culture, it is imperative to grasp the position it occupied within the medieval worldview. The </w:t>
      </w:r>
      <w:r w:rsidR="00626DC6">
        <w:t>diffusion</w:t>
      </w:r>
      <w:r w:rsidRPr="00513E33">
        <w:t xml:space="preserve"> of</w:t>
      </w:r>
      <w:r w:rsidR="00626DC6">
        <w:t xml:space="preserve"> the practice of</w:t>
      </w:r>
      <w:r w:rsidRPr="00513E33">
        <w:t xml:space="preserve"> astrology can be attributed to the consolidation of a </w:t>
      </w:r>
      <w:r w:rsidR="00C419AC">
        <w:t>new</w:t>
      </w:r>
      <w:r w:rsidRPr="00513E33">
        <w:t xml:space="preserve"> concept of nature that emerged </w:t>
      </w:r>
      <w:r w:rsidR="00170D70">
        <w:t xml:space="preserve">in </w:t>
      </w:r>
      <w:r w:rsidR="0087252B">
        <w:t>Europe</w:t>
      </w:r>
      <w:r w:rsidR="00170D70">
        <w:t xml:space="preserve"> </w:t>
      </w:r>
      <w:r w:rsidRPr="00513E33">
        <w:t>during the twelfth century.</w:t>
      </w:r>
      <w:r w:rsidR="00843666">
        <w:t xml:space="preserve"> T</w:t>
      </w:r>
      <w:r w:rsidRPr="00513E33">
        <w:t xml:space="preserve">he scarcity of texts from the Classical and Hellenic traditions during the </w:t>
      </w:r>
      <w:r w:rsidR="008F27D0">
        <w:t>H</w:t>
      </w:r>
      <w:r w:rsidRPr="00513E33">
        <w:t>igh Middle Ages necessitated a reliance on biblical sources, particularly Genesis 1, and the translation and commentary of Plato</w:t>
      </w:r>
      <w:r w:rsidR="00C419AC">
        <w:t>’</w:t>
      </w:r>
      <w:r w:rsidRPr="00513E33">
        <w:t xml:space="preserve">s Timaeus by Calcidius, to develop the prevailing notion of nature. It was from these foundational texts that the belief in a profound correspondence </w:t>
      </w:r>
      <w:r w:rsidR="0042577F">
        <w:t>‘</w:t>
      </w:r>
      <w:r w:rsidRPr="00513E33">
        <w:t>between Scripture and creature</w:t>
      </w:r>
      <w:r w:rsidR="0042577F">
        <w:t>’</w:t>
      </w:r>
      <w:r w:rsidRPr="00513E33">
        <w:t xml:space="preserve"> was forged, giving rise to the idea of contemplation of the physical world as akin to reading a divine text, wherein </w:t>
      </w:r>
      <w:r w:rsidR="00C419AC">
        <w:t>‘</w:t>
      </w:r>
      <w:r w:rsidRPr="00513E33">
        <w:t>natures</w:t>
      </w:r>
      <w:r w:rsidR="00C419AC">
        <w:t>’</w:t>
      </w:r>
      <w:r w:rsidRPr="00513E33">
        <w:t xml:space="preserve"> were perceived as intricate figures and symbols.</w:t>
      </w:r>
      <w:r>
        <w:rPr>
          <w:rStyle w:val="FootnoteReference"/>
        </w:rPr>
        <w:footnoteReference w:id="218"/>
      </w:r>
      <w:r w:rsidRPr="00513E33">
        <w:t xml:space="preserve"> </w:t>
      </w:r>
      <w:r w:rsidRPr="00513E33">
        <w:lastRenderedPageBreak/>
        <w:t xml:space="preserve">While astrology did not entirely vanish from the </w:t>
      </w:r>
      <w:r w:rsidR="00890245">
        <w:t>European</w:t>
      </w:r>
      <w:r w:rsidRPr="00513E33">
        <w:t xml:space="preserve"> cultural milieu during the </w:t>
      </w:r>
      <w:r w:rsidR="001A6203">
        <w:t>High</w:t>
      </w:r>
      <w:r w:rsidRPr="00513E33">
        <w:t xml:space="preserve"> Middle Ages, the absence of precise astronomical tables and instruments rendered the derivation of the necessary data for horoscopic astrology arduous and challenging</w:t>
      </w:r>
      <w:r>
        <w:t>.</w:t>
      </w:r>
      <w:r>
        <w:rPr>
          <w:rStyle w:val="FootnoteReference"/>
        </w:rPr>
        <w:footnoteReference w:id="219"/>
      </w:r>
      <w:r w:rsidR="00482D72">
        <w:t xml:space="preserve"> </w:t>
      </w:r>
      <w:r w:rsidRPr="007745B1">
        <w:t xml:space="preserve">With the introduction of works by prominent authors such as Aristotle, Abū Ma’shar, and Ptolemy in the </w:t>
      </w:r>
      <w:r w:rsidR="00925821">
        <w:t>European</w:t>
      </w:r>
      <w:r w:rsidRPr="007745B1">
        <w:t xml:space="preserve"> context, the celestial realm assumed the role of an influential causal agent governing all movements and life within the sublunary world.</w:t>
      </w:r>
      <w:r w:rsidR="000901CF">
        <w:rPr>
          <w:rStyle w:val="FootnoteReference"/>
        </w:rPr>
        <w:footnoteReference w:id="220"/>
      </w:r>
      <w:r w:rsidRPr="007745B1">
        <w:t xml:space="preserve"> The</w:t>
      </w:r>
      <w:r w:rsidR="002E746F">
        <w:t xml:space="preserve"> </w:t>
      </w:r>
      <w:r w:rsidRPr="007745B1">
        <w:t>concept</w:t>
      </w:r>
      <w:r w:rsidR="002E746F">
        <w:t xml:space="preserve"> already present in the </w:t>
      </w:r>
      <w:r w:rsidR="002E746F" w:rsidRPr="002E746F">
        <w:rPr>
          <w:i/>
          <w:iCs/>
        </w:rPr>
        <w:t>Timaeus</w:t>
      </w:r>
      <w:r w:rsidRPr="007745B1">
        <w:t xml:space="preserve"> of a correspondence between the cosmos and the human being, perceived as a microcosm, was further strengthened and refined through a series of intricate correspondences between the planets, the constellations, and individual parts of the human body</w:t>
      </w:r>
      <w:r>
        <w:t>.</w:t>
      </w:r>
      <w:r>
        <w:rPr>
          <w:rStyle w:val="FootnoteReference"/>
        </w:rPr>
        <w:footnoteReference w:id="221"/>
      </w:r>
      <w:r w:rsidRPr="007745B1">
        <w:t xml:space="preserve"> This conception gave rise to the development of an iconographical tradition, prevalent in late medieval and Renaissance medicine, known as the </w:t>
      </w:r>
      <w:r>
        <w:t>‘</w:t>
      </w:r>
      <w:r w:rsidRPr="007745B1">
        <w:t>Zodiac Man,</w:t>
      </w:r>
      <w:r>
        <w:t>’</w:t>
      </w:r>
      <w:r w:rsidRPr="007745B1">
        <w:t xml:space="preserve"> which symbolically represented the doctrine of zodiacal </w:t>
      </w:r>
      <w:r w:rsidRPr="007745B1">
        <w:rPr>
          <w:i/>
          <w:iCs/>
        </w:rPr>
        <w:t>melothesia</w:t>
      </w:r>
      <w:r w:rsidRPr="007745B1">
        <w:t xml:space="preserve">, alongside the </w:t>
      </w:r>
      <w:r>
        <w:t>‘</w:t>
      </w:r>
      <w:r w:rsidRPr="007745B1">
        <w:t>Microcosmic Man.</w:t>
      </w:r>
      <w:r>
        <w:t>’</w:t>
      </w:r>
      <w:r>
        <w:rPr>
          <w:rStyle w:val="FootnoteReference"/>
        </w:rPr>
        <w:footnoteReference w:id="222"/>
      </w:r>
      <w:r>
        <w:t xml:space="preserve"> </w:t>
      </w:r>
    </w:p>
    <w:p w14:paraId="6951C3DE" w14:textId="56FB585C" w:rsidR="00244FB6" w:rsidRDefault="00244FB6" w:rsidP="00244FB6">
      <w:r>
        <w:t>In his treatises on natural philosophy, Aristotle expounded a clear demarcation between two distinct realms of reality. Below the Moon</w:t>
      </w:r>
      <w:r w:rsidR="00DF4003">
        <w:t>’</w:t>
      </w:r>
      <w:r>
        <w:t xml:space="preserve">s orbit lay the sublunary world, constituted by the four natural elements (earth, water, air, fire), subject to diverse typologies of change, encompassing substantial change (such as generation and corruption), qualitative change, changes in quantity, and spatial transformation. In stark contrast, the seven planetary spheres, including the eighth sphere of the fixed stars, the ninth sphere of the crystalline heaven, and the tenth sphere of the primum mobile, were described as eternal and </w:t>
      </w:r>
      <w:r>
        <w:lastRenderedPageBreak/>
        <w:t xml:space="preserve">incorruptible. This celestial realm was composed of a different </w:t>
      </w:r>
      <w:r w:rsidR="006749C6">
        <w:t>element</w:t>
      </w:r>
      <w:r>
        <w:t xml:space="preserve"> than the sublunary world, identified by Aristotle as the aether. In the celestial bodies, only one form of motion was acknowledged </w:t>
      </w:r>
      <w:r w:rsidR="00F20DBA">
        <w:t>–</w:t>
      </w:r>
      <w:r>
        <w:t xml:space="preserve"> an unchanging circular movement around the centre of the universe, which was believed to be the Earth. This hierarchical view posited that what was deemed nobler and more perfect </w:t>
      </w:r>
      <w:r w:rsidR="00F20DBA">
        <w:t>(</w:t>
      </w:r>
      <w:r>
        <w:t xml:space="preserve">in </w:t>
      </w:r>
      <w:r w:rsidR="00F20DBA">
        <w:t xml:space="preserve">this case </w:t>
      </w:r>
      <w:r>
        <w:t>the celestial realm</w:t>
      </w:r>
      <w:r w:rsidR="00F20DBA">
        <w:t>)</w:t>
      </w:r>
      <w:r>
        <w:t xml:space="preserve"> would influence and govern </w:t>
      </w:r>
      <w:r w:rsidR="00F20DBA">
        <w:t>what was</w:t>
      </w:r>
      <w:r>
        <w:t xml:space="preserve"> less noble and imperfect </w:t>
      </w:r>
      <w:r w:rsidR="00F20DBA">
        <w:t xml:space="preserve">(the </w:t>
      </w:r>
      <w:r>
        <w:t>sublunary world</w:t>
      </w:r>
      <w:r w:rsidR="00F20DBA">
        <w:t>)</w:t>
      </w:r>
      <w:r>
        <w:t>. As such, the celestial bodies were regarded as superior to the sublunary domain, both ontologically and in their positional relationships</w:t>
      </w:r>
      <w:r w:rsidR="002C62FC">
        <w:t>: t</w:t>
      </w:r>
      <w:r>
        <w:t>he Earth, in addition to serving as the centre of the universe, was also considered its lowest point. Consequently, according to Aristotelian physics, a robust causal linkage existed between the celestial spheres’ motions and the processes of generation and decay on Earth, attributing these celestial movements as the underlying causes of any alterations occurring in the sublunary world.</w:t>
      </w:r>
      <w:r>
        <w:rPr>
          <w:rStyle w:val="FootnoteReference"/>
        </w:rPr>
        <w:footnoteReference w:id="223"/>
      </w:r>
      <w:r>
        <w:t xml:space="preserve"> In this context, where the heavens were identified as the rulers of the sublunary world, astrology, as the science that studies the relationships between the heavens and the Earth, became indispensable, not only as a form of contemplation of the cosmos, but also as a practical discipline that allows humans to intervene on reality.</w:t>
      </w:r>
      <w:r>
        <w:rPr>
          <w:rStyle w:val="FootnoteReference"/>
        </w:rPr>
        <w:footnoteReference w:id="224"/>
      </w:r>
      <w:r>
        <w:t xml:space="preserve"> </w:t>
      </w:r>
    </w:p>
    <w:p w14:paraId="00D40321" w14:textId="4333D4A2" w:rsidR="00244FB6" w:rsidRDefault="00244FB6" w:rsidP="00244FB6">
      <w:r w:rsidRPr="00DC678A">
        <w:t xml:space="preserve">The cosmic interplay between celestial influences and the sublunary world found comprehensive explanatory value in a </w:t>
      </w:r>
      <w:r w:rsidR="002A7ABB">
        <w:t>number</w:t>
      </w:r>
      <w:r w:rsidRPr="00DC678A">
        <w:t xml:space="preserve"> of phenomena: ranging from elementary natural processes to the wondrous properties exhibited by plants and minerals, and extending to intricate occurrences involving the human body, such as procreation, the onset of passions, and diseases. Moreover, this celestial link </w:t>
      </w:r>
      <w:r w:rsidR="00D7495B">
        <w:t xml:space="preserve">was fundamental </w:t>
      </w:r>
      <w:r w:rsidR="008E102C">
        <w:t>for</w:t>
      </w:r>
      <w:r w:rsidRPr="00DC678A">
        <w:t xml:space="preserve"> divination, natural magic, and various other domains</w:t>
      </w:r>
      <w:r w:rsidRPr="00F04BFD">
        <w:t>.</w:t>
      </w:r>
      <w:r w:rsidRPr="00F04BFD">
        <w:rPr>
          <w:rStyle w:val="FootnoteReference"/>
        </w:rPr>
        <w:footnoteReference w:id="225"/>
      </w:r>
      <w:r w:rsidRPr="00DC678A">
        <w:t xml:space="preserve"> Within this cosmological framework, the position of humans and </w:t>
      </w:r>
      <w:r w:rsidRPr="00DC678A">
        <w:lastRenderedPageBreak/>
        <w:t xml:space="preserve">the extent of their agency and self-determination remained enigmatic and complex. Christian authors asserted that the human soul, both in intellect and will, possessed an inherent freedom immune to any fatal necessity. </w:t>
      </w:r>
      <w:r w:rsidR="001730DD" w:rsidRPr="001730DD">
        <w:t>Yet, even with this inherent freedom, the physical nature of being human made it challenging to fully break free from celestial</w:t>
      </w:r>
      <w:r w:rsidR="001730DD">
        <w:t xml:space="preserve"> influences</w:t>
      </w:r>
      <w:r w:rsidR="001730DD" w:rsidRPr="001730DD">
        <w:t>. F</w:t>
      </w:r>
      <w:r w:rsidRPr="001730DD">
        <w:t xml:space="preserve">rom the moment of birth, the human body and its temperament were determined by celestial </w:t>
      </w:r>
      <w:r w:rsidRPr="00DC678A">
        <w:t>configurations</w:t>
      </w:r>
      <w:r w:rsidRPr="00F04BFD">
        <w:t>.</w:t>
      </w:r>
      <w:r w:rsidRPr="00F04BFD">
        <w:rPr>
          <w:rStyle w:val="FootnoteReference"/>
        </w:rPr>
        <w:footnoteReference w:id="226"/>
      </w:r>
      <w:r w:rsidRPr="004500B4">
        <w:t xml:space="preserve"> Consequently, the immaterial soul, inextricably linked to the body through its faculties, could be subject to astral influences. Thus, most individuals, living not strictly by their intellect but yielding to their impulses, found themselves significantly influenced by celestial motions. This observation accounted for the accuracy of astrological predictions concerning human actions. Nevertheless, exceptional individuals, such as philosophers, physicians, astrologers, prophets, and magicians, endowed with profound wisdom and insight, could emancipate themselves from these celestial influences. </w:t>
      </w:r>
      <w:r>
        <w:t xml:space="preserve">Notably, these sages not only achieved </w:t>
      </w:r>
      <w:r w:rsidR="008D61C1">
        <w:t>freedom</w:t>
      </w:r>
      <w:r>
        <w:t xml:space="preserve"> but also possessed the capability to harness the power of the stars to their advantage.</w:t>
      </w:r>
      <w:r w:rsidRPr="004500B4">
        <w:rPr>
          <w:rStyle w:val="FootnoteReference"/>
        </w:rPr>
        <w:t xml:space="preserve"> </w:t>
      </w:r>
      <w:r w:rsidRPr="00F04BFD">
        <w:rPr>
          <w:rStyle w:val="FootnoteReference"/>
        </w:rPr>
        <w:footnoteReference w:id="227"/>
      </w:r>
    </w:p>
    <w:p w14:paraId="6088B68B" w14:textId="3BCBC830" w:rsidR="00244FB6" w:rsidRDefault="00244FB6" w:rsidP="00244FB6">
      <w:r>
        <w:t>The supremacy of astrology among the various forms of natural prediction was argued at length by authors such as Abū Ma‘shar</w:t>
      </w:r>
      <w:r>
        <w:rPr>
          <w:rStyle w:val="FootnoteReference"/>
        </w:rPr>
        <w:footnoteReference w:id="228"/>
      </w:r>
      <w:r>
        <w:t xml:space="preserve"> and Haly,</w:t>
      </w:r>
      <w:r>
        <w:rPr>
          <w:rStyle w:val="FootnoteReference"/>
        </w:rPr>
        <w:footnoteReference w:id="229"/>
      </w:r>
      <w:r>
        <w:t xml:space="preserve"> an</w:t>
      </w:r>
      <w:r w:rsidR="005B15E8">
        <w:t xml:space="preserve">d </w:t>
      </w:r>
      <w:r>
        <w:t xml:space="preserve">the Latins inherited the belief </w:t>
      </w:r>
      <w:r>
        <w:lastRenderedPageBreak/>
        <w:t>that astrology was superior to other forms of natural prediction and divination, because it foretold the future by observing the disposition of the celestial bodies in heaven.</w:t>
      </w:r>
      <w:r>
        <w:rPr>
          <w:rStyle w:val="FootnoteReference"/>
        </w:rPr>
        <w:footnoteReference w:id="230"/>
      </w:r>
      <w:r>
        <w:t xml:space="preserve"> The science of the stars was divided into five main branches. (1) Introductions described the components and the terminology used by all the other branches of astrology; (2) revolutions, also known as ‘general astrology’ predicted events that concerned entire nations and religions; (3) nativities drew horoscope</w:t>
      </w:r>
      <w:r w:rsidR="00F71AD3">
        <w:t>s</w:t>
      </w:r>
      <w:r>
        <w:t xml:space="preserve"> for the precise time and place of birth of a person, predicting their character and the most salient events of their life. (4) Interrogations, also known as ‘questions’ or ‘horary astrology’, answered questions posed by the client from the horoscope made at the time of the question; (5) elections, or ‘choices’, had the purpose of indicating the most propitious time to perform an action. In this category was also included the art of making talismans, as one had to choose the right time to make a talisman for it to have a specific effect.</w:t>
      </w:r>
      <w:r>
        <w:rPr>
          <w:rStyle w:val="FootnoteReference"/>
        </w:rPr>
        <w:footnoteReference w:id="231"/>
      </w:r>
      <w:r>
        <w:t xml:space="preserve">  </w:t>
      </w:r>
    </w:p>
    <w:p w14:paraId="350EF1A8" w14:textId="2BBB8F3E" w:rsidR="005E4D09" w:rsidRDefault="00244FB6" w:rsidP="00EF2848">
      <w:r w:rsidRPr="000A2A10">
        <w:t>The vocation of an astrologer represented a dedicated profession that entailed years of arduous learning and rigorous training before achieving the ability to cast a horoscope with the requisite precision</w:t>
      </w:r>
      <w:r>
        <w:t>.</w:t>
      </w:r>
      <w:r>
        <w:rPr>
          <w:rStyle w:val="FootnoteReference"/>
        </w:rPr>
        <w:footnoteReference w:id="232"/>
      </w:r>
      <w:r>
        <w:t xml:space="preserve"> Commencing from the twelfth century, astrologers were endowed with new technological advancements and instruments that facilitated the derivation of celestial bodies’ positions, such as astronomical tables and the astrolabe.</w:t>
      </w:r>
      <w:r>
        <w:rPr>
          <w:rStyle w:val="FootnoteReference"/>
        </w:rPr>
        <w:footnoteReference w:id="233"/>
      </w:r>
      <w:r>
        <w:t xml:space="preserve"> While </w:t>
      </w:r>
      <w:r>
        <w:lastRenderedPageBreak/>
        <w:t xml:space="preserve">astronomical observations were occasionally indispensable, astrologers could often calculate the positions of luminaries and other celestial </w:t>
      </w:r>
      <w:r w:rsidR="00F71AD3">
        <w:t>bodies</w:t>
      </w:r>
      <w:r>
        <w:t xml:space="preserve"> utilising ephemerides. Nevertheless, despite these resources, astrologers faced allegations of inaccurately casting horoscopes and being inept in their craft. It is in this context that geomancy emerged as a solution and an enhancement of astrology, </w:t>
      </w:r>
      <w:r w:rsidR="00784071">
        <w:t>avoiding</w:t>
      </w:r>
      <w:r>
        <w:t xml:space="preserve"> errors stemming from the limits of human intellect. Geomancy </w:t>
      </w:r>
      <w:r w:rsidR="00784071">
        <w:t>was often presented as</w:t>
      </w:r>
      <w:r>
        <w:t xml:space="preserve"> an alternative divinatory system that could mitigate the shortcomings perceived in astrology, promising increased accuracy and efficacy in predicting future events and interpreting celestial influences upon human affairs. Unlike the intricate astronomical calculations often involved in astrology, geomantic practice appeared more accessible and straightforward, requiring the manipulation of a simple set of symbols, often represented through the casting of </w:t>
      </w:r>
      <w:r w:rsidR="002F2BE4">
        <w:t>points</w:t>
      </w:r>
      <w:r>
        <w:t xml:space="preserve"> or the formation of geometric figures in sand or on parchment</w:t>
      </w:r>
      <w:r w:rsidR="00EF2848">
        <w:t>.</w:t>
      </w:r>
      <w:r w:rsidR="00EF2848">
        <w:rPr>
          <w:rStyle w:val="FootnoteReference"/>
        </w:rPr>
        <w:footnoteReference w:id="234"/>
      </w:r>
    </w:p>
    <w:p w14:paraId="7C62BF68" w14:textId="2866FF01" w:rsidR="00244FB6" w:rsidRDefault="00244FB6" w:rsidP="00244FB6">
      <w:r>
        <w:t xml:space="preserve">Furthermore, geomantic predictions, grounded in a fusion of mathematical principles and </w:t>
      </w:r>
      <w:r w:rsidR="00743F7F">
        <w:t>intuition</w:t>
      </w:r>
      <w:r>
        <w:t xml:space="preserve">, were believed to tap into a transcendent knowledge beyond the grasp of conventional human reasoning. This attribute bestowed upon geomancy a unique advantage over astrology, which, despite its empirical foundations and calculations, still relied heavily on the interpretive skills of the astrologer, leaving room for potential inaccuracies or subjective biases to influence the outcome. Hence, geomancy offered an enticing proposition to those seeking divinatory counsel or </w:t>
      </w:r>
      <w:r w:rsidR="0088210B">
        <w:t>wanting</w:t>
      </w:r>
      <w:r>
        <w:t xml:space="preserve"> to </w:t>
      </w:r>
      <w:r w:rsidR="0088210B">
        <w:t>bypass</w:t>
      </w:r>
      <w:r>
        <w:t xml:space="preserve"> the perceived limitations of astrology. Moreover, the intimate connection between geomancy and the natural world was imbued with symbolic significance, reflecting the profound belief in the microcosmic-</w:t>
      </w:r>
      <w:r>
        <w:lastRenderedPageBreak/>
        <w:t>macrocosmic relationship, where the earthly realm mirrored the celestial order. In light of these features, geomancy not only flourished as a complement to astrology but also earned a reputation as a powerful divinatory art in its own right, offering practitioners an invaluable tool for navigating the complexities of human existence and unravelling the mysterious workings of the cosmos.</w:t>
      </w:r>
    </w:p>
    <w:p w14:paraId="7355EE31" w14:textId="77777777" w:rsidR="00244FB6" w:rsidRDefault="00244FB6" w:rsidP="00244FB6">
      <w:pPr>
        <w:ind w:firstLine="0"/>
      </w:pPr>
    </w:p>
    <w:p w14:paraId="429FBFEB" w14:textId="77777777" w:rsidR="00244FB6" w:rsidRPr="009F28FF" w:rsidRDefault="00244FB6" w:rsidP="009F28FF">
      <w:pPr>
        <w:pStyle w:val="Heading3"/>
        <w:ind w:firstLine="0"/>
        <w:rPr>
          <w:rFonts w:asciiTheme="majorBidi" w:hAnsiTheme="majorBidi"/>
          <w:b/>
          <w:bCs/>
          <w:color w:val="auto"/>
        </w:rPr>
      </w:pPr>
      <w:bookmarkStart w:id="68" w:name="_Toc165108654"/>
      <w:r w:rsidRPr="009F28FF">
        <w:rPr>
          <w:rFonts w:asciiTheme="majorBidi" w:hAnsiTheme="majorBidi"/>
          <w:b/>
          <w:bCs/>
          <w:color w:val="auto"/>
        </w:rPr>
        <w:t>Terrestrial astrology: the geomancer and the celestial spheres</w:t>
      </w:r>
      <w:bookmarkEnd w:id="68"/>
    </w:p>
    <w:p w14:paraId="0592666D" w14:textId="77777777" w:rsidR="00244FB6" w:rsidRDefault="00244FB6" w:rsidP="00244FB6">
      <w:pPr>
        <w:ind w:firstLine="0"/>
        <w:rPr>
          <w:i/>
          <w:iCs/>
        </w:rPr>
      </w:pPr>
    </w:p>
    <w:p w14:paraId="5C702515" w14:textId="3BB7866F" w:rsidR="00244FB6" w:rsidRPr="009D6E22" w:rsidRDefault="00244FB6" w:rsidP="00244FB6">
      <w:pPr>
        <w:ind w:firstLine="360"/>
      </w:pPr>
      <w:r>
        <w:tab/>
        <w:t>T</w:t>
      </w:r>
      <w:r w:rsidRPr="00F1508E">
        <w:t>he geomantic art, akin to astrology, rested upon the same fundamental cosmological assumptions, rooted in the precise symmetry between celestial motions and terrestrial occurrences. However, in geomancy, the reception and utili</w:t>
      </w:r>
      <w:r>
        <w:t>s</w:t>
      </w:r>
      <w:r w:rsidRPr="00F1508E">
        <w:t xml:space="preserve">ation of celestial influences took on a novel and distinctive dynamic. According to medieval authors, the sixteen geomantic figures were not mere arbitrary designs drawn by the hand of the geomancer, but rather, they were believed to be celestial transmissions, veritable </w:t>
      </w:r>
      <w:r>
        <w:t>‘</w:t>
      </w:r>
      <w:r w:rsidRPr="00F1508E">
        <w:t>signs from the heavens</w:t>
      </w:r>
      <w:r w:rsidR="00A26895">
        <w:t>.</w:t>
      </w:r>
      <w:r>
        <w:t>’</w:t>
      </w:r>
      <w:r w:rsidRPr="00F1508E">
        <w:t xml:space="preserve"> This notion finds explicit elucidation, for instance, in the </w:t>
      </w:r>
      <w:r w:rsidRPr="00F1508E">
        <w:rPr>
          <w:i/>
          <w:iCs/>
        </w:rPr>
        <w:t>Ars geomantiae</w:t>
      </w:r>
      <w:r w:rsidRPr="00F1508E">
        <w:t xml:space="preserve"> by Hugo Sanctelliensis, wherein the geomantic </w:t>
      </w:r>
      <w:r w:rsidR="002F2BE4">
        <w:t>points</w:t>
      </w:r>
      <w:r w:rsidRPr="00F1508E">
        <w:t xml:space="preserve"> drawn by the practitioner were perceived as symbolic representations of the stars constituting the lunar mansions</w:t>
      </w:r>
      <w:r w:rsidR="009325C0">
        <w:t>:</w:t>
      </w:r>
    </w:p>
    <w:p w14:paraId="554B8D64" w14:textId="77777777" w:rsidR="00244FB6" w:rsidRDefault="00244FB6" w:rsidP="00244FB6">
      <w:pPr>
        <w:ind w:firstLine="360"/>
        <w:rPr>
          <w:color w:val="C45911" w:themeColor="accent2" w:themeShade="BF"/>
        </w:rPr>
      </w:pPr>
    </w:p>
    <w:p w14:paraId="4E7C0B58" w14:textId="0E74D871" w:rsidR="00244FB6" w:rsidRPr="007776AB" w:rsidRDefault="00244FB6" w:rsidP="00244FB6">
      <w:pPr>
        <w:ind w:left="567" w:firstLine="0"/>
        <w:rPr>
          <w:color w:val="C45911" w:themeColor="accent2" w:themeShade="BF"/>
          <w:sz w:val="20"/>
          <w:szCs w:val="20"/>
        </w:rPr>
      </w:pPr>
      <w:r w:rsidRPr="007776AB">
        <w:rPr>
          <w:sz w:val="20"/>
          <w:szCs w:val="20"/>
        </w:rPr>
        <w:t xml:space="preserve">All professors of philosophy have considered it definite and confirmed that everything established and dwelling in this world has a matching exemplar in the higher sphere, and that everything agitated by any motion here below imitates the related movements of the higher region. </w:t>
      </w:r>
      <w:r w:rsidR="002508D2" w:rsidRPr="007776AB">
        <w:rPr>
          <w:sz w:val="20"/>
          <w:szCs w:val="20"/>
        </w:rPr>
        <w:t>Thus,</w:t>
      </w:r>
      <w:r w:rsidRPr="007776AB">
        <w:rPr>
          <w:sz w:val="20"/>
          <w:szCs w:val="20"/>
        </w:rPr>
        <w:t xml:space="preserve"> it is clear that figures of the kind that we wish to deal with here, completely follow the forms of both the signs and the lunar mansions […]. </w:t>
      </w:r>
      <w:r w:rsidR="002508D2" w:rsidRPr="007776AB">
        <w:rPr>
          <w:sz w:val="20"/>
          <w:szCs w:val="20"/>
        </w:rPr>
        <w:t>Thus,</w:t>
      </w:r>
      <w:r w:rsidRPr="007776AB">
        <w:rPr>
          <w:sz w:val="20"/>
          <w:szCs w:val="20"/>
        </w:rPr>
        <w:t xml:space="preserve"> the oldest authorities of this discipline, choosing the signs of the zodiac from the large number of constellations, and taking their beginning from Aries, produced figures of this kind </w:t>
      </w:r>
      <w:r w:rsidRPr="007776AB">
        <w:rPr>
          <w:sz w:val="20"/>
          <w:szCs w:val="20"/>
        </w:rPr>
        <w:lastRenderedPageBreak/>
        <w:t xml:space="preserve">wherever they are formed. </w:t>
      </w:r>
      <w:r w:rsidR="002508D2" w:rsidRPr="007776AB">
        <w:rPr>
          <w:sz w:val="20"/>
          <w:szCs w:val="20"/>
        </w:rPr>
        <w:t>Thus,</w:t>
      </w:r>
      <w:r w:rsidRPr="007776AB">
        <w:rPr>
          <w:sz w:val="20"/>
          <w:szCs w:val="20"/>
        </w:rPr>
        <w:t xml:space="preserve"> </w:t>
      </w:r>
      <w:r w:rsidRPr="007776AB">
        <w:rPr>
          <w:i/>
          <w:iCs/>
          <w:sz w:val="20"/>
          <w:szCs w:val="20"/>
        </w:rPr>
        <w:t>comprehensum intus</w:t>
      </w:r>
      <w:r w:rsidRPr="007776AB">
        <w:rPr>
          <w:sz w:val="20"/>
          <w:szCs w:val="20"/>
        </w:rPr>
        <w:t xml:space="preserve"> is generated from those (forms) which are </w:t>
      </w:r>
      <w:r w:rsidRPr="007776AB">
        <w:rPr>
          <w:i/>
          <w:iCs/>
          <w:sz w:val="20"/>
          <w:szCs w:val="20"/>
        </w:rPr>
        <w:t>anathet</w:t>
      </w:r>
      <w:r w:rsidRPr="007776AB">
        <w:rPr>
          <w:sz w:val="20"/>
          <w:szCs w:val="20"/>
        </w:rPr>
        <w:t xml:space="preserve"> and </w:t>
      </w:r>
      <w:r w:rsidRPr="007776AB">
        <w:rPr>
          <w:i/>
          <w:iCs/>
          <w:sz w:val="20"/>
          <w:szCs w:val="20"/>
        </w:rPr>
        <w:t>abuten</w:t>
      </w:r>
      <w:r w:rsidRPr="007776AB">
        <w:rPr>
          <w:sz w:val="20"/>
          <w:szCs w:val="20"/>
        </w:rPr>
        <w:t xml:space="preserve"> etc</w:t>
      </w:r>
      <w:r>
        <w:rPr>
          <w:sz w:val="20"/>
          <w:szCs w:val="20"/>
        </w:rPr>
        <w:t>.</w:t>
      </w:r>
      <w:r>
        <w:rPr>
          <w:rStyle w:val="FootnoteReference"/>
          <w:sz w:val="20"/>
          <w:szCs w:val="20"/>
        </w:rPr>
        <w:footnoteReference w:id="235"/>
      </w:r>
    </w:p>
    <w:p w14:paraId="07CC1CE4" w14:textId="77777777" w:rsidR="00244FB6" w:rsidRDefault="00244FB6" w:rsidP="00244FB6">
      <w:pPr>
        <w:ind w:firstLine="360"/>
        <w:rPr>
          <w:color w:val="C45911" w:themeColor="accent2" w:themeShade="BF"/>
        </w:rPr>
      </w:pPr>
    </w:p>
    <w:p w14:paraId="3C7D1C36" w14:textId="6D70423D" w:rsidR="00244FB6" w:rsidRDefault="00244FB6" w:rsidP="00244FB6">
      <w:pPr>
        <w:ind w:firstLine="360"/>
      </w:pPr>
      <w:r w:rsidRPr="00F1508E">
        <w:t xml:space="preserve">To unravel the connection perceived by medieval authors between geomantic figures and the stars, and consequently, between </w:t>
      </w:r>
      <w:r>
        <w:t>geomancy and astrology</w:t>
      </w:r>
      <w:r w:rsidRPr="00F1508E">
        <w:t xml:space="preserve">, a thorough examination of the process involved in creating the geomantic chart and the interplay of natural forces and human faculties is imperative. Of particular relevance is the pivotal moment of the forecast, where the geomancer draws sixteen lines of </w:t>
      </w:r>
      <w:r w:rsidR="002F2BE4">
        <w:t>points</w:t>
      </w:r>
      <w:r w:rsidRPr="00F1508E">
        <w:t xml:space="preserve"> on the sand, doing so without resorting to counting or rational deliberation. It was believed that the mental state of the practitioner during this crucial step forged a profound </w:t>
      </w:r>
      <w:r w:rsidR="00832F62">
        <w:t>connection</w:t>
      </w:r>
      <w:r w:rsidRPr="00F1508E">
        <w:t xml:space="preserve"> with the celestial spheres. </w:t>
      </w:r>
      <w:r>
        <w:t>As previously mentioned, i</w:t>
      </w:r>
      <w:r w:rsidRPr="00F1508E">
        <w:t xml:space="preserve">n the medieval cosmic hierarchy, human beings occupied an intermediate position, wherein the faculties of the rational soul </w:t>
      </w:r>
      <w:r w:rsidR="00DB16EF">
        <w:t>–</w:t>
      </w:r>
      <w:r w:rsidRPr="00F1508E">
        <w:t xml:space="preserve"> the intellect and will </w:t>
      </w:r>
      <w:r w:rsidR="00DB16EF">
        <w:t>–</w:t>
      </w:r>
      <w:r w:rsidRPr="00F1508E">
        <w:t xml:space="preserve"> were deemed free and autonomous, detached from any corporeal influence as they transcended the confinement of bodily organs. Simultaneously, the human body, along with its corporeal faculties, remained subject to the influence of celestial motions. Given the human inclination to be guided not solely by the rational soul but often by the sway of passions, individuals inadvertently acted as </w:t>
      </w:r>
      <w:r w:rsidR="00D2070D">
        <w:t>instruments</w:t>
      </w:r>
      <w:r w:rsidRPr="00F1508E">
        <w:t xml:space="preserve"> for</w:t>
      </w:r>
      <w:r w:rsidR="00D2070D">
        <w:t xml:space="preserve"> other internal or</w:t>
      </w:r>
      <w:r w:rsidRPr="00F1508E">
        <w:t xml:space="preserve"> external forces, including the motions of the heavens. Thus, within this context, the geomancer, in the act of forecasting, deliberately relinquished personal agency, choosing to become a</w:t>
      </w:r>
      <w:r>
        <w:t xml:space="preserve">n </w:t>
      </w:r>
      <w:r w:rsidRPr="00F1508E">
        <w:t>instrument of the celestial order.</w:t>
      </w:r>
      <w:r w:rsidRPr="00485095">
        <w:t xml:space="preserve"> This distinctive attribute sets geomancy apart from astrology and its purported ability to liberate astrologers from astral determinism. Contrarily, the geomancer</w:t>
      </w:r>
      <w:r>
        <w:t>’</w:t>
      </w:r>
      <w:r w:rsidRPr="00485095">
        <w:t xml:space="preserve">s intentional renunciation of agency during the forecast reinforces the notion of alignment with celestial forces, heightening </w:t>
      </w:r>
      <w:r>
        <w:t>geomancy’</w:t>
      </w:r>
      <w:r w:rsidRPr="00485095">
        <w:t xml:space="preserve">s connection </w:t>
      </w:r>
      <w:r w:rsidR="00AF61AD">
        <w:t>with</w:t>
      </w:r>
      <w:r w:rsidRPr="00485095">
        <w:t xml:space="preserve"> the celestial realm. Consequently, the geomantic chart, rather than being the outcome of rational calculation, emerge</w:t>
      </w:r>
      <w:r w:rsidR="00B16347">
        <w:t>d</w:t>
      </w:r>
      <w:r w:rsidRPr="00485095">
        <w:t xml:space="preserve"> as a</w:t>
      </w:r>
      <w:r>
        <w:t xml:space="preserve">n </w:t>
      </w:r>
      <w:r>
        <w:lastRenderedPageBreak/>
        <w:t>accurate</w:t>
      </w:r>
      <w:r w:rsidRPr="00485095">
        <w:t xml:space="preserve"> representation</w:t>
      </w:r>
      <w:r>
        <w:t xml:space="preserve"> of the astral configurations</w:t>
      </w:r>
      <w:r w:rsidRPr="00485095">
        <w:t>,</w:t>
      </w:r>
      <w:r>
        <w:t xml:space="preserve"> completed under the direct guidance of the celestial virtue,</w:t>
      </w:r>
      <w:r w:rsidRPr="00485095">
        <w:t xml:space="preserve"> wherein the practitioner becomes an intermediary between the celestial and earthly realms. Thus, geomancy, with its intricate fusion of human </w:t>
      </w:r>
      <w:r>
        <w:t>action</w:t>
      </w:r>
      <w:r w:rsidRPr="00485095">
        <w:t xml:space="preserve"> and celestial influences, attains a unique position in the medieval cosmological framework, offering a profound conduit for </w:t>
      </w:r>
      <w:r>
        <w:t>obtaining answers and guidance to navigate life.</w:t>
      </w:r>
    </w:p>
    <w:p w14:paraId="26B0251A" w14:textId="0205B7F5" w:rsidR="00244FB6" w:rsidRPr="003074F6" w:rsidRDefault="00244FB6" w:rsidP="00244FB6">
      <w:pPr>
        <w:ind w:firstLine="360"/>
      </w:pPr>
      <w:r w:rsidRPr="00F96DE1">
        <w:t>This course of action was expounded by Iacopo della Lana</w:t>
      </w:r>
      <w:r w:rsidR="001A47C8">
        <w:t xml:space="preserve"> (b.1278-d.1358)</w:t>
      </w:r>
      <w:r w:rsidRPr="00F96DE1">
        <w:t>,</w:t>
      </w:r>
      <w:r w:rsidR="001A47C8">
        <w:t xml:space="preserve"> the first to write a complete comment</w:t>
      </w:r>
      <w:r w:rsidRPr="00F96DE1">
        <w:t xml:space="preserve"> of the</w:t>
      </w:r>
      <w:r w:rsidR="00442450">
        <w:t xml:space="preserve"> whole</w:t>
      </w:r>
      <w:r w:rsidRPr="00F96DE1">
        <w:t xml:space="preserve"> </w:t>
      </w:r>
      <w:r w:rsidRPr="000361A3">
        <w:rPr>
          <w:i/>
          <w:iCs/>
        </w:rPr>
        <w:t>Divina Commedia</w:t>
      </w:r>
      <w:r w:rsidRPr="00F96DE1">
        <w:t xml:space="preserve">, </w:t>
      </w:r>
      <w:r w:rsidR="00793C14">
        <w:t xml:space="preserve">and </w:t>
      </w:r>
      <w:r w:rsidRPr="00F96DE1">
        <w:t>who articulated a tripartite enumeration of the causes that could set a human body in motion: firstly, an act of volition arising from the exercise of free will; secondly, an act of volition prompted by bodily affections and passions; and thirdly, an act of volition incited by a natural inclination influenced by the motion of the celestial spheres</w:t>
      </w:r>
      <w:r>
        <w:t>.</w:t>
      </w:r>
      <w:r>
        <w:rPr>
          <w:rStyle w:val="FootnoteReference"/>
        </w:rPr>
        <w:footnoteReference w:id="236"/>
      </w:r>
      <w:r>
        <w:t xml:space="preserve"> </w:t>
      </w:r>
      <w:r w:rsidRPr="00F96DE1">
        <w:t xml:space="preserve">The geomancer deliberately evaded engaging the highest faculties of the human soul by drawing lots randomly, thus excluding the possibility of his actions being driven by personal volition. By eschewing motivations driven by personal will or bodily passions, the geomancer aligned himself with the celestial </w:t>
      </w:r>
      <w:r w:rsidR="0011071B">
        <w:t>spheres</w:t>
      </w:r>
      <w:r w:rsidRPr="00F96DE1">
        <w:t xml:space="preserve">. The act of channelling the power of the celestial bodies enabled the geomancer, without resorting to astronomical observations, to represent, through his drawing, the configuration </w:t>
      </w:r>
      <w:r w:rsidR="0011071B">
        <w:t>present in the heavens</w:t>
      </w:r>
      <w:r w:rsidRPr="00F96DE1">
        <w:t xml:space="preserve"> at the precise moment when the client posed the question. This alignment with celestial forces endowed the geomancer with a potent ability to access transcendent knowledge, allowing him to discern the hidden truths and cosmic patterns underlying the querent</w:t>
      </w:r>
      <w:r w:rsidR="00C86AE9">
        <w:t>’</w:t>
      </w:r>
      <w:r w:rsidRPr="00F96DE1">
        <w:t>s inquiry.</w:t>
      </w:r>
    </w:p>
    <w:p w14:paraId="4E8C15FC" w14:textId="685774D3" w:rsidR="00244FB6" w:rsidRDefault="00244FB6" w:rsidP="00244FB6">
      <w:pPr>
        <w:ind w:firstLine="0"/>
      </w:pPr>
      <w:r>
        <w:lastRenderedPageBreak/>
        <w:tab/>
      </w:r>
      <w:r w:rsidRPr="00F96DE1">
        <w:t xml:space="preserve">Geomancy </w:t>
      </w:r>
      <w:r w:rsidR="007C5DB4">
        <w:t>thus presented</w:t>
      </w:r>
      <w:r w:rsidRPr="00F96DE1">
        <w:t xml:space="preserve"> a remedy for the perceived limitations and shortcomings of </w:t>
      </w:r>
      <w:r w:rsidR="002508D2" w:rsidRPr="00F96DE1">
        <w:t>astrology</w:t>
      </w:r>
      <w:r w:rsidR="002508D2">
        <w:t>;</w:t>
      </w:r>
      <w:r w:rsidR="007C5DB4">
        <w:t xml:space="preserve"> this view is clearly elaborated</w:t>
      </w:r>
      <w:r w:rsidR="00F41639">
        <w:t xml:space="preserve"> in the </w:t>
      </w:r>
      <w:r w:rsidR="00F41639" w:rsidRPr="00F41639">
        <w:rPr>
          <w:i/>
          <w:iCs/>
        </w:rPr>
        <w:t>Geomantia</w:t>
      </w:r>
      <w:r w:rsidR="00F41639">
        <w:t xml:space="preserve"> by</w:t>
      </w:r>
      <w:r w:rsidRPr="00F96DE1">
        <w:t xml:space="preserve"> William of Moerbeke. </w:t>
      </w:r>
      <w:r>
        <w:t>According to him,</w:t>
      </w:r>
      <w:r w:rsidRPr="00F96DE1">
        <w:t xml:space="preserve"> geomancy was devised to </w:t>
      </w:r>
      <w:r>
        <w:t>substitute</w:t>
      </w:r>
      <w:r w:rsidRPr="00F96DE1">
        <w:t xml:space="preserve"> astrology altogether, owing to its perceived difficulty and protracted nature (</w:t>
      </w:r>
      <w:r w:rsidRPr="00F96DE1">
        <w:rPr>
          <w:i/>
          <w:iCs/>
        </w:rPr>
        <w:t>difficilis et prolixa</w:t>
      </w:r>
      <w:r w:rsidRPr="00F96DE1">
        <w:t>). The practice of astrology demanded considerable time and resources to derive the necessary information for forecasts, and its application was constrained by the need to access precise movements</w:t>
      </w:r>
      <w:r w:rsidR="000551F9">
        <w:t xml:space="preserve"> of </w:t>
      </w:r>
      <w:r w:rsidR="000551F9" w:rsidRPr="00F96DE1">
        <w:t>celestial object</w:t>
      </w:r>
      <w:r w:rsidRPr="00F96DE1">
        <w:t xml:space="preserve"> (</w:t>
      </w:r>
      <w:r w:rsidRPr="00F96DE1">
        <w:rPr>
          <w:i/>
          <w:iCs/>
        </w:rPr>
        <w:t>inattingibilem stellarum cursum aut planetarum motum</w:t>
      </w:r>
      <w:r>
        <w:t>) – a</w:t>
      </w:r>
      <w:r w:rsidRPr="00F96DE1">
        <w:t xml:space="preserve"> task often unattainable in every time and place</w:t>
      </w:r>
      <w:r>
        <w:t>.</w:t>
      </w:r>
      <w:r>
        <w:rPr>
          <w:rStyle w:val="FootnoteReference"/>
        </w:rPr>
        <w:footnoteReference w:id="237"/>
      </w:r>
      <w:r w:rsidRPr="00F96DE1">
        <w:t xml:space="preserve"> Consequently, geomancy, rather than being considered a lesser form of astrology, found favour as an enhanced version of the science of the stars</w:t>
      </w:r>
      <w:r w:rsidR="00442450">
        <w:t>. This is because</w:t>
      </w:r>
      <w:r w:rsidRPr="00F96DE1">
        <w:t xml:space="preserve"> geomancy offered more reliable forecasts, </w:t>
      </w:r>
      <w:r w:rsidR="000551F9" w:rsidRPr="00F96DE1">
        <w:t>unrestricted</w:t>
      </w:r>
      <w:r w:rsidRPr="00F96DE1">
        <w:t xml:space="preserve"> by meteorological conditions, and transcended the limitations of human intellect that often led to errors in</w:t>
      </w:r>
      <w:r>
        <w:t xml:space="preserve"> </w:t>
      </w:r>
      <w:r w:rsidR="000551F9">
        <w:t>astronomical calculations</w:t>
      </w:r>
      <w:r w:rsidRPr="00F96DE1">
        <w:t>.</w:t>
      </w:r>
      <w:r>
        <w:t xml:space="preserve"> </w:t>
      </w:r>
      <w:r w:rsidRPr="000A1002">
        <w:t>Fundamentally, geomancy operated through the geomancer, who assumed a dual role</w:t>
      </w:r>
      <w:r>
        <w:t xml:space="preserve">. </w:t>
      </w:r>
      <w:r w:rsidRPr="000A1002">
        <w:t xml:space="preserve">During the forecasting process, he served as </w:t>
      </w:r>
      <w:r>
        <w:t>a</w:t>
      </w:r>
      <w:r w:rsidRPr="000A1002">
        <w:t xml:space="preserve"> conduit bridging body and soul, acting as a vital link between the celestial spheres and the sublunary world</w:t>
      </w:r>
      <w:r>
        <w:t>, as</w:t>
      </w:r>
      <w:r w:rsidRPr="000A1002">
        <w:t xml:space="preserve"> a reflective mirror, drawing geomantic figures that </w:t>
      </w:r>
      <w:r w:rsidR="0049573B">
        <w:t>reflected</w:t>
      </w:r>
      <w:r w:rsidRPr="000A1002">
        <w:t xml:space="preserve"> the astral configuration upon the Earth</w:t>
      </w:r>
      <w:r w:rsidR="0049573B">
        <w:t>’</w:t>
      </w:r>
      <w:r w:rsidRPr="000A1002">
        <w:t xml:space="preserve">s surface. Subsequently, in the reading of the chart, the geomancer transformed into an exegete, </w:t>
      </w:r>
      <w:r w:rsidR="00D224AD">
        <w:t>reading</w:t>
      </w:r>
      <w:r w:rsidRPr="000A1002">
        <w:t xml:space="preserve"> the celestial signs and deriving insights into past, present, and future events. In this perspective, ge</w:t>
      </w:r>
      <w:r>
        <w:t xml:space="preserve">omancy was </w:t>
      </w:r>
      <w:r w:rsidRPr="000A1002">
        <w:t>envisaged as a channel through which the celestial spheres communicated their wisdom and guidance to the human realm. The geomancer, serving as an intermediary between the earthly and celestial domains, was endowed with the capacity to decode these celestial messages and offer</w:t>
      </w:r>
      <w:r>
        <w:t xml:space="preserve"> </w:t>
      </w:r>
      <w:r w:rsidRPr="000A1002">
        <w:t>insights into the querent</w:t>
      </w:r>
      <w:r w:rsidR="00C36318">
        <w:t>’</w:t>
      </w:r>
      <w:r w:rsidRPr="000A1002">
        <w:t xml:space="preserve">s </w:t>
      </w:r>
      <w:r w:rsidR="007C5DB4">
        <w:t>questions</w:t>
      </w:r>
      <w:r w:rsidRPr="000A1002">
        <w:t xml:space="preserve">. Thus, the practice of geomancy was deeply grounded in the interconnectedness of the </w:t>
      </w:r>
      <w:r w:rsidR="00DF55A9">
        <w:t>celestial and terrestrial worlds</w:t>
      </w:r>
      <w:r w:rsidRPr="000A1002">
        <w:t xml:space="preserve">, where </w:t>
      </w:r>
      <w:r w:rsidR="00DF55A9">
        <w:t>astral</w:t>
      </w:r>
      <w:r w:rsidRPr="000A1002">
        <w:t xml:space="preserve"> influences pervaded the terrestrial realm, shaping the destinies of individuals.</w:t>
      </w:r>
    </w:p>
    <w:p w14:paraId="6F343F95" w14:textId="77777777" w:rsidR="00244FB6" w:rsidRDefault="00244FB6" w:rsidP="00244FB6">
      <w:pPr>
        <w:ind w:firstLine="0"/>
      </w:pPr>
    </w:p>
    <w:p w14:paraId="42782B91" w14:textId="430D4576" w:rsidR="00244FB6" w:rsidRPr="009F28FF" w:rsidRDefault="00244FB6" w:rsidP="009F28FF">
      <w:pPr>
        <w:pStyle w:val="Heading2"/>
        <w:ind w:firstLine="0"/>
        <w:rPr>
          <w:rFonts w:asciiTheme="majorBidi" w:hAnsiTheme="majorBidi"/>
          <w:color w:val="auto"/>
          <w:sz w:val="20"/>
          <w:szCs w:val="20"/>
        </w:rPr>
      </w:pPr>
      <w:bookmarkStart w:id="69" w:name="_Toc165108655"/>
      <w:r w:rsidRPr="009F28FF">
        <w:rPr>
          <w:rFonts w:asciiTheme="majorBidi" w:hAnsiTheme="majorBidi"/>
          <w:color w:val="auto"/>
          <w:sz w:val="20"/>
          <w:szCs w:val="20"/>
        </w:rPr>
        <w:t>III.</w:t>
      </w:r>
      <w:r w:rsidR="00A57524">
        <w:rPr>
          <w:rFonts w:asciiTheme="majorBidi" w:hAnsiTheme="majorBidi"/>
          <w:color w:val="auto"/>
          <w:sz w:val="20"/>
          <w:szCs w:val="20"/>
        </w:rPr>
        <w:t>2</w:t>
      </w:r>
      <w:r w:rsidRPr="009F28FF">
        <w:rPr>
          <w:rFonts w:asciiTheme="majorBidi" w:hAnsiTheme="majorBidi"/>
          <w:color w:val="auto"/>
          <w:sz w:val="20"/>
          <w:szCs w:val="20"/>
        </w:rPr>
        <w:t xml:space="preserve"> GEOMANTIC FIGURES AND CELESTIAL IMAGES</w:t>
      </w:r>
      <w:bookmarkEnd w:id="69"/>
    </w:p>
    <w:p w14:paraId="172C3E02" w14:textId="77777777" w:rsidR="00244FB6" w:rsidRDefault="00244FB6" w:rsidP="00244FB6">
      <w:pPr>
        <w:ind w:firstLine="0"/>
        <w:rPr>
          <w:sz w:val="20"/>
          <w:szCs w:val="20"/>
        </w:rPr>
      </w:pPr>
    </w:p>
    <w:p w14:paraId="17538E86" w14:textId="3E9050DC" w:rsidR="00244FB6" w:rsidRDefault="00244FB6" w:rsidP="00244FB6">
      <w:pPr>
        <w:ind w:firstLine="360"/>
      </w:pPr>
      <w:r>
        <w:tab/>
      </w:r>
      <w:r w:rsidRPr="00982F89">
        <w:t xml:space="preserve">The preceding analysis has shed light on the interplay between geomancy and astrology, discerning both their resemblances and divergences within the late medieval cosmological framework. However, an in-depth exploration of the intrinsic nature of the geomantic figures and their intricate correlation with celestial bodies warrants further investigation. A pivotal clue to this aspect emerges from the terminology employed to designate the figures. Throughout most late medieval and early modern Latin texts, these configurations were referred to as </w:t>
      </w:r>
      <w:r w:rsidRPr="00982F89">
        <w:rPr>
          <w:i/>
          <w:iCs/>
        </w:rPr>
        <w:t>figurae</w:t>
      </w:r>
      <w:r w:rsidRPr="00982F89">
        <w:t>, a term that gained standard recognition. Nevertheless, early translations of geomantic treatises from Arabic into Latin utili</w:t>
      </w:r>
      <w:r w:rsidR="00F87177">
        <w:t>s</w:t>
      </w:r>
      <w:r w:rsidRPr="00982F89">
        <w:t xml:space="preserve">ed the terms </w:t>
      </w:r>
      <w:r w:rsidRPr="00982F89">
        <w:rPr>
          <w:i/>
          <w:iCs/>
        </w:rPr>
        <w:t>signa</w:t>
      </w:r>
      <w:r w:rsidRPr="00982F89">
        <w:t xml:space="preserve"> and </w:t>
      </w:r>
      <w:r w:rsidRPr="00982F89">
        <w:rPr>
          <w:i/>
          <w:iCs/>
        </w:rPr>
        <w:t>puncta</w:t>
      </w:r>
      <w:r w:rsidRPr="00982F89">
        <w:t xml:space="preserve"> to denote the sixteen figures</w:t>
      </w:r>
      <w:r w:rsidR="006749C6">
        <w:t xml:space="preserve"> and their constituents</w:t>
      </w:r>
      <w:r w:rsidRPr="001A7619">
        <w:t>.</w:t>
      </w:r>
      <w:r>
        <w:rPr>
          <w:rStyle w:val="FootnoteReference"/>
        </w:rPr>
        <w:footnoteReference w:id="238"/>
      </w:r>
      <w:r>
        <w:t xml:space="preserve"> Of particular significance is the term </w:t>
      </w:r>
      <w:r w:rsidRPr="00793169">
        <w:rPr>
          <w:i/>
          <w:iCs/>
        </w:rPr>
        <w:t>signum</w:t>
      </w:r>
      <w:r>
        <w:t>, imbued with astrological connotations as it commonly denotes the twelve constellations of the zodiac. Furthermore, it suggests that the geomantic figures were conceived as being ‘signs of things,’ emblematic representations that indicated or symboli</w:t>
      </w:r>
      <w:r w:rsidR="00E11980">
        <w:t>s</w:t>
      </w:r>
      <w:r>
        <w:t>ed something beyond their immediate form. Emanating from the celestial spheres, these figures were thus acknowledged as authentic signs from the heavens. The ensuing section seeks to elucidate this profound interrelation, along with the connection between the images utilised in geomantic practice and those employed in astrological techniques. Central to this exploration is the correlation proposed by medieval authors between the sixteen geomantic figures and the twenty-eight asterisms of the mansions of the moon.</w:t>
      </w:r>
      <w:r w:rsidR="001F2D52">
        <w:rPr>
          <w:rStyle w:val="FootnoteReference"/>
        </w:rPr>
        <w:footnoteReference w:id="239"/>
      </w:r>
      <w:r>
        <w:t xml:space="preserve"> </w:t>
      </w:r>
    </w:p>
    <w:p w14:paraId="7B8F5C34" w14:textId="77777777" w:rsidR="00244FB6" w:rsidRDefault="00244FB6" w:rsidP="00244FB6">
      <w:pPr>
        <w:ind w:firstLine="0"/>
      </w:pPr>
    </w:p>
    <w:p w14:paraId="45D13991" w14:textId="00B04770" w:rsidR="00244FB6" w:rsidRPr="009F28FF" w:rsidRDefault="00244FB6" w:rsidP="009F28FF">
      <w:pPr>
        <w:pStyle w:val="Heading3"/>
        <w:ind w:firstLine="0"/>
        <w:rPr>
          <w:rFonts w:asciiTheme="majorBidi" w:hAnsiTheme="majorBidi"/>
          <w:b/>
          <w:bCs/>
          <w:color w:val="auto"/>
        </w:rPr>
      </w:pPr>
      <w:bookmarkStart w:id="70" w:name="_Toc165108656"/>
      <w:r w:rsidRPr="009F28FF">
        <w:rPr>
          <w:rFonts w:asciiTheme="majorBidi" w:hAnsiTheme="majorBidi"/>
          <w:b/>
          <w:bCs/>
          <w:color w:val="auto"/>
        </w:rPr>
        <w:lastRenderedPageBreak/>
        <w:t>Geomantic figures and lunar asterism</w:t>
      </w:r>
      <w:bookmarkEnd w:id="70"/>
    </w:p>
    <w:p w14:paraId="069A4120" w14:textId="77777777" w:rsidR="00244FB6" w:rsidRPr="00E95C77" w:rsidRDefault="00244FB6" w:rsidP="00244FB6">
      <w:pPr>
        <w:ind w:firstLine="0"/>
        <w:rPr>
          <w:i/>
          <w:iCs/>
        </w:rPr>
      </w:pPr>
    </w:p>
    <w:p w14:paraId="66C12D1B" w14:textId="3BD19512" w:rsidR="00244FB6" w:rsidRDefault="00244FB6" w:rsidP="00244FB6">
      <w:pPr>
        <w:ind w:firstLine="0"/>
      </w:pPr>
      <w:r>
        <w:tab/>
        <w:t xml:space="preserve">The system of the mansions of the moon – or lunar stations – represents an alternative to the solar zodiac. While this divides into twelve sections the apparent path of the Sun, lunar mansions consider the orbit of the Moon, which is quite near to the solar ecliptic, although inclined to it by 5°, and divide it into twenty-eight sections. Just as each of the twelve sections of the solar zodiac are marked by a constellation, starting from Aries and ending with Pisces, each of the twenty-eight sections of the Moon’s orbit are marked by a star or a small star cluster, to make each section easily recognisable in the night sky. This constitutes a lunar zodiac, marking the path of the Moon during its sidereal revolution around the Earth. The sections in which the Moon stays each night of its sidereal month are called the mansions of the moon, while the star clusters which mark these sections are known as lunar asterisms. This system became popular in Islamic astrology from the ninth century, and a century later the first Latin translations of texts regarding lunar mansions began to circulate in </w:t>
      </w:r>
      <w:r w:rsidR="0087252B">
        <w:t>medieval</w:t>
      </w:r>
      <w:r>
        <w:t xml:space="preserve"> Europe, employed in many typologies of prediction.</w:t>
      </w:r>
    </w:p>
    <w:p w14:paraId="1BEC65C3" w14:textId="7250AA3A" w:rsidR="00244FB6" w:rsidRDefault="00244FB6" w:rsidP="00244FB6">
      <w:pPr>
        <w:ind w:firstLine="0"/>
      </w:pPr>
      <w:r>
        <w:tab/>
        <w:t xml:space="preserve">The origins of the mansions of the Moon, in Arabic </w:t>
      </w:r>
      <w:r w:rsidRPr="00E56F04">
        <w:rPr>
          <w:i/>
          <w:iCs/>
        </w:rPr>
        <w:t>manāzil al-qamar</w:t>
      </w:r>
      <w:r>
        <w:t xml:space="preserve">, derive from the encounter between the Indian </w:t>
      </w:r>
      <w:r w:rsidRPr="00E56F04">
        <w:rPr>
          <w:i/>
          <w:iCs/>
        </w:rPr>
        <w:t>nakṣatras</w:t>
      </w:r>
      <w:r>
        <w:t xml:space="preserve">, and the Bedouins’ </w:t>
      </w:r>
      <w:r w:rsidRPr="00E56F04">
        <w:rPr>
          <w:i/>
          <w:iCs/>
        </w:rPr>
        <w:t>anwā</w:t>
      </w:r>
      <w:r>
        <w:t>, two similar systems to mark the passage of time, later assimilated together.</w:t>
      </w:r>
      <w:r>
        <w:rPr>
          <w:rStyle w:val="FootnoteReference"/>
        </w:rPr>
        <w:footnoteReference w:id="240"/>
      </w:r>
      <w:r w:rsidRPr="00E56F04">
        <w:t xml:space="preserve"> </w:t>
      </w:r>
      <w:r>
        <w:t>The Indians used the mansions as a division of the ecliptic into twenty-seven sections of 13° and 1/3 each, in the same way as the solar zodiac divides the ecliptic into twelve sections of 30° each. This subdivision was based on the fact that it requires twenty-seven days and 1/3 for the Moon to</w:t>
      </w:r>
      <w:r w:rsidRPr="0010486F">
        <w:t xml:space="preserve"> </w:t>
      </w:r>
      <w:r>
        <w:t xml:space="preserve">return to the same point </w:t>
      </w:r>
      <w:r>
        <w:lastRenderedPageBreak/>
        <w:t>of the ecliptic in relation to the same star.</w:t>
      </w:r>
      <w:r>
        <w:rPr>
          <w:rStyle w:val="FootnoteReference"/>
        </w:rPr>
        <w:footnoteReference w:id="241"/>
      </w:r>
      <w:r w:rsidRPr="000716C2">
        <w:t xml:space="preserve"> </w:t>
      </w:r>
      <w:r>
        <w:t xml:space="preserve">The Bedouin system of the </w:t>
      </w:r>
      <w:r w:rsidRPr="000716C2">
        <w:rPr>
          <w:i/>
          <w:iCs/>
        </w:rPr>
        <w:t>anwā</w:t>
      </w:r>
      <w:r>
        <w:t xml:space="preserve"> was more rudimenta</w:t>
      </w:r>
      <w:r w:rsidR="006749C6">
        <w:t>ry</w:t>
      </w:r>
      <w:r>
        <w:t>. The nomadic Arabs identified twenty-eight stars or groups of stars which they used to mark the twenty-eight sections into which they had divided the solar year.</w:t>
      </w:r>
      <w:r>
        <w:rPr>
          <w:rStyle w:val="FootnoteReference"/>
        </w:rPr>
        <w:footnoteReference w:id="242"/>
      </w:r>
      <w:r w:rsidRPr="00FE5AEA">
        <w:t xml:space="preserve"> </w:t>
      </w:r>
      <w:r>
        <w:t>This system was used to mark the passage of time and for meteorological predictions.</w:t>
      </w:r>
      <w:r>
        <w:rPr>
          <w:rStyle w:val="FootnoteReference"/>
        </w:rPr>
        <w:footnoteReference w:id="243"/>
      </w:r>
      <w:r>
        <w:t xml:space="preserve"> The </w:t>
      </w:r>
      <w:r w:rsidRPr="003113BA">
        <w:rPr>
          <w:i/>
          <w:iCs/>
        </w:rPr>
        <w:t>manāzil al-qamar</w:t>
      </w:r>
      <w:r>
        <w:t xml:space="preserve"> became popular in Islamic astrology from the ninth century, and a century later the first Latin translations of texts regarding lunar mansions, the </w:t>
      </w:r>
      <w:r w:rsidRPr="003113BA">
        <w:rPr>
          <w:i/>
          <w:iCs/>
        </w:rPr>
        <w:t xml:space="preserve">Alchandreana </w:t>
      </w:r>
      <w:r>
        <w:rPr>
          <w:i/>
          <w:iCs/>
        </w:rPr>
        <w:t>c</w:t>
      </w:r>
      <w:r w:rsidRPr="003113BA">
        <w:rPr>
          <w:i/>
          <w:iCs/>
        </w:rPr>
        <w:t>orpus</w:t>
      </w:r>
      <w:r>
        <w:t>, began to circulate in Europe, employing the mansions in many typologies of prediction, such as nativities, elections, interrogations, in general astrology, talismans, weather forecasts as well as in the practice of geomancy.</w:t>
      </w:r>
      <w:r>
        <w:rPr>
          <w:rStyle w:val="FootnoteReference"/>
        </w:rPr>
        <w:footnoteReference w:id="244"/>
      </w:r>
      <w:r w:rsidRPr="00FE5AEA">
        <w:t xml:space="preserve"> </w:t>
      </w:r>
      <w:r>
        <w:t>The predictions were either</w:t>
      </w:r>
      <w:r w:rsidRPr="00FE5AEA">
        <w:t xml:space="preserve"> </w:t>
      </w:r>
      <w:r>
        <w:t xml:space="preserve">derived by considering in which mansion the Moon was stationing in, or which mansion was rising on the </w:t>
      </w:r>
      <w:r w:rsidR="00C26935">
        <w:t>horizon</w:t>
      </w:r>
      <w:r>
        <w:t>.</w:t>
      </w:r>
    </w:p>
    <w:p w14:paraId="5708B478" w14:textId="266F0FD0" w:rsidR="00244FB6" w:rsidRDefault="00244FB6" w:rsidP="00244FB6">
      <w:pPr>
        <w:ind w:firstLine="0"/>
      </w:pPr>
      <w:r>
        <w:tab/>
        <w:t xml:space="preserve">In the excerpt previously mentioned in this chapter, Hugo Sanctelliensis in his </w:t>
      </w:r>
      <w:r w:rsidRPr="00FD0525">
        <w:rPr>
          <w:i/>
          <w:iCs/>
        </w:rPr>
        <w:t>Ars Geomantiae</w:t>
      </w:r>
      <w:r>
        <w:t xml:space="preserve"> </w:t>
      </w:r>
      <w:r w:rsidRPr="00A82A04">
        <w:t>proposes a significant correlation between the sixteen geomantic figures and the asterisms of the lunar mansions.</w:t>
      </w:r>
      <w:r>
        <w:rPr>
          <w:rStyle w:val="FootnoteReference"/>
        </w:rPr>
        <w:footnoteReference w:id="245"/>
      </w:r>
      <w:r>
        <w:t xml:space="preserve"> </w:t>
      </w:r>
      <w:r w:rsidRPr="00A82A04">
        <w:t xml:space="preserve">Notably, the </w:t>
      </w:r>
      <w:r w:rsidRPr="0090762B">
        <w:rPr>
          <w:i/>
          <w:iCs/>
        </w:rPr>
        <w:t>Liber arenalis scientiae</w:t>
      </w:r>
      <w:r w:rsidRPr="00A82A04">
        <w:t xml:space="preserve"> describ</w:t>
      </w:r>
      <w:r w:rsidR="0098796C">
        <w:t>es</w:t>
      </w:r>
      <w:r w:rsidRPr="00A82A04">
        <w:t xml:space="preserve"> the geomantic figures and their corresponding constellations. For instance, </w:t>
      </w:r>
      <w:r w:rsidRPr="00A82A04">
        <w:rPr>
          <w:i/>
          <w:iCs/>
        </w:rPr>
        <w:t>Acquisitio</w:t>
      </w:r>
      <w:r w:rsidRPr="00A82A04">
        <w:t xml:space="preserve"> is </w:t>
      </w:r>
      <w:r w:rsidRPr="00A82A04">
        <w:lastRenderedPageBreak/>
        <w:t xml:space="preserve">identified as the </w:t>
      </w:r>
      <w:r>
        <w:t>‘</w:t>
      </w:r>
      <w:r w:rsidRPr="00A82A04">
        <w:t>head of Aries,</w:t>
      </w:r>
      <w:r>
        <w:t>’</w:t>
      </w:r>
      <w:r w:rsidRPr="00A82A04">
        <w:t xml:space="preserve"> while </w:t>
      </w:r>
      <w:r w:rsidRPr="00A82A04">
        <w:rPr>
          <w:i/>
          <w:iCs/>
        </w:rPr>
        <w:t>Fortuna maior</w:t>
      </w:r>
      <w:r w:rsidRPr="00A82A04">
        <w:t xml:space="preserve"> is said to correspond to </w:t>
      </w:r>
      <w:r>
        <w:t>‘</w:t>
      </w:r>
      <w:r w:rsidRPr="00A82A04">
        <w:t>the end of Aries and the beginning of Taurus.</w:t>
      </w:r>
      <w:r>
        <w:t>’</w:t>
      </w:r>
      <w:r w:rsidRPr="00A82A04">
        <w:t xml:space="preserve"> </w:t>
      </w:r>
      <w:r w:rsidR="00685473">
        <w:t>Unfortunately</w:t>
      </w:r>
      <w:r w:rsidRPr="00A82A04">
        <w:t>, the text ceases to elaborate on this correspondence beyond the first two figures</w:t>
      </w:r>
      <w:r>
        <w:t>.</w:t>
      </w:r>
      <w:r>
        <w:rPr>
          <w:rStyle w:val="FootnoteReference"/>
        </w:rPr>
        <w:footnoteReference w:id="246"/>
      </w:r>
      <w:r>
        <w:t xml:space="preserve"> </w:t>
      </w:r>
      <w:r w:rsidRPr="00992059">
        <w:t xml:space="preserve">In the </w:t>
      </w:r>
      <w:r w:rsidRPr="00992059">
        <w:rPr>
          <w:i/>
          <w:iCs/>
        </w:rPr>
        <w:t>Liber arenalis scientiae</w:t>
      </w:r>
      <w:r w:rsidRPr="00992059">
        <w:t xml:space="preserve">, explicit reference to the names of the lunar mansions is omitted. Instead, these lunar mansions are denoted by their association with specific parts of the zodiac constellation. Such nomenclature finds common usage in treatises pertaining to the lunar mansions. For instance, in the anonymous tract </w:t>
      </w:r>
      <w:r w:rsidRPr="00992059">
        <w:rPr>
          <w:i/>
          <w:iCs/>
        </w:rPr>
        <w:t xml:space="preserve">De signis astronomicis, </w:t>
      </w:r>
      <w:r w:rsidRPr="00992059">
        <w:t xml:space="preserve">an astrological compendium derived from the </w:t>
      </w:r>
      <w:r w:rsidRPr="003E33B1">
        <w:rPr>
          <w:i/>
          <w:iCs/>
        </w:rPr>
        <w:t>Alchandreana Corpus,</w:t>
      </w:r>
      <w:r w:rsidRPr="00992059">
        <w:t xml:space="preserve"> the lunar mansions are described similarly, with examples such as</w:t>
      </w:r>
      <w:r>
        <w:t>: “</w:t>
      </w:r>
      <w:r w:rsidRPr="00CB5793">
        <w:t>Almisan is the end of Taurus and the head of Gemini, two stars</w:t>
      </w:r>
      <w:r>
        <w:t xml:space="preserve"> […]. Arathia, or azothaia, [is] the belly of Gemini, five stars as such […]</w:t>
      </w:r>
      <w:r w:rsidR="006F6CCE">
        <w:t>.</w:t>
      </w:r>
      <w:r>
        <w:t>”</w:t>
      </w:r>
      <w:r>
        <w:rPr>
          <w:rStyle w:val="FootnoteReference"/>
        </w:rPr>
        <w:footnoteReference w:id="247"/>
      </w:r>
      <w:r>
        <w:t xml:space="preserve"> </w:t>
      </w:r>
    </w:p>
    <w:p w14:paraId="04003624" w14:textId="663954CA" w:rsidR="00244FB6" w:rsidRDefault="00244FB6" w:rsidP="00244FB6">
      <w:r w:rsidRPr="00992059">
        <w:t>An interesting case of</w:t>
      </w:r>
      <w:r w:rsidR="00D20C52">
        <w:t xml:space="preserve"> the connection between</w:t>
      </w:r>
      <w:r w:rsidRPr="00992059">
        <w:t xml:space="preserve"> geomancy and lunar mansions is a unique thirteenth-century geomantic metal device preserved at the British Museum</w:t>
      </w:r>
      <w:r>
        <w:t>.</w:t>
      </w:r>
      <w:r>
        <w:rPr>
          <w:rStyle w:val="FootnoteReference"/>
        </w:rPr>
        <w:footnoteReference w:id="248"/>
      </w:r>
      <w:r>
        <w:t xml:space="preserve"> The examination of this artifact has been undertaken by Emilie-Savage-Smith and Marion B. Smith.</w:t>
      </w:r>
      <w:r>
        <w:rPr>
          <w:rStyle w:val="FootnoteReference"/>
        </w:rPr>
        <w:footnoteReference w:id="249"/>
      </w:r>
      <w:r>
        <w:t xml:space="preserve"> </w:t>
      </w:r>
      <w:r w:rsidRPr="00992059">
        <w:t xml:space="preserve">The device itself comprises three fundamental components: a front plate, adorned with several metallic dials, a back plate, and an enclosing frame that holds them together. </w:t>
      </w:r>
      <w:r>
        <w:t>T</w:t>
      </w:r>
      <w:r w:rsidRPr="00992059">
        <w:t xml:space="preserve">he plates are embellished with intricate inscriptions and decorative motifs crafted in silver and gold. </w:t>
      </w:r>
      <w:r>
        <w:t>The front plate presents an arrangement of nineteen small circles, each with a window that u</w:t>
      </w:r>
      <w:r w:rsidRPr="00992059">
        <w:t>nveils a segment of a small rotating dial securely attached behind the plate</w:t>
      </w:r>
      <w:r>
        <w:t>’</w:t>
      </w:r>
      <w:r w:rsidRPr="00992059">
        <w:t>s surface</w:t>
      </w:r>
      <w:r>
        <w:t>. A larger dial rotates beneath a semi-circular window at the centre of the plate, and at the right there are four arch-shaped openings.</w:t>
      </w:r>
      <w:r>
        <w:rPr>
          <w:rStyle w:val="FootnoteReference"/>
        </w:rPr>
        <w:footnoteReference w:id="250"/>
      </w:r>
      <w:r>
        <w:t xml:space="preserve"> The nineteen circles are divided into sixteen sections </w:t>
      </w:r>
      <w:r>
        <w:lastRenderedPageBreak/>
        <w:t>that contain the names of the houses of the geomantic tableau. T</w:t>
      </w:r>
      <w:r w:rsidRPr="00B51D99">
        <w:t>he accompanying dials mirror this arrangement, with their own sixteen sections precisely depicting the venerable geomantic figures</w:t>
      </w:r>
      <w:r>
        <w:t>. Above the larger dials is the inscription:</w:t>
      </w:r>
    </w:p>
    <w:p w14:paraId="1729AEB0" w14:textId="77777777" w:rsidR="00244FB6" w:rsidRDefault="00244FB6" w:rsidP="00244FB6"/>
    <w:p w14:paraId="351F64D7" w14:textId="77777777" w:rsidR="00244FB6" w:rsidRPr="00AB33DB" w:rsidRDefault="00244FB6" w:rsidP="00244FB6">
      <w:pPr>
        <w:ind w:left="567" w:firstLine="0"/>
        <w:rPr>
          <w:sz w:val="20"/>
          <w:szCs w:val="20"/>
        </w:rPr>
      </w:pPr>
      <w:r w:rsidRPr="00AB33DB">
        <w:rPr>
          <w:sz w:val="20"/>
          <w:szCs w:val="20"/>
        </w:rPr>
        <w:t>We have established this circle so that you may learn from it the</w:t>
      </w:r>
    </w:p>
    <w:p w14:paraId="106C49DA" w14:textId="77777777" w:rsidR="00244FB6" w:rsidRPr="00AB33DB" w:rsidRDefault="00244FB6" w:rsidP="00244FB6">
      <w:pPr>
        <w:ind w:left="567" w:firstLine="0"/>
        <w:rPr>
          <w:sz w:val="20"/>
          <w:szCs w:val="20"/>
        </w:rPr>
      </w:pPr>
      <w:r w:rsidRPr="00AB33DB">
        <w:rPr>
          <w:sz w:val="20"/>
          <w:szCs w:val="20"/>
        </w:rPr>
        <w:t>Correspondences of the forms of the figures with the forms of</w:t>
      </w:r>
    </w:p>
    <w:p w14:paraId="2559D716" w14:textId="77777777" w:rsidR="00244FB6" w:rsidRPr="00AB33DB" w:rsidRDefault="00244FB6" w:rsidP="00244FB6">
      <w:pPr>
        <w:ind w:left="567" w:firstLine="0"/>
        <w:rPr>
          <w:sz w:val="20"/>
          <w:szCs w:val="20"/>
        </w:rPr>
      </w:pPr>
      <w:r w:rsidRPr="00AB33DB">
        <w:rPr>
          <w:sz w:val="20"/>
          <w:szCs w:val="20"/>
        </w:rPr>
        <w:t xml:space="preserve">The lunar mansions, rising and setting. Thereupon the power to interpret </w:t>
      </w:r>
    </w:p>
    <w:p w14:paraId="029D24E3" w14:textId="77777777" w:rsidR="00244FB6" w:rsidRDefault="00244FB6" w:rsidP="00244FB6">
      <w:pPr>
        <w:ind w:left="567" w:firstLine="0"/>
        <w:rPr>
          <w:sz w:val="20"/>
          <w:szCs w:val="20"/>
        </w:rPr>
      </w:pPr>
      <w:r w:rsidRPr="00AB33DB">
        <w:rPr>
          <w:sz w:val="20"/>
          <w:szCs w:val="20"/>
        </w:rPr>
        <w:t>Might belong to it (the circle), but God knows best.</w:t>
      </w:r>
      <w:r>
        <w:rPr>
          <w:rStyle w:val="FootnoteReference"/>
          <w:sz w:val="20"/>
          <w:szCs w:val="20"/>
        </w:rPr>
        <w:footnoteReference w:id="251"/>
      </w:r>
    </w:p>
    <w:p w14:paraId="619CCD4A" w14:textId="77777777" w:rsidR="00244FB6" w:rsidRDefault="00244FB6" w:rsidP="00244FB6">
      <w:pPr>
        <w:ind w:firstLine="0"/>
      </w:pPr>
    </w:p>
    <w:p w14:paraId="577C6BE5" w14:textId="77777777" w:rsidR="00244FB6" w:rsidRDefault="00244FB6" w:rsidP="00244FB6">
      <w:pPr>
        <w:ind w:firstLine="0"/>
      </w:pPr>
      <w:r>
        <w:t>The larger dial is segmented into three bands, each serving a specific purpose. The first band displays inscriptions that denote omens associated with the geomantic figures. In the second band, the representations of the geomantic figures are prominently exhibited. The innermost band showcases the names of the lunar mansions. Evidently, this thoughtfully crafted design embodies a striking correlation between the geomantic figures and the lunar mansions, including their celestial ascension and descent.</w:t>
      </w:r>
      <w:r>
        <w:rPr>
          <w:rStyle w:val="FootnoteReference"/>
        </w:rPr>
        <w:footnoteReference w:id="252"/>
      </w:r>
    </w:p>
    <w:p w14:paraId="60049B41" w14:textId="50E237E7" w:rsidR="00244FB6" w:rsidRDefault="00244FB6" w:rsidP="003C7DAF">
      <w:pPr>
        <w:ind w:firstLine="0"/>
      </w:pPr>
      <w:r>
        <w:tab/>
        <w:t>In the medieval era, there were occasional suggestions of a correspondence between the asterisms of lunar mansions and the geomantic figures employed in the divinatory technique. However, it is noteworthy that lunar mansions did not find practical application in the actual casting of the geomantic technique, and astrological texts centred on lunar mansions do not make mention of geomancy. Despite this, the inherent connection perceived by medieval authors between these two doctrines can be comprehended more readily when examining depictions of lunar asterisms and geomantic figures in medieval manuscripts.</w:t>
      </w:r>
      <w:r w:rsidR="003C7DAF">
        <w:t xml:space="preserve"> The</w:t>
      </w:r>
      <w:r>
        <w:t xml:space="preserve"> first chapter of this thesis </w:t>
      </w:r>
      <w:r w:rsidR="003C7DAF">
        <w:t xml:space="preserve">has </w:t>
      </w:r>
      <w:r>
        <w:t xml:space="preserve">provided insights into the shape and structure of </w:t>
      </w:r>
      <w:r w:rsidR="003C7DAF">
        <w:t xml:space="preserve">the sixteen </w:t>
      </w:r>
      <w:r>
        <w:t>geomantic figures</w:t>
      </w:r>
      <w:r w:rsidR="003C7DAF">
        <w:t xml:space="preserve">. </w:t>
      </w:r>
      <w:r>
        <w:t xml:space="preserve">A closer examination of the images below reveals that lunar mansions, </w:t>
      </w:r>
      <w:r>
        <w:lastRenderedPageBreak/>
        <w:t xml:space="preserve">alongside other constellations, were also frequently portrayed as configurations of </w:t>
      </w:r>
      <w:r w:rsidR="002F2BE4">
        <w:t>points</w:t>
      </w:r>
      <w:r>
        <w:t xml:space="preserve">. This similarity may have </w:t>
      </w:r>
      <w:r w:rsidR="003C7DAF">
        <w:t>reinforced</w:t>
      </w:r>
      <w:r>
        <w:t xml:space="preserve"> the belief that the sixteen geomantic figures themselves constituted symbolic representations of celestial constellations. This notion was further accentuated by the fact that both the twenty-eight asterisms and the sixteen figures were at times depicted in medieval sources as small stars, as depicted in </w:t>
      </w:r>
      <w:r w:rsidRPr="000B22E2">
        <w:t xml:space="preserve">Figure </w:t>
      </w:r>
      <w:r w:rsidR="000B22E2" w:rsidRPr="000B22E2">
        <w:t>6</w:t>
      </w:r>
      <w:r w:rsidRPr="000B22E2">
        <w:t xml:space="preserve"> (</w:t>
      </w:r>
      <w:r>
        <w:t>see below).</w:t>
      </w:r>
      <w:r>
        <w:rPr>
          <w:rStyle w:val="FootnoteReference"/>
        </w:rPr>
        <w:footnoteReference w:id="253"/>
      </w:r>
      <w:r w:rsidR="003C7DAF">
        <w:t xml:space="preserve"> </w:t>
      </w:r>
      <w:r w:rsidRPr="004C272E">
        <w:t xml:space="preserve">The use of illustration and symbolism played a significant role in shaping the medieval understanding of these practices. </w:t>
      </w:r>
      <w:r w:rsidR="00E95BC9" w:rsidRPr="00E95BC9">
        <w:t>To understand the deep cultural and intellectual background that influenced their connected symbolism, it's important to examine the wider medieval context, including astrology, cosmology, and the prevailing beliefs that supported these connections. By exploring these various aspects, we can gain a better understanding of the complex network of cosmological links connecting geomancy and lunar mansions.</w:t>
      </w:r>
    </w:p>
    <w:p w14:paraId="2BC4E687" w14:textId="4DCCD63A" w:rsidR="00244FB6" w:rsidRDefault="00244FB6" w:rsidP="00244FB6">
      <w:r>
        <w:t xml:space="preserve">An additional form of depiction that underscores the notion of geomantic figures as celestial entities consists in circular diagrams featuring concentric circles housing the sixteen geomantic figures. These cosmological diagrams exhibit a compelling resemblance to accurate representations of the medieval cosmic structure. Analogous diagrams were also employed to represent the asterisms of the lunar mansions and their correlation with the twelve constellations of the zodiac. In certain instances, as evidenced in the manuscript Plut. 30.29, both Arabic doctrines find themselves coexisting within the same miscellany, thereby affording medieval and modern readers alike the unique opportunity to compare these circular diagrams and discern interconnections between the diverse patterns of </w:t>
      </w:r>
      <w:r w:rsidR="002F2BE4">
        <w:t>points</w:t>
      </w:r>
      <w:r>
        <w:t xml:space="preserve"> </w:t>
      </w:r>
      <w:r w:rsidRPr="000B22E2">
        <w:t xml:space="preserve">(see Figure </w:t>
      </w:r>
      <w:r w:rsidR="000B1A23">
        <w:t>7</w:t>
      </w:r>
      <w:r w:rsidRPr="000B22E2">
        <w:t xml:space="preserve"> and </w:t>
      </w:r>
      <w:r w:rsidR="000B1A23">
        <w:t>8</w:t>
      </w:r>
      <w:r w:rsidRPr="000B22E2">
        <w:t>).</w:t>
      </w:r>
      <w:r w:rsidRPr="000B22E2">
        <w:rPr>
          <w:rStyle w:val="FootnoteReference"/>
        </w:rPr>
        <w:footnoteReference w:id="254"/>
      </w:r>
      <w:r>
        <w:t xml:space="preserve"> However, it is pertinent to note that geomantic figures not only find their </w:t>
      </w:r>
      <w:r>
        <w:lastRenderedPageBreak/>
        <w:t xml:space="preserve">place within cosmological diagrams belonging to geomantic literature but also permeate other cosmological representations. For example, a remarkable instance occurs in the </w:t>
      </w:r>
      <w:r w:rsidRPr="00005A15">
        <w:rPr>
          <w:i/>
          <w:iCs/>
        </w:rPr>
        <w:t>Ilanot</w:t>
      </w:r>
      <w:r>
        <w:t xml:space="preserve"> (kabbalistic trees) found in the early sixteenth-century Italian codex </w:t>
      </w:r>
      <w:bookmarkStart w:id="71" w:name="_Hlk149647711"/>
      <w:r>
        <w:t>Oxford, BL, MS Hunt. Add. D</w:t>
      </w:r>
      <w:bookmarkEnd w:id="71"/>
      <w:r>
        <w:t>. This cosmological diagram features an inner circle symboli</w:t>
      </w:r>
      <w:r w:rsidR="009A5F3A">
        <w:t>s</w:t>
      </w:r>
      <w:r>
        <w:t>ing the Earth, encircled by fourteen concentric rings divided radially into twelve segments, with an outer band adorned with the depictions of each zodiacal sign. The geomantic figures emerge sporadically within select sections of this composition, occasionally positioned in the outer band adjacent to a zodiacal sign or nestled in the thinner bands closer to the centre, sometimes appearing in pairs or individually. In one particular instance, the geomantic figures encircle the symbol of the Moon, thus bridging the realms of geomantic symbolism and cosmic representation.</w:t>
      </w:r>
      <w:r>
        <w:rPr>
          <w:rStyle w:val="FootnoteReference"/>
        </w:rPr>
        <w:footnoteReference w:id="255"/>
      </w:r>
    </w:p>
    <w:p w14:paraId="3BCCA1AF" w14:textId="77777777" w:rsidR="00244FB6" w:rsidRDefault="00244FB6" w:rsidP="00244FB6">
      <w:pPr>
        <w:ind w:firstLine="0"/>
      </w:pPr>
    </w:p>
    <w:p w14:paraId="34638BD8" w14:textId="5941F605" w:rsidR="00244FB6" w:rsidRDefault="00244FB6" w:rsidP="00244FB6">
      <w:r>
        <w:t xml:space="preserve">The analysis pursued in this chapter </w:t>
      </w:r>
      <w:r w:rsidR="00E95BC9">
        <w:t>highlights</w:t>
      </w:r>
      <w:r>
        <w:t xml:space="preserve"> the profound interconnection that existed between geomancy and astrology during the medieval period. The image that this study gives back is that of the geomantic technique as unequivocally depending upon the same celestial motions that constitute the object of study of astrology. According to the sources referenced in this chapter, geomancy presents itself as a form of astrology that, free from all complex astronomical calculations, represents directly on earth, in the codified form of sixteen designs, the constellations that are present in the sky in the moment the prediction is made. Pasquale Arfé, the editor of</w:t>
      </w:r>
      <w:r w:rsidR="00155780">
        <w:t xml:space="preserve"> Hugo Sanctelliensis’</w:t>
      </w:r>
      <w:r>
        <w:t xml:space="preserve"> </w:t>
      </w:r>
      <w:r w:rsidRPr="00E56687">
        <w:rPr>
          <w:i/>
          <w:iCs/>
        </w:rPr>
        <w:t>Ars geomantiae</w:t>
      </w:r>
      <w:r>
        <w:t xml:space="preserve">, touches upon the correlation between geomantic figures and lunar mansions, describing the system of sixteen </w:t>
      </w:r>
      <w:r>
        <w:lastRenderedPageBreak/>
        <w:t>geomantic figures as a ‘terrestrial alphabet’ designed to articulate the language of the stars.</w:t>
      </w:r>
      <w:r>
        <w:rPr>
          <w:rStyle w:val="FootnoteReference"/>
        </w:rPr>
        <w:footnoteReference w:id="256"/>
      </w:r>
      <w:r>
        <w:t xml:space="preserve"> As a direct conduit through which celestial intelligences commune with humanity, the geomancer assumes the role of an interpreter, proficient in deciphering the messages concealed within the geomantic chart. </w:t>
      </w:r>
    </w:p>
    <w:p w14:paraId="69F8AC11" w14:textId="42D5E757" w:rsidR="00244FB6" w:rsidRDefault="00244FB6" w:rsidP="00244FB6">
      <w:r>
        <w:t xml:space="preserve">Over the centuries, the association of geomancy with astrology found diverse expressions, with the science of the sand assuming a more pronounced astrological character, particularly after the medieval era. Notably, the integration of zodiacal and planetary correspondences with the sixteen geomantic figures emerged as a constant feature within late medieval and early modern geomantic treatises. However, it is crucial to recognise that already in its nascent form, geomancy was </w:t>
      </w:r>
      <w:r w:rsidR="00155780">
        <w:t>mostly</w:t>
      </w:r>
      <w:r>
        <w:t xml:space="preserve"> perceived and practiced in </w:t>
      </w:r>
      <w:r w:rsidR="0087252B">
        <w:t xml:space="preserve">European culture </w:t>
      </w:r>
      <w:r>
        <w:t xml:space="preserve">as a branch of astrology. This perception was aptly mirrored in the definitions of geomancy found in divinatory and philosophical texts, as well as in references to geomantic figures within literary sources, and the manner in which geomantic figures were represented. </w:t>
      </w:r>
    </w:p>
    <w:p w14:paraId="0941EEF1" w14:textId="43AB0A4A" w:rsidR="00244FB6" w:rsidRDefault="00244FB6" w:rsidP="002331F1">
      <w:r>
        <w:t xml:space="preserve">This conception of geomancy as a branch or a form of astrology though does not fully resolve the question on the epistemic status of geomancy, because it does not take into account the geomantic tradition in its entirety. While many texts mark the vicinity of geomancy with astrology, arguing that the forecast of the geomancer derive uniquely from the celestial influences, this idea did not fully reassure the ecclesiastical authorities of the time, that still saw a dangerous vicinity of geomancy with divinatory and magical arts. Moreover, there are still significant differences between the figure of the geomancer and the astrologer. While the astrologer through his practice reaches a deep knowledge of the influences that the celestial bodies have on the terrestrial realms and thus through their knowledge and wisdom are able to escape astral determinism, the geomancer in his profession has to submit to these influences and become an instrument of the celestial </w:t>
      </w:r>
      <w:r>
        <w:lastRenderedPageBreak/>
        <w:t>intelligences. This puts the geomancer closer to the figures of diviners and oracles</w:t>
      </w:r>
      <w:r w:rsidR="00F62D0B">
        <w:t xml:space="preserve"> – through which Gods or supernatural entities spoke directly –</w:t>
      </w:r>
      <w:r>
        <w:t xml:space="preserve"> rather than to astrologers. Furthermore, it emerges from the content of the </w:t>
      </w:r>
      <w:r w:rsidRPr="00116E1D">
        <w:rPr>
          <w:i/>
          <w:iCs/>
        </w:rPr>
        <w:t>Liber arenalis scientiae</w:t>
      </w:r>
      <w:r>
        <w:t xml:space="preserve"> that geomancy </w:t>
      </w:r>
      <w:r w:rsidR="00155780">
        <w:t>was</w:t>
      </w:r>
      <w:r>
        <w:t xml:space="preserve"> not only promoted as a method</w:t>
      </w:r>
      <w:r w:rsidR="001B593E">
        <w:t xml:space="preserve"> </w:t>
      </w:r>
      <w:r>
        <w:t>through which past, present, and future events</w:t>
      </w:r>
      <w:r w:rsidR="001B593E">
        <w:t xml:space="preserve"> can be revealed,</w:t>
      </w:r>
      <w:r>
        <w:t xml:space="preserve"> but also as a technique capable of investigating the depths of the human soul, and </w:t>
      </w:r>
      <w:r w:rsidR="006A4331">
        <w:t>revealing</w:t>
      </w:r>
      <w:r>
        <w:t xml:space="preserve"> its hidden content. </w:t>
      </w:r>
      <w:r w:rsidRPr="00116E1D">
        <w:t>This, in turn, engenders a compelling discussion surrounding the nature of the knowledge accessed by the geomancer</w:t>
      </w:r>
      <w:r w:rsidR="00B7468C">
        <w:t>, that will be the subject of enquiry of the following chapters.</w:t>
      </w:r>
    </w:p>
    <w:p w14:paraId="41785051" w14:textId="77777777" w:rsidR="00244FB6" w:rsidRDefault="00244FB6" w:rsidP="00244FB6">
      <w:pPr>
        <w:ind w:firstLine="0"/>
      </w:pPr>
      <w:r>
        <w:rPr>
          <w:noProof/>
        </w:rPr>
        <w:lastRenderedPageBreak/>
        <w:drawing>
          <wp:inline distT="0" distB="0" distL="0" distR="0" wp14:anchorId="54D0EC85" wp14:editId="5898527F">
            <wp:extent cx="5400119" cy="8077200"/>
            <wp:effectExtent l="0" t="0" r="0" b="0"/>
            <wp:docPr id="1593123550"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23550" name="Picture 1" descr="A close-up of a book&#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414266" cy="8098361"/>
                    </a:xfrm>
                    <a:prstGeom prst="rect">
                      <a:avLst/>
                    </a:prstGeom>
                  </pic:spPr>
                </pic:pic>
              </a:graphicData>
            </a:graphic>
          </wp:inline>
        </w:drawing>
      </w:r>
    </w:p>
    <w:p w14:paraId="3FAE192E" w14:textId="183532C6" w:rsidR="00244FB6" w:rsidRDefault="00244FB6" w:rsidP="00320425">
      <w:pPr>
        <w:spacing w:line="240" w:lineRule="auto"/>
        <w:ind w:firstLine="0"/>
        <w:jc w:val="center"/>
        <w:rPr>
          <w:sz w:val="20"/>
          <w:szCs w:val="20"/>
        </w:rPr>
      </w:pPr>
      <w:bookmarkStart w:id="73" w:name="_Hlk150942908"/>
      <w:r w:rsidRPr="00967140">
        <w:rPr>
          <w:b/>
          <w:bCs/>
          <w:sz w:val="20"/>
          <w:szCs w:val="20"/>
        </w:rPr>
        <w:t xml:space="preserve">Figure </w:t>
      </w:r>
      <w:r w:rsidR="00DD09FC">
        <w:rPr>
          <w:b/>
          <w:bCs/>
          <w:sz w:val="20"/>
          <w:szCs w:val="20"/>
        </w:rPr>
        <w:t>6</w:t>
      </w:r>
      <w:r w:rsidRPr="00967140">
        <w:rPr>
          <w:b/>
          <w:bCs/>
          <w:sz w:val="20"/>
          <w:szCs w:val="20"/>
        </w:rPr>
        <w:t>.</w:t>
      </w:r>
      <w:r w:rsidRPr="00E7693B">
        <w:rPr>
          <w:sz w:val="20"/>
          <w:szCs w:val="20"/>
        </w:rPr>
        <w:t xml:space="preserve"> </w:t>
      </w:r>
      <w:r>
        <w:rPr>
          <w:sz w:val="20"/>
          <w:szCs w:val="20"/>
        </w:rPr>
        <w:t>G</w:t>
      </w:r>
      <w:r w:rsidRPr="00E7693B">
        <w:rPr>
          <w:sz w:val="20"/>
          <w:szCs w:val="20"/>
        </w:rPr>
        <w:t xml:space="preserve">eomantic </w:t>
      </w:r>
      <w:r>
        <w:rPr>
          <w:sz w:val="20"/>
          <w:szCs w:val="20"/>
        </w:rPr>
        <w:t>figures</w:t>
      </w:r>
      <w:r w:rsidRPr="00E7693B">
        <w:rPr>
          <w:sz w:val="20"/>
          <w:szCs w:val="20"/>
        </w:rPr>
        <w:t xml:space="preserve"> depicted as star cluster</w:t>
      </w:r>
      <w:r>
        <w:rPr>
          <w:sz w:val="20"/>
          <w:szCs w:val="20"/>
        </w:rPr>
        <w:t>s</w:t>
      </w:r>
      <w:r w:rsidR="00CF4A3F">
        <w:rPr>
          <w:sz w:val="20"/>
          <w:szCs w:val="20"/>
        </w:rPr>
        <w:t xml:space="preserve">. Source: </w:t>
      </w:r>
      <w:r w:rsidRPr="00E7693B">
        <w:rPr>
          <w:sz w:val="20"/>
          <w:szCs w:val="20"/>
        </w:rPr>
        <w:t>London, B</w:t>
      </w:r>
      <w:r w:rsidR="00CF4A3F">
        <w:rPr>
          <w:sz w:val="20"/>
          <w:szCs w:val="20"/>
        </w:rPr>
        <w:t xml:space="preserve">ritish </w:t>
      </w:r>
      <w:r>
        <w:rPr>
          <w:sz w:val="20"/>
          <w:szCs w:val="20"/>
        </w:rPr>
        <w:t>L</w:t>
      </w:r>
      <w:r w:rsidR="00CF4A3F">
        <w:rPr>
          <w:sz w:val="20"/>
          <w:szCs w:val="20"/>
        </w:rPr>
        <w:t>ibrary</w:t>
      </w:r>
      <w:r w:rsidRPr="00E7693B">
        <w:rPr>
          <w:sz w:val="20"/>
          <w:szCs w:val="20"/>
        </w:rPr>
        <w:t>,</w:t>
      </w:r>
      <w:r w:rsidR="00CF4A3F">
        <w:rPr>
          <w:sz w:val="20"/>
          <w:szCs w:val="20"/>
        </w:rPr>
        <w:t xml:space="preserve"> MS</w:t>
      </w:r>
      <w:r w:rsidRPr="00E7693B">
        <w:rPr>
          <w:sz w:val="20"/>
          <w:szCs w:val="20"/>
        </w:rPr>
        <w:t xml:space="preserve"> Arundel 66, f. 269v)</w:t>
      </w:r>
      <w:r w:rsidR="00C13BD4">
        <w:rPr>
          <w:sz w:val="20"/>
          <w:szCs w:val="20"/>
        </w:rPr>
        <w:t>. Image under Public Domain Mark.</w:t>
      </w:r>
    </w:p>
    <w:bookmarkEnd w:id="73"/>
    <w:p w14:paraId="1508C6D1" w14:textId="77777777" w:rsidR="00244FB6" w:rsidRDefault="00244FB6" w:rsidP="00244FB6">
      <w:pPr>
        <w:ind w:firstLine="0"/>
        <w:jc w:val="center"/>
      </w:pPr>
      <w:r>
        <w:rPr>
          <w:noProof/>
        </w:rPr>
        <w:lastRenderedPageBreak/>
        <w:drawing>
          <wp:inline distT="0" distB="0" distL="0" distR="0" wp14:anchorId="3E4F9FF0" wp14:editId="0FB77EC0">
            <wp:extent cx="5731510" cy="7395210"/>
            <wp:effectExtent l="0" t="0" r="2540" b="0"/>
            <wp:docPr id="1038972295" name="Picture 3" descr="A page of an old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72295" name="Picture 3" descr="A page of an old boo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31510" cy="7395210"/>
                    </a:xfrm>
                    <a:prstGeom prst="rect">
                      <a:avLst/>
                    </a:prstGeom>
                  </pic:spPr>
                </pic:pic>
              </a:graphicData>
            </a:graphic>
          </wp:inline>
        </w:drawing>
      </w:r>
    </w:p>
    <w:p w14:paraId="0CBFEFE2" w14:textId="79559363" w:rsidR="00244FB6" w:rsidRDefault="00244FB6" w:rsidP="00320425">
      <w:pPr>
        <w:spacing w:line="240" w:lineRule="auto"/>
        <w:ind w:firstLine="0"/>
        <w:jc w:val="center"/>
        <w:rPr>
          <w:sz w:val="20"/>
          <w:szCs w:val="20"/>
        </w:rPr>
      </w:pPr>
      <w:bookmarkStart w:id="74" w:name="_Hlk150942893"/>
      <w:r w:rsidRPr="00967140">
        <w:rPr>
          <w:b/>
          <w:bCs/>
          <w:sz w:val="20"/>
          <w:szCs w:val="20"/>
        </w:rPr>
        <w:t xml:space="preserve">Figure </w:t>
      </w:r>
      <w:r w:rsidR="00DD09FC">
        <w:rPr>
          <w:b/>
          <w:bCs/>
          <w:sz w:val="20"/>
          <w:szCs w:val="20"/>
        </w:rPr>
        <w:t>7</w:t>
      </w:r>
      <w:r w:rsidRPr="00967140">
        <w:rPr>
          <w:b/>
          <w:bCs/>
          <w:sz w:val="20"/>
          <w:szCs w:val="20"/>
        </w:rPr>
        <w:t>.</w:t>
      </w:r>
      <w:r>
        <w:rPr>
          <w:sz w:val="20"/>
          <w:szCs w:val="20"/>
        </w:rPr>
        <w:t xml:space="preserve"> Circular diagram with geomantic figures</w:t>
      </w:r>
      <w:r w:rsidR="00C13BD4">
        <w:rPr>
          <w:sz w:val="20"/>
          <w:szCs w:val="20"/>
        </w:rPr>
        <w:t xml:space="preserve">. Source: </w:t>
      </w:r>
      <w:r>
        <w:rPr>
          <w:sz w:val="20"/>
          <w:szCs w:val="20"/>
        </w:rPr>
        <w:t>Florence</w:t>
      </w:r>
      <w:r w:rsidRPr="00E7693B">
        <w:rPr>
          <w:sz w:val="20"/>
          <w:szCs w:val="20"/>
        </w:rPr>
        <w:t>, B</w:t>
      </w:r>
      <w:r w:rsidR="00320425">
        <w:rPr>
          <w:sz w:val="20"/>
          <w:szCs w:val="20"/>
        </w:rPr>
        <w:t xml:space="preserve">iblioteca </w:t>
      </w:r>
      <w:r w:rsidRPr="00E7693B">
        <w:rPr>
          <w:sz w:val="20"/>
          <w:szCs w:val="20"/>
        </w:rPr>
        <w:t>M</w:t>
      </w:r>
      <w:r w:rsidR="00320425">
        <w:rPr>
          <w:sz w:val="20"/>
          <w:szCs w:val="20"/>
        </w:rPr>
        <w:t xml:space="preserve">edicea </w:t>
      </w:r>
      <w:r w:rsidRPr="00E7693B">
        <w:rPr>
          <w:sz w:val="20"/>
          <w:szCs w:val="20"/>
        </w:rPr>
        <w:t>L</w:t>
      </w:r>
      <w:r w:rsidR="00320425">
        <w:rPr>
          <w:sz w:val="20"/>
          <w:szCs w:val="20"/>
        </w:rPr>
        <w:t>aurenziana</w:t>
      </w:r>
      <w:r w:rsidRPr="00E7693B">
        <w:rPr>
          <w:sz w:val="20"/>
          <w:szCs w:val="20"/>
        </w:rPr>
        <w:t>, Plut.30</w:t>
      </w:r>
      <w:r>
        <w:rPr>
          <w:sz w:val="20"/>
          <w:szCs w:val="20"/>
        </w:rPr>
        <w:t>.</w:t>
      </w:r>
      <w:r w:rsidRPr="00E7693B">
        <w:rPr>
          <w:sz w:val="20"/>
          <w:szCs w:val="20"/>
        </w:rPr>
        <w:t>29. f.16r</w:t>
      </w:r>
      <w:bookmarkEnd w:id="74"/>
      <w:r w:rsidR="00CF3D77">
        <w:rPr>
          <w:sz w:val="20"/>
          <w:szCs w:val="20"/>
        </w:rPr>
        <w:t>.</w:t>
      </w:r>
      <w:r w:rsidR="00320425">
        <w:rPr>
          <w:sz w:val="20"/>
          <w:szCs w:val="20"/>
        </w:rPr>
        <w:t xml:space="preserve"> </w:t>
      </w:r>
      <w:r w:rsidR="00320425" w:rsidRPr="00320425">
        <w:rPr>
          <w:sz w:val="20"/>
          <w:szCs w:val="20"/>
        </w:rPr>
        <w:t>Further reproduction by any means is prohibited.</w:t>
      </w:r>
    </w:p>
    <w:p w14:paraId="3A626E2B" w14:textId="77777777" w:rsidR="00244FB6" w:rsidRDefault="00244FB6" w:rsidP="00244FB6">
      <w:pPr>
        <w:ind w:firstLine="0"/>
        <w:jc w:val="center"/>
        <w:rPr>
          <w:sz w:val="20"/>
          <w:szCs w:val="20"/>
        </w:rPr>
      </w:pPr>
    </w:p>
    <w:p w14:paraId="6D2942E2" w14:textId="77777777" w:rsidR="00244FB6" w:rsidRDefault="00244FB6" w:rsidP="00244FB6">
      <w:pPr>
        <w:ind w:firstLine="0"/>
        <w:jc w:val="center"/>
        <w:rPr>
          <w:sz w:val="20"/>
          <w:szCs w:val="20"/>
        </w:rPr>
      </w:pPr>
      <w:r>
        <w:rPr>
          <w:noProof/>
          <w:sz w:val="20"/>
          <w:szCs w:val="20"/>
        </w:rPr>
        <w:lastRenderedPageBreak/>
        <w:drawing>
          <wp:inline distT="0" distB="0" distL="0" distR="0" wp14:anchorId="0D8646F2" wp14:editId="735C786B">
            <wp:extent cx="5731510" cy="6791960"/>
            <wp:effectExtent l="0" t="0" r="2540" b="8890"/>
            <wp:docPr id="993164224" name="Picture 2" descr="A book with a circul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64224" name="Picture 2" descr="A book with a circular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31510" cy="6791960"/>
                    </a:xfrm>
                    <a:prstGeom prst="rect">
                      <a:avLst/>
                    </a:prstGeom>
                  </pic:spPr>
                </pic:pic>
              </a:graphicData>
            </a:graphic>
          </wp:inline>
        </w:drawing>
      </w:r>
    </w:p>
    <w:p w14:paraId="270B4FF5" w14:textId="03EC598E" w:rsidR="00AC0B7F" w:rsidRDefault="00244FB6" w:rsidP="00320425">
      <w:pPr>
        <w:spacing w:line="240" w:lineRule="auto"/>
        <w:ind w:firstLine="0"/>
        <w:jc w:val="center"/>
        <w:rPr>
          <w:sz w:val="20"/>
          <w:szCs w:val="20"/>
        </w:rPr>
      </w:pPr>
      <w:bookmarkStart w:id="75" w:name="_Hlk150942869"/>
      <w:r w:rsidRPr="00967140">
        <w:rPr>
          <w:b/>
          <w:bCs/>
          <w:sz w:val="20"/>
          <w:szCs w:val="20"/>
        </w:rPr>
        <w:t xml:space="preserve">Figure </w:t>
      </w:r>
      <w:r w:rsidR="008E37D3">
        <w:rPr>
          <w:b/>
          <w:bCs/>
          <w:sz w:val="20"/>
          <w:szCs w:val="20"/>
        </w:rPr>
        <w:t>8</w:t>
      </w:r>
      <w:r>
        <w:rPr>
          <w:sz w:val="20"/>
          <w:szCs w:val="20"/>
        </w:rPr>
        <w:t>. Circular Diagram with lunar asterisms</w:t>
      </w:r>
      <w:r w:rsidR="00320425">
        <w:rPr>
          <w:sz w:val="20"/>
          <w:szCs w:val="20"/>
        </w:rPr>
        <w:t>. Source:</w:t>
      </w:r>
      <w:r>
        <w:rPr>
          <w:sz w:val="20"/>
          <w:szCs w:val="20"/>
        </w:rPr>
        <w:t xml:space="preserve"> Florence</w:t>
      </w:r>
      <w:r w:rsidRPr="00E7693B">
        <w:rPr>
          <w:sz w:val="20"/>
          <w:szCs w:val="20"/>
        </w:rPr>
        <w:t>, B</w:t>
      </w:r>
      <w:r w:rsidR="00320425">
        <w:rPr>
          <w:sz w:val="20"/>
          <w:szCs w:val="20"/>
        </w:rPr>
        <w:t xml:space="preserve">iblioteca </w:t>
      </w:r>
      <w:r w:rsidRPr="00E7693B">
        <w:rPr>
          <w:sz w:val="20"/>
          <w:szCs w:val="20"/>
        </w:rPr>
        <w:t>M</w:t>
      </w:r>
      <w:r w:rsidR="00320425">
        <w:rPr>
          <w:sz w:val="20"/>
          <w:szCs w:val="20"/>
        </w:rPr>
        <w:t xml:space="preserve">edicea </w:t>
      </w:r>
      <w:r w:rsidRPr="00E7693B">
        <w:rPr>
          <w:sz w:val="20"/>
          <w:szCs w:val="20"/>
        </w:rPr>
        <w:t>L</w:t>
      </w:r>
      <w:r w:rsidR="00320425">
        <w:rPr>
          <w:sz w:val="20"/>
          <w:szCs w:val="20"/>
        </w:rPr>
        <w:t>aurenziana</w:t>
      </w:r>
      <w:r w:rsidRPr="00E7693B">
        <w:rPr>
          <w:sz w:val="20"/>
          <w:szCs w:val="20"/>
        </w:rPr>
        <w:t>, Plut.30</w:t>
      </w:r>
      <w:r>
        <w:rPr>
          <w:sz w:val="20"/>
          <w:szCs w:val="20"/>
        </w:rPr>
        <w:t>.</w:t>
      </w:r>
      <w:r w:rsidRPr="00E7693B">
        <w:rPr>
          <w:sz w:val="20"/>
          <w:szCs w:val="20"/>
        </w:rPr>
        <w:t>29. f.</w:t>
      </w:r>
      <w:r>
        <w:rPr>
          <w:sz w:val="20"/>
          <w:szCs w:val="20"/>
        </w:rPr>
        <w:t>27r</w:t>
      </w:r>
      <w:r w:rsidR="00DC28E0">
        <w:rPr>
          <w:sz w:val="20"/>
          <w:szCs w:val="20"/>
        </w:rPr>
        <w:t>.</w:t>
      </w:r>
      <w:r w:rsidR="00320425" w:rsidRPr="00320425">
        <w:t xml:space="preserve"> </w:t>
      </w:r>
      <w:r w:rsidR="00320425" w:rsidRPr="00320425">
        <w:rPr>
          <w:sz w:val="20"/>
          <w:szCs w:val="20"/>
        </w:rPr>
        <w:t>Further reproduction by any means is prohibited.</w:t>
      </w:r>
    </w:p>
    <w:bookmarkEnd w:id="75"/>
    <w:p w14:paraId="34C615E4" w14:textId="42EC8C95" w:rsidR="00244FB6" w:rsidRPr="00AC0B7F" w:rsidRDefault="00AC0B7F" w:rsidP="009F28FF">
      <w:pPr>
        <w:rPr>
          <w:sz w:val="20"/>
          <w:szCs w:val="20"/>
        </w:rPr>
      </w:pPr>
      <w:r>
        <w:rPr>
          <w:sz w:val="20"/>
          <w:szCs w:val="20"/>
        </w:rPr>
        <w:br w:type="page"/>
      </w:r>
    </w:p>
    <w:p w14:paraId="780D09E9" w14:textId="77777777" w:rsidR="00244FB6" w:rsidRPr="009F28FF" w:rsidRDefault="00244FB6" w:rsidP="009F28FF">
      <w:pPr>
        <w:pStyle w:val="Heading1"/>
        <w:ind w:firstLine="0"/>
        <w:rPr>
          <w:rFonts w:asciiTheme="majorBidi" w:hAnsiTheme="majorBidi"/>
          <w:color w:val="auto"/>
          <w:sz w:val="24"/>
          <w:szCs w:val="24"/>
        </w:rPr>
      </w:pPr>
      <w:bookmarkStart w:id="76" w:name="_Toc165108657"/>
      <w:r w:rsidRPr="009F28FF">
        <w:rPr>
          <w:rFonts w:asciiTheme="majorBidi" w:hAnsiTheme="majorBidi"/>
          <w:color w:val="auto"/>
          <w:sz w:val="24"/>
          <w:szCs w:val="24"/>
        </w:rPr>
        <w:lastRenderedPageBreak/>
        <w:t xml:space="preserve">IV. </w:t>
      </w:r>
      <w:r w:rsidRPr="009F28FF">
        <w:rPr>
          <w:rFonts w:asciiTheme="majorBidi" w:hAnsiTheme="majorBidi"/>
          <w:i/>
          <w:iCs/>
          <w:color w:val="auto"/>
          <w:sz w:val="24"/>
          <w:szCs w:val="24"/>
        </w:rPr>
        <w:t>DE INTENTIONE QUAERENTIS</w:t>
      </w:r>
      <w:r w:rsidRPr="009F28FF">
        <w:rPr>
          <w:rFonts w:asciiTheme="majorBidi" w:hAnsiTheme="majorBidi"/>
          <w:color w:val="auto"/>
          <w:sz w:val="24"/>
          <w:szCs w:val="24"/>
        </w:rPr>
        <w:t>: GEOMANCY AND THE INVESTIGATION OF THE HUMAN SOUL</w:t>
      </w:r>
      <w:bookmarkEnd w:id="76"/>
    </w:p>
    <w:p w14:paraId="27421B2B" w14:textId="77777777" w:rsidR="00244FB6" w:rsidRDefault="00244FB6" w:rsidP="00244FB6">
      <w:pPr>
        <w:ind w:firstLine="0"/>
      </w:pPr>
    </w:p>
    <w:p w14:paraId="121F094E" w14:textId="2150A3FB" w:rsidR="00244FB6" w:rsidRDefault="00244FB6" w:rsidP="009E2E66">
      <w:r>
        <w:t xml:space="preserve">Plato of Tivoli’s </w:t>
      </w:r>
      <w:r w:rsidRPr="0082793B">
        <w:rPr>
          <w:i/>
          <w:iCs/>
        </w:rPr>
        <w:t>Liber arenalis scientiae</w:t>
      </w:r>
      <w:r>
        <w:t xml:space="preserve"> stresses the importance of a specific aspect in </w:t>
      </w:r>
      <w:r w:rsidR="007B3C7C">
        <w:t xml:space="preserve">the </w:t>
      </w:r>
      <w:r>
        <w:t xml:space="preserve">geomantic practice </w:t>
      </w:r>
      <w:r w:rsidR="00734441">
        <w:t>–</w:t>
      </w:r>
      <w:r>
        <w:t xml:space="preserve"> the revelation of ‘the intentions of the querent’ (</w:t>
      </w:r>
      <w:r w:rsidRPr="0009231F">
        <w:rPr>
          <w:i/>
          <w:iCs/>
        </w:rPr>
        <w:t>intentiones quaerentis</w:t>
      </w:r>
      <w:r>
        <w:t xml:space="preserve">). This treatise dedicates a significant portion of its content to this subject, which emerges as the focal point of the text. </w:t>
      </w:r>
      <w:r w:rsidR="005B7B71">
        <w:t>As previously mentioned, f</w:t>
      </w:r>
      <w:r>
        <w:t xml:space="preserve">our out of the </w:t>
      </w:r>
      <w:r w:rsidR="005B7B71">
        <w:t>five</w:t>
      </w:r>
      <w:r>
        <w:t xml:space="preserve"> chapters of Plato’s work are dedicated to shedding light on this phenomenon. However, while</w:t>
      </w:r>
      <w:r w:rsidR="003D0131">
        <w:t xml:space="preserve"> the</w:t>
      </w:r>
      <w:r>
        <w:t xml:space="preserve"> </w:t>
      </w:r>
      <w:r w:rsidRPr="0009231F">
        <w:rPr>
          <w:i/>
          <w:iCs/>
        </w:rPr>
        <w:t>Liber arenalis scientiae</w:t>
      </w:r>
      <w:r>
        <w:t xml:space="preserve"> pays particular attention on the subject, it becomes apparent that ‘intentions’ hold a prominent place not just within Plato’s work but across a broader array of geomantic literature. As unveiled in </w:t>
      </w:r>
      <w:r w:rsidR="001033C6">
        <w:t xml:space="preserve">the </w:t>
      </w:r>
      <w:r w:rsidR="001033C6" w:rsidRPr="001033C6">
        <w:rPr>
          <w:i/>
          <w:iCs/>
        </w:rPr>
        <w:t>Liber arenalis scientiae</w:t>
      </w:r>
      <w:r>
        <w:t xml:space="preserve">, the figures in the geomantic chart are not confined to a mere prediction of future events; rather, they harbour the profound ability to unveil the questions and desires concealed within the </w:t>
      </w:r>
      <w:r w:rsidR="00976E47">
        <w:t>querent’s</w:t>
      </w:r>
      <w:r>
        <w:t xml:space="preserve"> mind. This investigation of the human </w:t>
      </w:r>
      <w:r w:rsidR="009E2E66">
        <w:t>intentions</w:t>
      </w:r>
      <w:r>
        <w:t xml:space="preserve"> marks a crucial aspect of the science of geomancy, elevating it beyond a mere tool for foretelling the future. It ventures into the </w:t>
      </w:r>
      <w:r w:rsidR="006A41EB">
        <w:t>investigation of</w:t>
      </w:r>
      <w:r>
        <w:t xml:space="preserve"> the human soul. </w:t>
      </w:r>
    </w:p>
    <w:p w14:paraId="4BB4A4C4" w14:textId="4ACA02B0" w:rsidR="00244FB6" w:rsidRDefault="00244FB6" w:rsidP="00244FB6">
      <w:pPr>
        <w:rPr>
          <w:shd w:val="clear" w:color="auto" w:fill="FFFFFF"/>
        </w:rPr>
      </w:pPr>
      <w:r>
        <w:t>Contemporary scholarly discourse pertaining to geomancy has recently begun to acknowledge the significance of ‘intentions’ within the discipline of geomancy.</w:t>
      </w:r>
      <w:r w:rsidR="00005FE2">
        <w:rPr>
          <w:rStyle w:val="FootnoteReference"/>
        </w:rPr>
        <w:footnoteReference w:id="257"/>
      </w:r>
      <w:r w:rsidR="00005FE2">
        <w:t xml:space="preserve"> </w:t>
      </w:r>
      <w:r>
        <w:t xml:space="preserve">Nevertheless, scholarly investigation until now has not attempted to </w:t>
      </w:r>
      <w:r w:rsidR="00005FE2">
        <w:t>clarify</w:t>
      </w:r>
      <w:r>
        <w:t xml:space="preserve"> the connotations of this concept in the context of geomantic predictions, </w:t>
      </w:r>
      <w:r w:rsidRPr="00A65CEA">
        <w:t>thereby warranting further elucidation</w:t>
      </w:r>
      <w:r>
        <w:t xml:space="preserve">. </w:t>
      </w:r>
      <w:r w:rsidRPr="0038245E">
        <w:t>The primary objective of this chapter is to illuminate the intricate interplay between the sixteen geomantic figures, the querent</w:t>
      </w:r>
      <w:r>
        <w:t>’</w:t>
      </w:r>
      <w:r w:rsidRPr="0038245E">
        <w:t xml:space="preserve">s </w:t>
      </w:r>
      <w:r w:rsidR="00E541CE">
        <w:t>soul</w:t>
      </w:r>
      <w:r w:rsidRPr="0038245E">
        <w:t>, and the celestial spheres.</w:t>
      </w:r>
      <w:r>
        <w:t xml:space="preserve"> This investigation aims to expound upon the role human intentions assume in the praxis of </w:t>
      </w:r>
      <w:r>
        <w:lastRenderedPageBreak/>
        <w:t xml:space="preserve">geomancy, while also elucidating the semantic complexities of the term </w:t>
      </w:r>
      <w:r w:rsidRPr="006D35D7">
        <w:rPr>
          <w:i/>
          <w:iCs/>
        </w:rPr>
        <w:t>intentio</w:t>
      </w:r>
      <w:r>
        <w:t xml:space="preserve"> as employed in Latin geomantic texts. The following analysis underscores the fundamental role that the concept of intentionality assumes in the geomantic prognostication, identifying the scrutiny of human interiority as the true object of the geomantic forecast. This chapter</w:t>
      </w:r>
      <w:r w:rsidR="00355BFA">
        <w:t xml:space="preserve"> </w:t>
      </w:r>
      <w:r>
        <w:t>follow</w:t>
      </w:r>
      <w:r w:rsidR="00164FA4">
        <w:t>s</w:t>
      </w:r>
      <w:r>
        <w:t xml:space="preserve"> three main trajectories of enquiry. Primarily</w:t>
      </w:r>
      <w:bookmarkStart w:id="77" w:name="_Hlk144474524"/>
      <w:r>
        <w:t xml:space="preserve">, a comprehensive compendium of Latin geomantic </w:t>
      </w:r>
      <w:r w:rsidR="00FA6A2A">
        <w:t>texts</w:t>
      </w:r>
      <w:r w:rsidR="00D33099">
        <w:t xml:space="preserve"> translated from Arabic</w:t>
      </w:r>
      <w:r>
        <w:t xml:space="preserve"> pertaining to the formulation of the concepts of intention and intentionality</w:t>
      </w:r>
      <w:r w:rsidRPr="00CD0171">
        <w:t xml:space="preserve"> will be presented, affording clarity to the semantic </w:t>
      </w:r>
      <w:r>
        <w:t>scope of these concepts</w:t>
      </w:r>
      <w:r w:rsidRPr="00CD0171">
        <w:t xml:space="preserve"> as understood by Latin </w:t>
      </w:r>
      <w:r w:rsidR="00D33099">
        <w:t>authors</w:t>
      </w:r>
      <w:r w:rsidRPr="00CD0171">
        <w:t>.</w:t>
      </w:r>
      <w:r w:rsidR="00D33099">
        <w:rPr>
          <w:rStyle w:val="FootnoteReference"/>
        </w:rPr>
        <w:footnoteReference w:id="258"/>
      </w:r>
      <w:r>
        <w:t xml:space="preserve"> </w:t>
      </w:r>
      <w:bookmarkEnd w:id="77"/>
      <w:r>
        <w:t xml:space="preserve">Notably, the original corpus of Latin geomantic texts </w:t>
      </w:r>
      <w:r w:rsidR="00867E96">
        <w:t xml:space="preserve">discussing the concept of ‘intention’ </w:t>
      </w:r>
      <w:r w:rsidR="005F2E81">
        <w:t>originated</w:t>
      </w:r>
      <w:r>
        <w:t xml:space="preserve"> from Arabic antecedents, </w:t>
      </w:r>
      <w:r w:rsidRPr="00545196">
        <w:t>there</w:t>
      </w:r>
      <w:r w:rsidR="007E0027">
        <w:t>fore this</w:t>
      </w:r>
      <w:r w:rsidRPr="00545196">
        <w:t xml:space="preserve"> </w:t>
      </w:r>
      <w:r w:rsidR="007E0027">
        <w:t xml:space="preserve">study </w:t>
      </w:r>
      <w:r w:rsidRPr="00545196">
        <w:t>necessit</w:t>
      </w:r>
      <w:r w:rsidR="007E0027">
        <w:t>ates</w:t>
      </w:r>
      <w:r w:rsidRPr="00545196">
        <w:t xml:space="preserve"> a </w:t>
      </w:r>
      <w:bookmarkStart w:id="78" w:name="_Hlk144474617"/>
      <w:r w:rsidRPr="00545196">
        <w:t xml:space="preserve">secondary investigation to ascertain the Arabic term that was </w:t>
      </w:r>
      <w:r>
        <w:t>translated</w:t>
      </w:r>
      <w:r w:rsidRPr="00545196">
        <w:t xml:space="preserve"> as </w:t>
      </w:r>
      <w:r w:rsidRPr="00545196">
        <w:rPr>
          <w:i/>
          <w:iCs/>
        </w:rPr>
        <w:t>intentio</w:t>
      </w:r>
      <w:r w:rsidRPr="00545196">
        <w:t xml:space="preserve"> within these seminal Latin works</w:t>
      </w:r>
      <w:r>
        <w:t>.</w:t>
      </w:r>
      <w:r w:rsidRPr="00827EEE">
        <w:t xml:space="preserve"> The postulation herein posits that the Arabic term</w:t>
      </w:r>
      <w:r>
        <w:t xml:space="preserve"> </w:t>
      </w:r>
      <w:r w:rsidRPr="0065530D">
        <w:rPr>
          <w:i/>
          <w:iCs/>
          <w:shd w:val="clear" w:color="auto" w:fill="FFFFFF"/>
        </w:rPr>
        <w:t>ḍamīr</w:t>
      </w:r>
      <w:r>
        <w:rPr>
          <w:i/>
          <w:iCs/>
          <w:shd w:val="clear" w:color="auto" w:fill="FFFFFF"/>
        </w:rPr>
        <w:t xml:space="preserve"> </w:t>
      </w:r>
      <w:r w:rsidRPr="007D429D">
        <w:rPr>
          <w:shd w:val="clear" w:color="auto" w:fill="FFFFFF"/>
        </w:rPr>
        <w:t>(</w:t>
      </w:r>
      <w:r w:rsidRPr="007D429D">
        <w:rPr>
          <w:rFonts w:cs="Times New Roman"/>
          <w:shd w:val="clear" w:color="auto" w:fill="FFFFFF"/>
          <w:rtl/>
        </w:rPr>
        <w:t>ضمير</w:t>
      </w:r>
      <w:r w:rsidRPr="007D429D">
        <w:rPr>
          <w:shd w:val="clear" w:color="auto" w:fill="FFFFFF"/>
        </w:rPr>
        <w:t>)</w:t>
      </w:r>
      <w:r>
        <w:rPr>
          <w:shd w:val="clear" w:color="auto" w:fill="FFFFFF"/>
        </w:rPr>
        <w:t xml:space="preserve">, </w:t>
      </w:r>
      <w:r w:rsidRPr="00827EEE">
        <w:rPr>
          <w:shd w:val="clear" w:color="auto" w:fill="FFFFFF"/>
        </w:rPr>
        <w:t xml:space="preserve">was the conceptual antecedent to the Latin </w:t>
      </w:r>
      <w:r w:rsidRPr="00827EEE">
        <w:rPr>
          <w:i/>
          <w:iCs/>
          <w:shd w:val="clear" w:color="auto" w:fill="FFFFFF"/>
        </w:rPr>
        <w:t>intentio</w:t>
      </w:r>
      <w:r>
        <w:rPr>
          <w:shd w:val="clear" w:color="auto" w:fill="FFFFFF"/>
        </w:rPr>
        <w:t xml:space="preserve"> in the context of geomancy,</w:t>
      </w:r>
      <w:r w:rsidRPr="00827EEE">
        <w:rPr>
          <w:shd w:val="clear" w:color="auto" w:fill="FFFFFF"/>
        </w:rPr>
        <w:t xml:space="preserve"> thus </w:t>
      </w:r>
      <w:r w:rsidR="00CD7732">
        <w:rPr>
          <w:shd w:val="clear" w:color="auto" w:fill="FFFFFF"/>
        </w:rPr>
        <w:t>presenting</w:t>
      </w:r>
      <w:r w:rsidRPr="00827EEE">
        <w:rPr>
          <w:shd w:val="clear" w:color="auto" w:fill="FFFFFF"/>
        </w:rPr>
        <w:t xml:space="preserve"> a comprehensive </w:t>
      </w:r>
      <w:r w:rsidR="00EC768D" w:rsidRPr="00827EEE">
        <w:rPr>
          <w:shd w:val="clear" w:color="auto" w:fill="FFFFFF"/>
        </w:rPr>
        <w:t>explanation</w:t>
      </w:r>
      <w:r w:rsidRPr="00827EEE">
        <w:rPr>
          <w:shd w:val="clear" w:color="auto" w:fill="FFFFFF"/>
        </w:rPr>
        <w:t xml:space="preserve"> of the </w:t>
      </w:r>
      <w:r w:rsidR="00CD7732">
        <w:rPr>
          <w:shd w:val="clear" w:color="auto" w:fill="FFFFFF"/>
        </w:rPr>
        <w:t>different</w:t>
      </w:r>
      <w:r w:rsidRPr="00827EEE">
        <w:rPr>
          <w:shd w:val="clear" w:color="auto" w:fill="FFFFFF"/>
        </w:rPr>
        <w:t xml:space="preserve"> semantic facets encapsulated by this Arabic term</w:t>
      </w:r>
      <w:r>
        <w:rPr>
          <w:shd w:val="clear" w:color="auto" w:fill="FFFFFF"/>
        </w:rPr>
        <w:t>.</w:t>
      </w:r>
      <w:bookmarkEnd w:id="78"/>
      <w:r>
        <w:rPr>
          <w:shd w:val="clear" w:color="auto" w:fill="FFFFFF"/>
        </w:rPr>
        <w:t xml:space="preserve"> Finally, the third segment of this study</w:t>
      </w:r>
      <w:r w:rsidRPr="0044123E">
        <w:rPr>
          <w:shd w:val="clear" w:color="auto" w:fill="FFFFFF"/>
        </w:rPr>
        <w:t xml:space="preserve"> will consider another </w:t>
      </w:r>
      <w:r>
        <w:rPr>
          <w:shd w:val="clear" w:color="auto" w:fill="FFFFFF"/>
        </w:rPr>
        <w:t xml:space="preserve">practice that similarly to geomancy aims at an investigation of the human soul, that of astrological interrogations, </w:t>
      </w:r>
      <w:r w:rsidR="0097111F">
        <w:rPr>
          <w:shd w:val="clear" w:color="auto" w:fill="FFFFFF"/>
        </w:rPr>
        <w:t>and in particular a group of texts on interrogations that were translated from Arabic into Latin</w:t>
      </w:r>
      <w:r>
        <w:rPr>
          <w:shd w:val="clear" w:color="auto" w:fill="FFFFFF"/>
        </w:rPr>
        <w:t xml:space="preserve">. </w:t>
      </w:r>
      <w:r w:rsidRPr="00710321">
        <w:rPr>
          <w:shd w:val="clear" w:color="auto" w:fill="FFFFFF"/>
        </w:rPr>
        <w:t xml:space="preserve">While the </w:t>
      </w:r>
      <w:r w:rsidR="008730C5">
        <w:rPr>
          <w:shd w:val="clear" w:color="auto" w:fill="FFFFFF"/>
        </w:rPr>
        <w:t>previous</w:t>
      </w:r>
      <w:r w:rsidRPr="00710321">
        <w:rPr>
          <w:shd w:val="clear" w:color="auto" w:fill="FFFFFF"/>
        </w:rPr>
        <w:t xml:space="preserve"> chapter of this </w:t>
      </w:r>
      <w:r w:rsidR="008730C5">
        <w:rPr>
          <w:shd w:val="clear" w:color="auto" w:fill="FFFFFF"/>
        </w:rPr>
        <w:t>thesis</w:t>
      </w:r>
      <w:r w:rsidRPr="00710321">
        <w:rPr>
          <w:shd w:val="clear" w:color="auto" w:fill="FFFFFF"/>
        </w:rPr>
        <w:t xml:space="preserve"> aspired to disentangle the geomancer</w:t>
      </w:r>
      <w:r>
        <w:rPr>
          <w:shd w:val="clear" w:color="auto" w:fill="FFFFFF"/>
        </w:rPr>
        <w:t>’</w:t>
      </w:r>
      <w:r w:rsidRPr="00710321">
        <w:rPr>
          <w:shd w:val="clear" w:color="auto" w:fill="FFFFFF"/>
        </w:rPr>
        <w:t xml:space="preserve">s role and the symbiotic interrelation between geomancy and astrology, the present chapter aspires to unravel the intricate role of the querent, an integral participant in the geomantic prognostication, and their </w:t>
      </w:r>
      <w:r w:rsidR="008730C5">
        <w:rPr>
          <w:shd w:val="clear" w:color="auto" w:fill="FFFFFF"/>
        </w:rPr>
        <w:t>relationship</w:t>
      </w:r>
      <w:r w:rsidRPr="00710321">
        <w:rPr>
          <w:shd w:val="clear" w:color="auto" w:fill="FFFFFF"/>
        </w:rPr>
        <w:t xml:space="preserve"> with the astral realm.</w:t>
      </w:r>
    </w:p>
    <w:p w14:paraId="6C21CC37" w14:textId="77777777" w:rsidR="00244FB6" w:rsidRDefault="00244FB6" w:rsidP="00244FB6">
      <w:pPr>
        <w:ind w:firstLine="0"/>
        <w:rPr>
          <w:shd w:val="clear" w:color="auto" w:fill="FFFFFF"/>
        </w:rPr>
      </w:pPr>
    </w:p>
    <w:p w14:paraId="67A45217" w14:textId="0DBFB19F" w:rsidR="00244FB6" w:rsidRPr="009F28FF" w:rsidRDefault="00244FB6" w:rsidP="009F28FF">
      <w:pPr>
        <w:pStyle w:val="Heading2"/>
        <w:ind w:firstLine="0"/>
        <w:rPr>
          <w:rFonts w:asciiTheme="majorBidi" w:hAnsiTheme="majorBidi"/>
          <w:color w:val="auto"/>
          <w:sz w:val="20"/>
          <w:szCs w:val="20"/>
          <w:shd w:val="clear" w:color="auto" w:fill="FFFFFF"/>
        </w:rPr>
      </w:pPr>
      <w:bookmarkStart w:id="79" w:name="_Toc165108658"/>
      <w:r w:rsidRPr="009F28FF">
        <w:rPr>
          <w:rFonts w:asciiTheme="majorBidi" w:hAnsiTheme="majorBidi"/>
          <w:color w:val="auto"/>
          <w:sz w:val="20"/>
          <w:szCs w:val="20"/>
          <w:shd w:val="clear" w:color="auto" w:fill="FFFFFF"/>
        </w:rPr>
        <w:t>IV.</w:t>
      </w:r>
      <w:r w:rsidR="000274DD">
        <w:rPr>
          <w:rFonts w:asciiTheme="majorBidi" w:hAnsiTheme="majorBidi"/>
          <w:color w:val="auto"/>
          <w:sz w:val="20"/>
          <w:szCs w:val="20"/>
          <w:shd w:val="clear" w:color="auto" w:fill="FFFFFF"/>
        </w:rPr>
        <w:t>1</w:t>
      </w:r>
      <w:r w:rsidRPr="009F28FF">
        <w:rPr>
          <w:rFonts w:asciiTheme="majorBidi" w:hAnsiTheme="majorBidi"/>
          <w:color w:val="auto"/>
          <w:sz w:val="20"/>
          <w:szCs w:val="20"/>
          <w:shd w:val="clear" w:color="auto" w:fill="FFFFFF"/>
        </w:rPr>
        <w:t xml:space="preserve"> THE INTENTIONS OF THE QUERENT IN LATIN GEOMANTIC LITERATURE</w:t>
      </w:r>
      <w:bookmarkEnd w:id="79"/>
    </w:p>
    <w:p w14:paraId="25EE1CCA" w14:textId="77777777" w:rsidR="00244FB6" w:rsidRDefault="00244FB6" w:rsidP="00244FB6">
      <w:pPr>
        <w:ind w:firstLine="0"/>
        <w:rPr>
          <w:sz w:val="20"/>
          <w:szCs w:val="20"/>
          <w:shd w:val="clear" w:color="auto" w:fill="FFFFFF"/>
        </w:rPr>
      </w:pPr>
    </w:p>
    <w:p w14:paraId="3AD34275" w14:textId="7A40988C" w:rsidR="00244FB6" w:rsidRDefault="00244FB6" w:rsidP="00244FB6">
      <w:pPr>
        <w:ind w:firstLine="0"/>
        <w:rPr>
          <w:shd w:val="clear" w:color="auto" w:fill="FFFFFF"/>
        </w:rPr>
      </w:pPr>
      <w:r>
        <w:rPr>
          <w:shd w:val="clear" w:color="auto" w:fill="FFFFFF"/>
        </w:rPr>
        <w:lastRenderedPageBreak/>
        <w:tab/>
        <w:t xml:space="preserve">The </w:t>
      </w:r>
      <w:r w:rsidRPr="00EF55ED">
        <w:rPr>
          <w:i/>
          <w:iCs/>
          <w:shd w:val="clear" w:color="auto" w:fill="FFFFFF"/>
        </w:rPr>
        <w:t>Liber arenalis scientiae</w:t>
      </w:r>
      <w:r>
        <w:rPr>
          <w:shd w:val="clear" w:color="auto" w:fill="FFFFFF"/>
        </w:rPr>
        <w:t>,</w:t>
      </w:r>
      <w:r w:rsidRPr="009A2511">
        <w:rPr>
          <w:shd w:val="clear" w:color="auto" w:fill="FFFFFF"/>
        </w:rPr>
        <w:t xml:space="preserve"> despite predominantly </w:t>
      </w:r>
      <w:r w:rsidR="000C1441">
        <w:rPr>
          <w:shd w:val="clear" w:color="auto" w:fill="FFFFFF"/>
        </w:rPr>
        <w:t>concerned with</w:t>
      </w:r>
      <w:r w:rsidRPr="009A2511">
        <w:rPr>
          <w:shd w:val="clear" w:color="auto" w:fill="FFFFFF"/>
        </w:rPr>
        <w:t xml:space="preserve"> the elucidation of techniques for discerning the querent</w:t>
      </w:r>
      <w:r>
        <w:rPr>
          <w:shd w:val="clear" w:color="auto" w:fill="FFFFFF"/>
        </w:rPr>
        <w:t>’</w:t>
      </w:r>
      <w:r w:rsidRPr="009A2511">
        <w:rPr>
          <w:shd w:val="clear" w:color="auto" w:fill="FFFFFF"/>
        </w:rPr>
        <w:t>s intentions</w:t>
      </w:r>
      <w:r>
        <w:rPr>
          <w:shd w:val="clear" w:color="auto" w:fill="FFFFFF"/>
        </w:rPr>
        <w:t>, offers very few</w:t>
      </w:r>
      <w:r w:rsidRPr="009A2511">
        <w:t xml:space="preserve"> </w:t>
      </w:r>
      <w:r w:rsidRPr="009A2511">
        <w:rPr>
          <w:shd w:val="clear" w:color="auto" w:fill="FFFFFF"/>
        </w:rPr>
        <w:t>insights pertaining to the ontological essence of intentions themselves.</w:t>
      </w:r>
      <w:r>
        <w:rPr>
          <w:shd w:val="clear" w:color="auto" w:fill="FFFFFF"/>
        </w:rPr>
        <w:t xml:space="preserve"> </w:t>
      </w:r>
      <w:r w:rsidR="000C1441">
        <w:rPr>
          <w:shd w:val="clear" w:color="auto" w:fill="FFFFFF"/>
        </w:rPr>
        <w:t>Moreover, Plato’s text</w:t>
      </w:r>
      <w:r w:rsidRPr="009A2511">
        <w:rPr>
          <w:shd w:val="clear" w:color="auto" w:fill="FFFFFF"/>
        </w:rPr>
        <w:t xml:space="preserve"> </w:t>
      </w:r>
      <w:r>
        <w:rPr>
          <w:shd w:val="clear" w:color="auto" w:fill="FFFFFF"/>
        </w:rPr>
        <w:t>is not</w:t>
      </w:r>
      <w:r w:rsidRPr="009A2511">
        <w:rPr>
          <w:shd w:val="clear" w:color="auto" w:fill="FFFFFF"/>
        </w:rPr>
        <w:t xml:space="preserve"> conce</w:t>
      </w:r>
      <w:r>
        <w:rPr>
          <w:shd w:val="clear" w:color="auto" w:fill="FFFFFF"/>
        </w:rPr>
        <w:t>rned with elucidating</w:t>
      </w:r>
      <w:r w:rsidRPr="009A2511">
        <w:rPr>
          <w:shd w:val="clear" w:color="auto" w:fill="FFFFFF"/>
        </w:rPr>
        <w:t xml:space="preserve"> th</w:t>
      </w:r>
      <w:r>
        <w:rPr>
          <w:shd w:val="clear" w:color="auto" w:fill="FFFFFF"/>
        </w:rPr>
        <w:t>e</w:t>
      </w:r>
      <w:r w:rsidRPr="009A2511">
        <w:rPr>
          <w:shd w:val="clear" w:color="auto" w:fill="FFFFFF"/>
        </w:rPr>
        <w:t xml:space="preserve"> locus from which intentions emanate, as well as the intricate mechanisms </w:t>
      </w:r>
      <w:r w:rsidR="009C6749">
        <w:rPr>
          <w:shd w:val="clear" w:color="auto" w:fill="FFFFFF"/>
        </w:rPr>
        <w:t>allowing</w:t>
      </w:r>
      <w:r w:rsidRPr="009A2511">
        <w:rPr>
          <w:shd w:val="clear" w:color="auto" w:fill="FFFFFF"/>
        </w:rPr>
        <w:t xml:space="preserve"> their revelation via the geomantic chart. </w:t>
      </w:r>
      <w:r>
        <w:rPr>
          <w:shd w:val="clear" w:color="auto" w:fill="FFFFFF"/>
        </w:rPr>
        <w:t xml:space="preserve">Within </w:t>
      </w:r>
      <w:r w:rsidR="004A4F69">
        <w:rPr>
          <w:shd w:val="clear" w:color="auto" w:fill="FFFFFF"/>
        </w:rPr>
        <w:t xml:space="preserve">the </w:t>
      </w:r>
      <w:r w:rsidR="004A4F69" w:rsidRPr="004A4F69">
        <w:rPr>
          <w:i/>
          <w:iCs/>
          <w:shd w:val="clear" w:color="auto" w:fill="FFFFFF"/>
        </w:rPr>
        <w:t>Liber arenalis scientiae</w:t>
      </w:r>
      <w:r>
        <w:rPr>
          <w:shd w:val="clear" w:color="auto" w:fill="FFFFFF"/>
        </w:rPr>
        <w:t>, the bulk of attention is directed towards presenting</w:t>
      </w:r>
      <w:r w:rsidRPr="002021BC">
        <w:t xml:space="preserve"> </w:t>
      </w:r>
      <w:r w:rsidRPr="002021BC">
        <w:rPr>
          <w:shd w:val="clear" w:color="auto" w:fill="FFFFFF"/>
        </w:rPr>
        <w:t>an array of methodological paradigms for the interpretation of intentions</w:t>
      </w:r>
      <w:r>
        <w:rPr>
          <w:shd w:val="clear" w:color="auto" w:fill="FFFFFF"/>
        </w:rPr>
        <w:t xml:space="preserve">. The reader is guided through the process of deciphering each of the sixteen geomantic figures, thereby disclosing the true reason </w:t>
      </w:r>
      <w:r w:rsidRPr="002021BC">
        <w:rPr>
          <w:shd w:val="clear" w:color="auto" w:fill="FFFFFF"/>
        </w:rPr>
        <w:t xml:space="preserve">that impels the querent to seek counsel. </w:t>
      </w:r>
      <w:r>
        <w:rPr>
          <w:shd w:val="clear" w:color="auto" w:fill="FFFFFF"/>
        </w:rPr>
        <w:t xml:space="preserve">An excerpt from the </w:t>
      </w:r>
      <w:r w:rsidRPr="00A760EF">
        <w:rPr>
          <w:i/>
          <w:iCs/>
          <w:shd w:val="clear" w:color="auto" w:fill="FFFFFF"/>
        </w:rPr>
        <w:t>Liber arenalis scientiae</w:t>
      </w:r>
      <w:r>
        <w:rPr>
          <w:shd w:val="clear" w:color="auto" w:fill="FFFFFF"/>
        </w:rPr>
        <w:t xml:space="preserve"> serves to elucidate this paradigm, the following passage refers to the figure called </w:t>
      </w:r>
      <w:r w:rsidR="00031F52">
        <w:rPr>
          <w:i/>
          <w:iCs/>
          <w:shd w:val="clear" w:color="auto" w:fill="FFFFFF"/>
        </w:rPr>
        <w:t>Via</w:t>
      </w:r>
      <w:r>
        <w:rPr>
          <w:shd w:val="clear" w:color="auto" w:fill="FFFFFF"/>
        </w:rPr>
        <w:t xml:space="preserve">: </w:t>
      </w:r>
    </w:p>
    <w:p w14:paraId="55A94A82" w14:textId="77777777" w:rsidR="00244FB6" w:rsidRDefault="00244FB6" w:rsidP="00244FB6">
      <w:pPr>
        <w:ind w:firstLine="0"/>
        <w:rPr>
          <w:shd w:val="clear" w:color="auto" w:fill="FFFFFF"/>
        </w:rPr>
      </w:pPr>
    </w:p>
    <w:p w14:paraId="5A9C4C6B" w14:textId="1B5C66FE" w:rsidR="00244FB6" w:rsidRPr="00031F52" w:rsidRDefault="00A11C9E" w:rsidP="00244FB6">
      <w:pPr>
        <w:ind w:left="567" w:firstLine="0"/>
        <w:rPr>
          <w:sz w:val="20"/>
          <w:szCs w:val="20"/>
        </w:rPr>
      </w:pPr>
      <w:r w:rsidRPr="00A11C9E">
        <w:rPr>
          <w:sz w:val="20"/>
          <w:szCs w:val="20"/>
        </w:rPr>
        <w:t>And if such a sign (1111) remains in the last calculation, say to him: ‘You are asking me about a movement or a journey from place to place’. If he answered: ‘True,’ tell him that he should guard against his companion who will betray him, and will lead him astray either with his body or with money. But if he says ‘I want to make a journey’, tell him: ‘You inquire about a man who is on a journey, or for a man who is far from you, or for a lost thing that has gone out of your hand which you will recover, and a servant has moved from place to place together with what he has stolen. And this lot is good in buying or selling, and in giving or receiving, and the thing you want to receive will be good, and the thing already lost will not return, unless it pleases God</w:t>
      </w:r>
      <w:r w:rsidR="00244FB6" w:rsidRPr="00031F52">
        <w:rPr>
          <w:sz w:val="20"/>
          <w:szCs w:val="20"/>
        </w:rPr>
        <w:t>.</w:t>
      </w:r>
      <w:r w:rsidR="00244FB6" w:rsidRPr="00031F52">
        <w:rPr>
          <w:rStyle w:val="FootnoteReference"/>
          <w:sz w:val="20"/>
          <w:szCs w:val="20"/>
        </w:rPr>
        <w:footnoteReference w:id="259"/>
      </w:r>
    </w:p>
    <w:p w14:paraId="392C93FE" w14:textId="77777777" w:rsidR="00244FB6" w:rsidRDefault="00244FB6" w:rsidP="00244FB6">
      <w:pPr>
        <w:ind w:firstLine="0"/>
        <w:rPr>
          <w:sz w:val="20"/>
          <w:szCs w:val="20"/>
        </w:rPr>
      </w:pPr>
    </w:p>
    <w:p w14:paraId="7E36390F" w14:textId="2E3A1317" w:rsidR="00244FB6" w:rsidRDefault="00244FB6" w:rsidP="00244FB6">
      <w:pPr>
        <w:ind w:firstLine="0"/>
      </w:pPr>
      <w:r w:rsidRPr="00227783">
        <w:t>Such descriptions are provide</w:t>
      </w:r>
      <w:r>
        <w:t xml:space="preserve">d </w:t>
      </w:r>
      <w:r w:rsidR="005E2D56">
        <w:t>–</w:t>
      </w:r>
      <w:r w:rsidRPr="00227783">
        <w:t xml:space="preserve"> with more or less positive outcomes</w:t>
      </w:r>
      <w:r>
        <w:t xml:space="preserve"> </w:t>
      </w:r>
      <w:r w:rsidR="005E2D56">
        <w:t>–</w:t>
      </w:r>
      <w:r w:rsidRPr="00227783">
        <w:t xml:space="preserve"> for every geomantic figure. </w:t>
      </w:r>
      <w:r>
        <w:t xml:space="preserve">Amidst Plato’s </w:t>
      </w:r>
      <w:r w:rsidR="00101673" w:rsidRPr="00101673">
        <w:t>treatise</w:t>
      </w:r>
      <w:r>
        <w:t>, a single</w:t>
      </w:r>
      <w:r w:rsidRPr="00227783">
        <w:t xml:space="preserve"> passage </w:t>
      </w:r>
      <w:r>
        <w:t>from the sixth chapter provides</w:t>
      </w:r>
      <w:r w:rsidRPr="00227783">
        <w:t xml:space="preserve"> some indication o</w:t>
      </w:r>
      <w:r>
        <w:t>n</w:t>
      </w:r>
      <w:r w:rsidRPr="00227783">
        <w:t xml:space="preserve"> how </w:t>
      </w:r>
      <w:r>
        <w:t>the term ‘</w:t>
      </w:r>
      <w:r w:rsidRPr="00227783">
        <w:t>intention</w:t>
      </w:r>
      <w:r>
        <w:t>’</w:t>
      </w:r>
      <w:r w:rsidRPr="00227783">
        <w:t xml:space="preserve"> </w:t>
      </w:r>
      <w:r>
        <w:t>should</w:t>
      </w:r>
      <w:r w:rsidRPr="00227783">
        <w:t xml:space="preserve"> be understood. Th</w:t>
      </w:r>
      <w:r w:rsidR="00101673">
        <w:t>e</w:t>
      </w:r>
      <w:r>
        <w:t xml:space="preserve"> chapter begins by informing</w:t>
      </w:r>
      <w:r w:rsidRPr="00227783">
        <w:t xml:space="preserve"> the reader</w:t>
      </w:r>
      <w:r>
        <w:t xml:space="preserve"> that its content include</w:t>
      </w:r>
      <w:r w:rsidR="00966074">
        <w:t>s</w:t>
      </w:r>
      <w:r>
        <w:t xml:space="preserve"> the </w:t>
      </w:r>
      <w:r w:rsidRPr="00DD198C">
        <w:t>presentation of a methodological approach</w:t>
      </w:r>
      <w:r>
        <w:t xml:space="preserve"> to unveil</w:t>
      </w:r>
      <w:r w:rsidRPr="00227783">
        <w:t xml:space="preserve"> </w:t>
      </w:r>
      <w:r>
        <w:t>what men wish (</w:t>
      </w:r>
      <w:r w:rsidRPr="00562ADD">
        <w:rPr>
          <w:i/>
          <w:iCs/>
          <w:lang w:val="pt-PT"/>
        </w:rPr>
        <w:t>quid velint</w:t>
      </w:r>
      <w:r>
        <w:rPr>
          <w:lang w:val="pt-PT"/>
        </w:rPr>
        <w:t>)</w:t>
      </w:r>
      <w:r>
        <w:t xml:space="preserve"> or what they think (</w:t>
      </w:r>
      <w:r w:rsidRPr="00562ADD">
        <w:rPr>
          <w:i/>
          <w:iCs/>
          <w:lang w:val="pt-PT"/>
        </w:rPr>
        <w:t>vel quid cogitant</w:t>
      </w:r>
      <w:r>
        <w:rPr>
          <w:lang w:val="pt-PT"/>
        </w:rPr>
        <w:t>)</w:t>
      </w:r>
      <w:r>
        <w:t xml:space="preserve"> before it is made </w:t>
      </w:r>
      <w:r>
        <w:lastRenderedPageBreak/>
        <w:t>manifest what is held in their heart (</w:t>
      </w:r>
      <w:r w:rsidRPr="00562ADD">
        <w:rPr>
          <w:i/>
          <w:iCs/>
          <w:lang w:val="pt-PT"/>
        </w:rPr>
        <w:t xml:space="preserve">prius </w:t>
      </w:r>
      <w:r w:rsidR="00DA5B7F">
        <w:rPr>
          <w:i/>
          <w:iCs/>
          <w:lang w:val="pt-PT"/>
        </w:rPr>
        <w:t>quam</w:t>
      </w:r>
      <w:r w:rsidRPr="00562ADD">
        <w:rPr>
          <w:i/>
          <w:iCs/>
          <w:lang w:val="pt-PT"/>
        </w:rPr>
        <w:t xml:space="preserve"> manifestum sit quid in corde teneatur</w:t>
      </w:r>
      <w:r>
        <w:rPr>
          <w:lang w:val="pt-PT"/>
        </w:rPr>
        <w:t>)</w:t>
      </w:r>
      <w:r>
        <w:t>.</w:t>
      </w:r>
      <w:r>
        <w:rPr>
          <w:rStyle w:val="FootnoteReference"/>
        </w:rPr>
        <w:footnoteReference w:id="260"/>
      </w:r>
      <w:r>
        <w:t xml:space="preserve"> This much the author of the </w:t>
      </w:r>
      <w:r w:rsidRPr="0074193B">
        <w:rPr>
          <w:i/>
          <w:iCs/>
        </w:rPr>
        <w:t>Liber arenalis scientiae</w:t>
      </w:r>
      <w:r>
        <w:t xml:space="preserve"> </w:t>
      </w:r>
      <w:r w:rsidR="002508D2">
        <w:t>talks</w:t>
      </w:r>
      <w:r>
        <w:t xml:space="preserve"> about the primary object of the geomantic inquiry. </w:t>
      </w:r>
      <w:r w:rsidRPr="004F7388">
        <w:t xml:space="preserve">The practitioner, </w:t>
      </w:r>
      <w:r w:rsidR="00227DF0">
        <w:t>through the interpretation of</w:t>
      </w:r>
      <w:r w:rsidRPr="004F7388">
        <w:t xml:space="preserve"> the geomantic chart, is endowed with the capacity to </w:t>
      </w:r>
      <w:r>
        <w:t>comprehend</w:t>
      </w:r>
      <w:r w:rsidRPr="004F7388">
        <w:t xml:space="preserve"> the latent aspirations and </w:t>
      </w:r>
      <w:r>
        <w:t>cogitations</w:t>
      </w:r>
      <w:r w:rsidRPr="004F7388">
        <w:t xml:space="preserve"> concealed within the human heart.</w:t>
      </w:r>
      <w:r>
        <w:t xml:space="preserve"> The text does not specify whether these are not yet clear to the geomancer or the client. </w:t>
      </w:r>
      <w:r w:rsidRPr="004F7388">
        <w:t xml:space="preserve">However, it is </w:t>
      </w:r>
      <w:r w:rsidR="00565D15" w:rsidRPr="004F7388">
        <w:t>here</w:t>
      </w:r>
      <w:r w:rsidRPr="004F7388">
        <w:t xml:space="preserve"> </w:t>
      </w:r>
      <w:r w:rsidR="00565D15" w:rsidRPr="004F7388">
        <w:t>suggested</w:t>
      </w:r>
      <w:r w:rsidRPr="004F7388">
        <w:t xml:space="preserve">, that the geomancer bears the </w:t>
      </w:r>
      <w:r>
        <w:t>responsibility</w:t>
      </w:r>
      <w:r w:rsidRPr="004F7388">
        <w:t xml:space="preserve"> of extricating the concealed and nascent </w:t>
      </w:r>
      <w:r>
        <w:t>wishes</w:t>
      </w:r>
      <w:r w:rsidRPr="004F7388">
        <w:t xml:space="preserve"> </w:t>
      </w:r>
      <w:r w:rsidR="00565D15">
        <w:t>hidden</w:t>
      </w:r>
      <w:r w:rsidRPr="004F7388">
        <w:t xml:space="preserve"> within the client</w:t>
      </w:r>
      <w:r>
        <w:t>’</w:t>
      </w:r>
      <w:r w:rsidRPr="004F7388">
        <w:t xml:space="preserve">s heart, thereby </w:t>
      </w:r>
      <w:r w:rsidR="00011906">
        <w:t>exposing</w:t>
      </w:r>
      <w:r w:rsidRPr="004F7388">
        <w:t xml:space="preserve"> the impetuses impelling their recourse to geomantic counsel. Solely subsequent to the revelation of the authentic query can its addressment and resolution be undertaken through the </w:t>
      </w:r>
      <w:r>
        <w:t>reading</w:t>
      </w:r>
      <w:r w:rsidRPr="004F7388">
        <w:t xml:space="preserve"> of the </w:t>
      </w:r>
      <w:r>
        <w:t>geomantic chart</w:t>
      </w:r>
      <w:r w:rsidRPr="004F7388">
        <w:t>.</w:t>
      </w:r>
    </w:p>
    <w:p w14:paraId="57B4DED0" w14:textId="0AA2C6E4" w:rsidR="00244FB6" w:rsidRDefault="00244FB6" w:rsidP="00051EEC">
      <w:pPr>
        <w:ind w:firstLine="0"/>
      </w:pPr>
      <w:r>
        <w:tab/>
        <w:t xml:space="preserve">A similar terminology is echoed in the prologue of the anonymous treatise </w:t>
      </w:r>
      <w:r w:rsidRPr="00330F5F">
        <w:rPr>
          <w:i/>
          <w:iCs/>
        </w:rPr>
        <w:t>Estimaverunt Indi</w:t>
      </w:r>
      <w:r>
        <w:t>. Within the narrative of this text, the geomantic figures are posited as the manifestations arising from the movement of the firmament (</w:t>
      </w:r>
      <w:r w:rsidRPr="009F566A">
        <w:rPr>
          <w:i/>
          <w:iCs/>
        </w:rPr>
        <w:t>facit eas necessaria</w:t>
      </w:r>
      <w:r>
        <w:rPr>
          <w:i/>
          <w:iCs/>
        </w:rPr>
        <w:t>[</w:t>
      </w:r>
      <w:r w:rsidRPr="009F566A">
        <w:rPr>
          <w:i/>
          <w:iCs/>
        </w:rPr>
        <w:t>s</w:t>
      </w:r>
      <w:r>
        <w:rPr>
          <w:i/>
          <w:iCs/>
        </w:rPr>
        <w:t>]</w:t>
      </w:r>
      <w:r w:rsidRPr="009F566A">
        <w:rPr>
          <w:i/>
          <w:iCs/>
        </w:rPr>
        <w:t xml:space="preserve"> orbis</w:t>
      </w:r>
      <w:r>
        <w:t>), and the construction of the figures is conducted in order to discover the intention (</w:t>
      </w:r>
      <w:r w:rsidRPr="009F566A">
        <w:rPr>
          <w:i/>
          <w:iCs/>
        </w:rPr>
        <w:t>ad inueniendam intentionem</w:t>
      </w:r>
      <w:r>
        <w:t xml:space="preserve">). Thus, </w:t>
      </w:r>
      <w:r w:rsidRPr="00EE21A4">
        <w:t>it follows that the geomantic figures</w:t>
      </w:r>
      <w:r>
        <w:t xml:space="preserve"> </w:t>
      </w:r>
      <w:r w:rsidRPr="00EE21A4">
        <w:t>serve as conduits through which</w:t>
      </w:r>
      <w:r>
        <w:t xml:space="preserve"> can be interpreted what is in </w:t>
      </w:r>
      <w:r w:rsidRPr="009F566A">
        <w:t xml:space="preserve">the inquirer’s soul </w:t>
      </w:r>
      <w:r>
        <w:t>(</w:t>
      </w:r>
      <w:r w:rsidRPr="009F566A">
        <w:rPr>
          <w:i/>
          <w:iCs/>
        </w:rPr>
        <w:t>et interpretatur de eo quod in anima est</w:t>
      </w:r>
      <w:r>
        <w:t>).</w:t>
      </w:r>
      <w:r>
        <w:rPr>
          <w:rStyle w:val="FootnoteReference"/>
        </w:rPr>
        <w:footnoteReference w:id="261"/>
      </w:r>
      <w:r>
        <w:t xml:space="preserve"> </w:t>
      </w:r>
      <w:r w:rsidRPr="00C97520">
        <w:t xml:space="preserve">Moreover, the </w:t>
      </w:r>
      <w:r w:rsidRPr="00C97520">
        <w:rPr>
          <w:i/>
          <w:iCs/>
        </w:rPr>
        <w:t>Estimaverunt Indi</w:t>
      </w:r>
      <w:r w:rsidRPr="00C97520">
        <w:t xml:space="preserve"> advances even further, unveiling </w:t>
      </w:r>
      <w:r>
        <w:t>the belief</w:t>
      </w:r>
      <w:r w:rsidRPr="00C97520">
        <w:t xml:space="preserve"> that these figures are methodically arrayed within the geomantic chart to mirror the very configurations of the celestial orbs </w:t>
      </w:r>
      <w:r>
        <w:t>(</w:t>
      </w:r>
      <w:r w:rsidRPr="004F2DC5">
        <w:rPr>
          <w:i/>
          <w:iCs/>
        </w:rPr>
        <w:t>figure disponuntur secundum dispositionem orbis signorum</w:t>
      </w:r>
      <w:r>
        <w:t xml:space="preserve">). </w:t>
      </w:r>
      <w:r w:rsidRPr="00C97520">
        <w:t xml:space="preserve">This intricate alignment, however, entails a more profound elucidation: the celestial sphere itself resonates with the </w:t>
      </w:r>
      <w:r>
        <w:t>intentions</w:t>
      </w:r>
      <w:r w:rsidRPr="00C97520">
        <w:t xml:space="preserve"> of the querent</w:t>
      </w:r>
      <w:r>
        <w:t>, which are formed in their heart (</w:t>
      </w:r>
      <w:r w:rsidRPr="00AA019F">
        <w:rPr>
          <w:i/>
          <w:iCs/>
        </w:rPr>
        <w:t>circulus erit secundum intentionem querentis et cognitionem cordis eius</w:t>
      </w:r>
      <w:r>
        <w:t>). Therefore, through the interpretation of the geomantic chart, the practitioner</w:t>
      </w:r>
      <w:r w:rsidRPr="00C97520">
        <w:t xml:space="preserve"> </w:t>
      </w:r>
      <w:r>
        <w:t xml:space="preserve">is able </w:t>
      </w:r>
      <w:r w:rsidRPr="00C97520">
        <w:t xml:space="preserve">to unveil the </w:t>
      </w:r>
      <w:r w:rsidRPr="00C97520">
        <w:lastRenderedPageBreak/>
        <w:t>recesses of the querent</w:t>
      </w:r>
      <w:r>
        <w:t>’</w:t>
      </w:r>
      <w:r w:rsidRPr="00C97520">
        <w:t>s soul</w:t>
      </w:r>
      <w:r>
        <w:t xml:space="preserve"> (</w:t>
      </w:r>
      <w:r w:rsidRPr="00AA019F">
        <w:rPr>
          <w:i/>
          <w:iCs/>
        </w:rPr>
        <w:t>quod est in anima</w:t>
      </w:r>
      <w:r>
        <w:t>).</w:t>
      </w:r>
      <w:r>
        <w:rPr>
          <w:rStyle w:val="FootnoteReference"/>
        </w:rPr>
        <w:footnoteReference w:id="262"/>
      </w:r>
      <w:r>
        <w:t xml:space="preserve"> The initial part of the passage reiterates the belief, already discussed in the </w:t>
      </w:r>
      <w:r w:rsidR="0045279B">
        <w:t>previous</w:t>
      </w:r>
      <w:r>
        <w:t xml:space="preserve"> chapter of this thesis, that the geomantic figures are transmissions from the heavens, mirroring the disposition of specific constellations. The subsequent part, however, introduces an innovative principle: the conception that a nexus exists not solely between the celestial bodies and the geomantic figures, but also between the same celestial configurations and the wishes and cogitations that are conceived within the </w:t>
      </w:r>
      <w:r w:rsidR="008C4D7B">
        <w:t>human</w:t>
      </w:r>
      <w:r>
        <w:t xml:space="preserve"> </w:t>
      </w:r>
      <w:r w:rsidR="008C4D7B">
        <w:t>soul</w:t>
      </w:r>
      <w:r>
        <w:t xml:space="preserve">. This can be attributed to the earlier affirmation that not all individuals navigate existence guided by the higher faculties of the intellectual soul (namely, the cogitative and volitive faculties). Those who </w:t>
      </w:r>
      <w:r w:rsidR="0041398B">
        <w:t>spend</w:t>
      </w:r>
      <w:r>
        <w:t xml:space="preserve"> their lives guided by their bodily passions and external influences, </w:t>
      </w:r>
      <w:r w:rsidRPr="00FB0A2F">
        <w:t xml:space="preserve">inevitably fall prey to </w:t>
      </w:r>
      <w:r>
        <w:t>the influences of the stars. Consequently, the celestial spheres</w:t>
      </w:r>
      <w:r w:rsidRPr="0042019B">
        <w:t xml:space="preserve"> possess the capacity to exert influence</w:t>
      </w:r>
      <w:r>
        <w:t xml:space="preserve"> on human inner life</w:t>
      </w:r>
      <w:r w:rsidRPr="0042019B">
        <w:t xml:space="preserve">, </w:t>
      </w:r>
      <w:r>
        <w:t>moulding the</w:t>
      </w:r>
      <w:r w:rsidRPr="0042019B">
        <w:t xml:space="preserve"> </w:t>
      </w:r>
      <w:r>
        <w:t>threads</w:t>
      </w:r>
      <w:r w:rsidRPr="0042019B">
        <w:t xml:space="preserve"> of human intentions and desires</w:t>
      </w:r>
      <w:r>
        <w:t xml:space="preserve">. </w:t>
      </w:r>
      <w:r w:rsidR="00393FD0">
        <w:t>Arising</w:t>
      </w:r>
      <w:r w:rsidRPr="0042019B">
        <w:t xml:space="preserve"> from this framework is the </w:t>
      </w:r>
      <w:r>
        <w:t>perception</w:t>
      </w:r>
      <w:r w:rsidRPr="0042019B">
        <w:t xml:space="preserve"> that the geomancer,</w:t>
      </w:r>
      <w:r w:rsidR="00393FD0">
        <w:t xml:space="preserve"> </w:t>
      </w:r>
      <w:r w:rsidR="00393FD0" w:rsidRPr="00393FD0">
        <w:t>through the medium of the astrological moment encapsulated within the chart</w:t>
      </w:r>
      <w:r w:rsidRPr="0042019B">
        <w:t xml:space="preserve">, </w:t>
      </w:r>
      <w:r w:rsidR="00393FD0">
        <w:t>is able to draw</w:t>
      </w:r>
      <w:r w:rsidRPr="0042019B">
        <w:t xml:space="preserve"> the very contours of </w:t>
      </w:r>
      <w:r>
        <w:t>his</w:t>
      </w:r>
      <w:r w:rsidRPr="0042019B">
        <w:t xml:space="preserve"> client</w:t>
      </w:r>
      <w:r>
        <w:t>’</w:t>
      </w:r>
      <w:r w:rsidRPr="0042019B">
        <w:t>s soul.</w:t>
      </w:r>
    </w:p>
    <w:p w14:paraId="50D4C7F3" w14:textId="5AD3AAD9" w:rsidR="00244FB6" w:rsidRDefault="00244FB6" w:rsidP="00244FB6">
      <w:pPr>
        <w:rPr>
          <w:lang w:val="xh-ZA"/>
        </w:rPr>
      </w:pPr>
      <w:bookmarkStart w:id="80" w:name="_Hlk144477496"/>
      <w:r>
        <w:t xml:space="preserve">An additional example of a geomantic text articulating a parallel standpoint is </w:t>
      </w:r>
      <w:r w:rsidRPr="0024139A">
        <w:t xml:space="preserve">the </w:t>
      </w:r>
      <w:r w:rsidRPr="00E67513">
        <w:rPr>
          <w:i/>
          <w:iCs/>
        </w:rPr>
        <w:t>Liber Salcharie Albassarith</w:t>
      </w:r>
      <w:r w:rsidRPr="0024139A">
        <w:t xml:space="preserve">. This text is </w:t>
      </w:r>
      <w:r>
        <w:t>extant in only</w:t>
      </w:r>
      <w:r w:rsidRPr="0024139A">
        <w:t xml:space="preserve"> two manuscripts, Kassel, Astronom. Qo 16, ff. 75va-76v (XIV c.) and Paris, B</w:t>
      </w:r>
      <w:r>
        <w:t>ibiothèque nationale de France</w:t>
      </w:r>
      <w:r w:rsidRPr="0024139A">
        <w:t>, lat. 10 270, ff. 83-84 (XV c.).</w:t>
      </w:r>
      <w:r w:rsidRPr="00254C7F">
        <w:t xml:space="preserve"> Both of these manuscripts attribute the Latin translation to Salio of Padua (XIII c.)</w:t>
      </w:r>
      <w:r w:rsidR="007A707E">
        <w:t>.</w:t>
      </w:r>
      <w:r w:rsidRPr="0024139A">
        <w:t xml:space="preserve"> While according to the Paris manuscript the book is a translation from Hebrew, the Kassel codex affirms it to be a translation from Arabic.</w:t>
      </w:r>
      <w:r>
        <w:rPr>
          <w:rStyle w:val="FootnoteReference"/>
        </w:rPr>
        <w:footnoteReference w:id="263"/>
      </w:r>
      <w:r w:rsidRPr="0024139A">
        <w:rPr>
          <w:lang w:val="xh-ZA"/>
        </w:rPr>
        <w:t xml:space="preserve"> </w:t>
      </w:r>
      <w:r>
        <w:rPr>
          <w:lang w:val="xh-ZA"/>
        </w:rPr>
        <w:t>W</w:t>
      </w:r>
      <w:r w:rsidRPr="00254C7F">
        <w:rPr>
          <w:lang w:val="xh-ZA"/>
        </w:rPr>
        <w:t>ithin this text, a particular passage unveils the assertion that geomancy serves as an instrument to unveil the querent</w:t>
      </w:r>
      <w:r>
        <w:rPr>
          <w:lang w:val="xh-ZA"/>
        </w:rPr>
        <w:t>’</w:t>
      </w:r>
      <w:r w:rsidRPr="00254C7F">
        <w:rPr>
          <w:lang w:val="xh-ZA"/>
        </w:rPr>
        <w:t xml:space="preserve">s intention, obviating the necessity for </w:t>
      </w:r>
      <w:r w:rsidR="00895375">
        <w:rPr>
          <w:lang w:val="xh-ZA"/>
        </w:rPr>
        <w:t>the querent to articulate their question explicitly</w:t>
      </w:r>
      <w:r w:rsidR="0025518E">
        <w:rPr>
          <w:lang w:val="xh-ZA"/>
        </w:rPr>
        <w:t>:</w:t>
      </w:r>
    </w:p>
    <w:p w14:paraId="0E079A49" w14:textId="77777777" w:rsidR="00244FB6" w:rsidRDefault="00244FB6" w:rsidP="00244FB6">
      <w:pPr>
        <w:rPr>
          <w:lang w:val="xh-ZA"/>
        </w:rPr>
      </w:pPr>
    </w:p>
    <w:p w14:paraId="54B6904D" w14:textId="77777777" w:rsidR="00244FB6" w:rsidRPr="00111440" w:rsidRDefault="00244FB6" w:rsidP="00EC2B7E">
      <w:pPr>
        <w:ind w:left="567" w:firstLine="0"/>
        <w:rPr>
          <w:sz w:val="20"/>
          <w:szCs w:val="20"/>
          <w:lang w:val="xh-ZA"/>
        </w:rPr>
      </w:pPr>
      <w:r w:rsidRPr="00111440">
        <w:rPr>
          <w:sz w:val="20"/>
          <w:szCs w:val="20"/>
          <w:lang w:val="xh-ZA"/>
        </w:rPr>
        <w:t>Here begins the teaching that the philosophers concealed. Since we have seen that many in the science of the point (= geomancy) err through ignorance, we have said that the present declaration has to be made, through which the intention of the querent can be recogni</w:t>
      </w:r>
      <w:r>
        <w:rPr>
          <w:sz w:val="20"/>
          <w:szCs w:val="20"/>
          <w:lang w:val="xh-ZA"/>
        </w:rPr>
        <w:t>s</w:t>
      </w:r>
      <w:r w:rsidRPr="00111440">
        <w:rPr>
          <w:sz w:val="20"/>
          <w:szCs w:val="20"/>
          <w:lang w:val="xh-ZA"/>
        </w:rPr>
        <w:t xml:space="preserve">ed by the skilled and learned, without him making a statement. For Zacharias said, he who is taught in this kind of science in a masterly way through this chapter which is one of the best because </w:t>
      </w:r>
      <w:r>
        <w:rPr>
          <w:sz w:val="20"/>
          <w:szCs w:val="20"/>
          <w:lang w:val="xh-ZA"/>
        </w:rPr>
        <w:t xml:space="preserve">it is a secret and </w:t>
      </w:r>
      <w:r w:rsidRPr="00111440">
        <w:rPr>
          <w:sz w:val="20"/>
          <w:szCs w:val="20"/>
          <w:lang w:val="xh-ZA"/>
        </w:rPr>
        <w:t xml:space="preserve">none of the wise men who have been keen on it, have named </w:t>
      </w:r>
      <w:r>
        <w:rPr>
          <w:sz w:val="20"/>
          <w:szCs w:val="20"/>
          <w:lang w:val="xh-ZA"/>
        </w:rPr>
        <w:t>it</w:t>
      </w:r>
      <w:r w:rsidRPr="00111440">
        <w:rPr>
          <w:sz w:val="20"/>
          <w:szCs w:val="20"/>
          <w:lang w:val="xh-ZA"/>
        </w:rPr>
        <w:t>, and it is a great root and is famous, the whole intention will be healed by all of it, and every hidden thing, every name, every number and hidden thing is extracted from all of it.</w:t>
      </w:r>
      <w:r w:rsidRPr="00322AF7">
        <w:t xml:space="preserve"> </w:t>
      </w:r>
      <w:r>
        <w:rPr>
          <w:sz w:val="20"/>
          <w:szCs w:val="20"/>
          <w:lang w:val="xh-ZA"/>
        </w:rPr>
        <w:t>Therefore</w:t>
      </w:r>
      <w:r w:rsidRPr="00322AF7">
        <w:rPr>
          <w:sz w:val="20"/>
          <w:szCs w:val="20"/>
          <w:lang w:val="xh-ZA"/>
        </w:rPr>
        <w:t xml:space="preserve"> you should know it: the intention of the querent</w:t>
      </w:r>
      <w:r>
        <w:rPr>
          <w:rStyle w:val="FootnoteReference"/>
          <w:sz w:val="20"/>
          <w:szCs w:val="20"/>
          <w:vertAlign w:val="baseline"/>
          <w:lang w:val="xh-ZA"/>
        </w:rPr>
        <w:t>.</w:t>
      </w:r>
      <w:r>
        <w:rPr>
          <w:rStyle w:val="FootnoteReference"/>
          <w:sz w:val="20"/>
          <w:szCs w:val="20"/>
          <w:lang w:val="xh-ZA"/>
        </w:rPr>
        <w:footnoteReference w:id="264"/>
      </w:r>
    </w:p>
    <w:p w14:paraId="7ACAB322" w14:textId="77777777" w:rsidR="00244FB6" w:rsidRDefault="00244FB6" w:rsidP="00244FB6">
      <w:pPr>
        <w:ind w:firstLine="0"/>
      </w:pPr>
    </w:p>
    <w:p w14:paraId="4D472566" w14:textId="009B3575" w:rsidR="00244FB6" w:rsidRDefault="00244FB6" w:rsidP="00244FB6">
      <w:pPr>
        <w:ind w:firstLine="0"/>
      </w:pPr>
      <w:r w:rsidRPr="007C54A6">
        <w:t xml:space="preserve">In this </w:t>
      </w:r>
      <w:r>
        <w:t xml:space="preserve">passage from the </w:t>
      </w:r>
      <w:r w:rsidRPr="00E67513">
        <w:rPr>
          <w:i/>
          <w:iCs/>
        </w:rPr>
        <w:t>Liber Salcharie Albassarith</w:t>
      </w:r>
      <w:r w:rsidRPr="007C54A6">
        <w:t xml:space="preserve">, geomancy is </w:t>
      </w:r>
      <w:r w:rsidR="00F37711">
        <w:t>presented</w:t>
      </w:r>
      <w:r w:rsidRPr="007C54A6">
        <w:t xml:space="preserve"> as a </w:t>
      </w:r>
      <w:r>
        <w:t>discipline</w:t>
      </w:r>
      <w:r w:rsidRPr="007C54A6">
        <w:t xml:space="preserve"> endowed with the p</w:t>
      </w:r>
      <w:r>
        <w:t>ower</w:t>
      </w:r>
      <w:r w:rsidRPr="007C54A6">
        <w:t xml:space="preserve"> to unearth concealed elements of diverse nature</w:t>
      </w:r>
      <w:r>
        <w:t>.</w:t>
      </w:r>
      <w:r w:rsidRPr="007C54A6">
        <w:t xml:space="preserve"> Given that the querent</w:t>
      </w:r>
      <w:r>
        <w:t>’</w:t>
      </w:r>
      <w:r w:rsidRPr="007C54A6">
        <w:t xml:space="preserve">s intent is inherently </w:t>
      </w:r>
      <w:r>
        <w:t>contained</w:t>
      </w:r>
      <w:r w:rsidRPr="007C54A6">
        <w:t xml:space="preserve"> within the geomantic chart</w:t>
      </w:r>
      <w:r>
        <w:t>,</w:t>
      </w:r>
      <w:r w:rsidRPr="007C54A6">
        <w:t xml:space="preserve"> the imperative for explicit enunciation on the querent</w:t>
      </w:r>
      <w:r>
        <w:t>’</w:t>
      </w:r>
      <w:r w:rsidRPr="007C54A6">
        <w:t>s part is rendered superfluous</w:t>
      </w:r>
      <w:r>
        <w:t>. The adept practitioner is expected to be able to discern the client’s intention by the interpretation of the geomantic chart.</w:t>
      </w:r>
      <w:r w:rsidRPr="00D47AD4">
        <w:t xml:space="preserve"> This thematic underscores the rationale behind the emphasis within the</w:t>
      </w:r>
      <w:r>
        <w:t xml:space="preserve"> </w:t>
      </w:r>
      <w:r w:rsidRPr="007A206F">
        <w:rPr>
          <w:i/>
          <w:iCs/>
        </w:rPr>
        <w:t>Liber arenalis scientiae</w:t>
      </w:r>
      <w:r>
        <w:rPr>
          <w:i/>
          <w:iCs/>
        </w:rPr>
        <w:t xml:space="preserve">. </w:t>
      </w:r>
      <w:r>
        <w:t xml:space="preserve"> </w:t>
      </w:r>
      <w:r w:rsidR="0007232F">
        <w:t>Plato’s</w:t>
      </w:r>
      <w:r>
        <w:t xml:space="preserve"> text </w:t>
      </w:r>
      <w:r w:rsidR="0007232F">
        <w:t>offers</w:t>
      </w:r>
      <w:r>
        <w:t xml:space="preserve"> an array of methodologies by which the geomancer can discover the concealed intentions </w:t>
      </w:r>
      <w:r w:rsidR="0007232F">
        <w:t>without the querent having to verbally express their reason for seeking the help of the geomancer</w:t>
      </w:r>
      <w:r>
        <w:t>.</w:t>
      </w:r>
      <w:r w:rsidRPr="00D47AD4">
        <w:t xml:space="preserve"> It </w:t>
      </w:r>
      <w:r>
        <w:t>presents</w:t>
      </w:r>
      <w:r w:rsidRPr="00D47AD4">
        <w:t xml:space="preserve"> a compendium of nuanced indicators for each geomantic figure, deciphering the potential intentions that may be divulged through its placement within the </w:t>
      </w:r>
      <w:r>
        <w:t xml:space="preserve">fifteen domiciles of the </w:t>
      </w:r>
      <w:r w:rsidRPr="00D47AD4">
        <w:t>chart.</w:t>
      </w:r>
    </w:p>
    <w:p w14:paraId="3D72923F" w14:textId="4320DE89" w:rsidR="00244FB6" w:rsidRDefault="00244FB6" w:rsidP="00244FB6">
      <w:r>
        <w:lastRenderedPageBreak/>
        <w:t>T</w:t>
      </w:r>
      <w:r w:rsidRPr="007B5273">
        <w:t xml:space="preserve">he discourse encapsulated within these Latin sources </w:t>
      </w:r>
      <w:r w:rsidR="0057098E">
        <w:t>offers some clarification regarding</w:t>
      </w:r>
      <w:r w:rsidRPr="007B5273">
        <w:t xml:space="preserve"> the intricate </w:t>
      </w:r>
      <w:r w:rsidR="0057098E">
        <w:t>process</w:t>
      </w:r>
      <w:r w:rsidRPr="007B5273">
        <w:t xml:space="preserve"> of investigat</w:t>
      </w:r>
      <w:r>
        <w:t>ion of</w:t>
      </w:r>
      <w:r w:rsidRPr="007B5273">
        <w:t xml:space="preserve"> the querent</w:t>
      </w:r>
      <w:r>
        <w:t>’</w:t>
      </w:r>
      <w:r w:rsidRPr="007B5273">
        <w:t>s intention</w:t>
      </w:r>
      <w:r>
        <w:t>s</w:t>
      </w:r>
      <w:r w:rsidRPr="007B5273">
        <w:t>. Primarily, this facet emerges as an indispensable cornerstone of geomantic methodology.</w:t>
      </w:r>
      <w:r>
        <w:t xml:space="preserve"> </w:t>
      </w:r>
      <w:r w:rsidRPr="007B5273">
        <w:t xml:space="preserve">An intricate nexus is perceived between the celestial </w:t>
      </w:r>
      <w:r>
        <w:t>spheres</w:t>
      </w:r>
      <w:r w:rsidRPr="007B5273">
        <w:t xml:space="preserve">, the sixteen geomantic </w:t>
      </w:r>
      <w:r>
        <w:t>figures</w:t>
      </w:r>
      <w:r w:rsidRPr="007B5273">
        <w:t xml:space="preserve">, and the human cogitations or aspirations, compelling the geomancer to cultivate an adeptness in </w:t>
      </w:r>
      <w:r w:rsidR="00570B79">
        <w:t>their</w:t>
      </w:r>
      <w:r w:rsidRPr="007B5273">
        <w:t xml:space="preserve"> decipherment. </w:t>
      </w:r>
      <w:r>
        <w:t xml:space="preserve">From this follows that the geomantic chart is invested with a dual purpose: </w:t>
      </w:r>
      <w:r w:rsidRPr="007B5273">
        <w:t>during its initial appraisal, the geomancer, by virtue of adept reading, unveils the genuine impetus</w:t>
      </w:r>
      <w:r w:rsidR="009059E4">
        <w:t xml:space="preserve"> –</w:t>
      </w:r>
      <w:r w:rsidRPr="007B5273">
        <w:t xml:space="preserve"> the authentic query that impelled the client</w:t>
      </w:r>
      <w:r>
        <w:t>’</w:t>
      </w:r>
      <w:r w:rsidRPr="007B5273">
        <w:t>s presence. Once this inquiry is discerned,</w:t>
      </w:r>
      <w:r>
        <w:t xml:space="preserve"> the chart is subjected to a second reading, wherein the geomancer seeks to give an answer, and </w:t>
      </w:r>
      <w:r w:rsidR="00504A91">
        <w:t xml:space="preserve">to </w:t>
      </w:r>
      <w:r>
        <w:t>present</w:t>
      </w:r>
      <w:r w:rsidRPr="004A7783">
        <w:t xml:space="preserve"> a remedy aligned with the querent</w:t>
      </w:r>
      <w:r>
        <w:t>’</w:t>
      </w:r>
      <w:r w:rsidRPr="004A7783">
        <w:t>s intention</w:t>
      </w:r>
      <w:r>
        <w:t xml:space="preserve"> (</w:t>
      </w:r>
      <w:r w:rsidRPr="00446ACC">
        <w:rPr>
          <w:i/>
          <w:iCs/>
          <w:lang w:val="fr-FR"/>
        </w:rPr>
        <w:t>et omni eo sanabitur intentio tota</w:t>
      </w:r>
      <w:r>
        <w:rPr>
          <w:lang w:val="fr-FR"/>
        </w:rPr>
        <w:t>).</w:t>
      </w:r>
      <w:r>
        <w:rPr>
          <w:rStyle w:val="FootnoteReference"/>
          <w:lang w:val="fr-FR"/>
        </w:rPr>
        <w:footnoteReference w:id="265"/>
      </w:r>
      <w:r>
        <w:rPr>
          <w:lang w:val="fr-FR"/>
        </w:rPr>
        <w:t xml:space="preserve"> </w:t>
      </w:r>
      <w:r>
        <w:t>Furthermore</w:t>
      </w:r>
      <w:r w:rsidRPr="00C07263">
        <w:t>, these sources delineate, though partially,</w:t>
      </w:r>
      <w:r>
        <w:rPr>
          <w:lang w:val="fr-FR"/>
        </w:rPr>
        <w:t xml:space="preserve"> </w:t>
      </w:r>
      <w:r>
        <w:t xml:space="preserve">the nature and </w:t>
      </w:r>
      <w:r w:rsidRPr="00C07263">
        <w:rPr>
          <w:i/>
          <w:iCs/>
        </w:rPr>
        <w:t>locus</w:t>
      </w:r>
      <w:r>
        <w:t xml:space="preserve"> of the ‘intentions</w:t>
      </w:r>
      <w:r w:rsidR="000B0696">
        <w:t>.</w:t>
      </w:r>
      <w:r>
        <w:t>’ These motives are frequently cast as either wishes or cogitations,</w:t>
      </w:r>
      <w:r w:rsidRPr="007D4F7C">
        <w:t xml:space="preserve"> albeit the consensus among the texts under examination herein remains fractured concerning their precise locus</w:t>
      </w:r>
      <w:r>
        <w:t>, with some positioning them in the heart, and other</w:t>
      </w:r>
      <w:r w:rsidR="00570B79">
        <w:t>s</w:t>
      </w:r>
      <w:r>
        <w:t xml:space="preserve"> in the soul. Despite these discrepancies, a prevailing paradigm emerges, depicting intentions as s</w:t>
      </w:r>
      <w:r w:rsidRPr="00C272E3">
        <w:t xml:space="preserve">ubstrata intrinsic to the recesses of the human </w:t>
      </w:r>
      <w:r w:rsidR="006A39CF" w:rsidRPr="006A39CF">
        <w:t>soul</w:t>
      </w:r>
      <w:r w:rsidRPr="00C272E3">
        <w:t xml:space="preserve">, conceivably placed within the realm of the </w:t>
      </w:r>
      <w:r>
        <w:t>un</w:t>
      </w:r>
      <w:r w:rsidRPr="00C272E3">
        <w:t>conscious</w:t>
      </w:r>
      <w:r>
        <w:t xml:space="preserve"> </w:t>
      </w:r>
      <w:r w:rsidR="00C61EDF">
        <w:t>–</w:t>
      </w:r>
      <w:r>
        <w:t xml:space="preserve"> </w:t>
      </w:r>
      <w:r w:rsidRPr="00C272E3">
        <w:t xml:space="preserve">a domain the geomancer is </w:t>
      </w:r>
      <w:r>
        <w:t>called</w:t>
      </w:r>
      <w:r w:rsidRPr="00C272E3">
        <w:t xml:space="preserve"> to </w:t>
      </w:r>
      <w:r w:rsidR="00C61EDF" w:rsidRPr="00C272E3">
        <w:t>reveal</w:t>
      </w:r>
      <w:r w:rsidRPr="00C272E3">
        <w:t>.</w:t>
      </w:r>
      <w:r>
        <w:t xml:space="preserve"> </w:t>
      </w:r>
      <w:r w:rsidRPr="00C272E3">
        <w:t xml:space="preserve">As such, the geomantic praxis </w:t>
      </w:r>
      <w:r>
        <w:t>evolves</w:t>
      </w:r>
      <w:r w:rsidRPr="00C272E3">
        <w:t xml:space="preserve"> beyond</w:t>
      </w:r>
      <w:r w:rsidR="003A1B92">
        <w:t xml:space="preserve"> a technique future</w:t>
      </w:r>
      <w:r w:rsidR="006A39CF">
        <w:t>-telling</w:t>
      </w:r>
      <w:r w:rsidRPr="00C272E3">
        <w:t xml:space="preserve">, assuming the mantle of </w:t>
      </w:r>
      <w:r w:rsidR="006A39CF">
        <w:t>an exploration of the human soul</w:t>
      </w:r>
      <w:r w:rsidRPr="00C272E3">
        <w:t xml:space="preserve">. This attribute, notably more pronounced within geomancy compared to other </w:t>
      </w:r>
      <w:r>
        <w:t>predictive</w:t>
      </w:r>
      <w:r w:rsidRPr="00C272E3">
        <w:t xml:space="preserve"> arts,</w:t>
      </w:r>
      <w:r w:rsidR="00075BFC">
        <w:t xml:space="preserve"> </w:t>
      </w:r>
      <w:r>
        <w:t xml:space="preserve">already emerged in Eugenio Garin’s work, who underscored the connection between </w:t>
      </w:r>
      <w:r w:rsidRPr="00C272E3">
        <w:t>celestial influences and profound psychic resonances within geomancy.</w:t>
      </w:r>
      <w:r>
        <w:t xml:space="preserve"> In Garin’s own words: </w:t>
      </w:r>
      <w:r w:rsidR="00906402">
        <w:t>“</w:t>
      </w:r>
      <w:r>
        <w:t xml:space="preserve">astral influence, registering deep within man, and moulding him, makes him like a page which </w:t>
      </w:r>
      <w:r>
        <w:lastRenderedPageBreak/>
        <w:t>reveals the disposition of the stars, if only one knows how to decipher how much is happening beyond the threshold of the conscious will</w:t>
      </w:r>
      <w:bookmarkEnd w:id="80"/>
      <w:r w:rsidR="00390650">
        <w:t>.</w:t>
      </w:r>
      <w:r>
        <w:t>”</w:t>
      </w:r>
      <w:r>
        <w:rPr>
          <w:rStyle w:val="FootnoteReference"/>
        </w:rPr>
        <w:footnoteReference w:id="266"/>
      </w:r>
    </w:p>
    <w:p w14:paraId="6F614CB5" w14:textId="45BF7470" w:rsidR="00244FB6" w:rsidRDefault="00244FB6" w:rsidP="00244FB6">
      <w:bookmarkStart w:id="81" w:name="_Hlk144477600"/>
      <w:r>
        <w:t>A f</w:t>
      </w:r>
      <w:r w:rsidR="00CE6861">
        <w:t xml:space="preserve">urther textual example </w:t>
      </w:r>
      <w:r>
        <w:t xml:space="preserve">is </w:t>
      </w:r>
      <w:r w:rsidRPr="00EC2B36">
        <w:t xml:space="preserve">a geomantic treatise </w:t>
      </w:r>
      <w:r>
        <w:t>attributed to</w:t>
      </w:r>
      <w:r w:rsidRPr="00EC2B36">
        <w:t xml:space="preserve"> Ibn Ma</w:t>
      </w:r>
      <w:r w:rsidR="003E064F">
        <w:t>ḥ</w:t>
      </w:r>
      <w:r w:rsidRPr="00EC2B36">
        <w:t>fuf, preserved</w:t>
      </w:r>
      <w:r w:rsidR="007C540E">
        <w:t xml:space="preserve"> both in Latin and</w:t>
      </w:r>
      <w:r w:rsidRPr="00EC2B36">
        <w:t xml:space="preserve"> in its original Arabic (</w:t>
      </w:r>
      <w:r w:rsidRPr="00EC2B36">
        <w:rPr>
          <w:rtl/>
        </w:rPr>
        <w:t>كتاب المث</w:t>
      </w:r>
      <w:r>
        <w:rPr>
          <w:rFonts w:hint="cs"/>
          <w:rtl/>
        </w:rPr>
        <w:t>لث</w:t>
      </w:r>
      <w:r w:rsidRPr="00EC2B36">
        <w:rPr>
          <w:rtl/>
        </w:rPr>
        <w:t xml:space="preserve"> في علم</w:t>
      </w:r>
      <w:r w:rsidR="00C27490">
        <w:t xml:space="preserve"> </w:t>
      </w:r>
      <w:r w:rsidR="00C27490">
        <w:rPr>
          <w:lang w:val="fr-FR"/>
        </w:rPr>
        <w:t xml:space="preserve">‘the book </w:t>
      </w:r>
      <w:r w:rsidR="00C27490" w:rsidRPr="00C27490">
        <w:t>tripled</w:t>
      </w:r>
      <w:r w:rsidR="00C27490">
        <w:rPr>
          <w:lang w:val="fr-FR"/>
        </w:rPr>
        <w:t xml:space="preserve"> in </w:t>
      </w:r>
      <w:r w:rsidR="00C27490" w:rsidRPr="00C27490">
        <w:t>wisdom’</w:t>
      </w:r>
      <w:r w:rsidRPr="00EC2B36">
        <w:t>).</w:t>
      </w:r>
      <w:r w:rsidRPr="00EC2B36">
        <w:rPr>
          <w:rStyle w:val="FootnoteReference"/>
        </w:rPr>
        <w:footnoteReference w:id="267"/>
      </w:r>
      <w:r>
        <w:t xml:space="preserve"> </w:t>
      </w:r>
      <w:r w:rsidRPr="00166C18">
        <w:t xml:space="preserve">An intriguing excerpt from this </w:t>
      </w:r>
      <w:r w:rsidR="007C540E">
        <w:t>treatise</w:t>
      </w:r>
      <w:r w:rsidRPr="00166C18">
        <w:t xml:space="preserve"> alludes to an alternate modus operandi for </w:t>
      </w:r>
      <w:r w:rsidR="00A94996">
        <w:t>revealing human</w:t>
      </w:r>
      <w:r w:rsidRPr="00166C18">
        <w:t xml:space="preserve"> intentions</w:t>
      </w:r>
      <w:r>
        <w:t xml:space="preserve">: “[…] the Indians made their own the employment of a circle </w:t>
      </w:r>
      <w:r w:rsidRPr="004260B5">
        <w:t>which has been divided into twelve equal parts</w:t>
      </w:r>
      <w:r>
        <w:t>;</w:t>
      </w:r>
      <w:r w:rsidRPr="004260B5">
        <w:t xml:space="preserve"> they </w:t>
      </w:r>
      <w:r>
        <w:t>instruct</w:t>
      </w:r>
      <w:r w:rsidRPr="004260B5">
        <w:t xml:space="preserve"> </w:t>
      </w:r>
      <w:r>
        <w:t>the</w:t>
      </w:r>
      <w:r w:rsidRPr="004260B5">
        <w:t xml:space="preserve"> questioner to put a hand </w:t>
      </w:r>
      <w:r w:rsidR="003E064F">
        <w:t>on</w:t>
      </w:r>
      <w:r w:rsidRPr="004260B5">
        <w:t xml:space="preserve"> one of those parts</w:t>
      </w:r>
      <w:r>
        <w:t xml:space="preserve">. </w:t>
      </w:r>
      <w:r w:rsidRPr="003D21B5">
        <w:t>And after they have done this, they speak wonderfully about this with the fullness of interpretations on every intention</w:t>
      </w:r>
      <w:r>
        <w:t>.”</w:t>
      </w:r>
      <w:r>
        <w:rPr>
          <w:rStyle w:val="FootnoteReference"/>
        </w:rPr>
        <w:footnoteReference w:id="268"/>
      </w:r>
      <w:r>
        <w:t xml:space="preserve"> The method delineated by Ibn </w:t>
      </w:r>
      <w:r w:rsidR="003E064F">
        <w:t>Maḥfuf</w:t>
      </w:r>
      <w:r>
        <w:t xml:space="preserve"> to reveal the hidden cogitations of the querent appears to revolve around the act of drawing – perhaps in the medium of sand – a circle segmented it into twelve parts,</w:t>
      </w:r>
      <w:r w:rsidRPr="00D01155">
        <w:t xml:space="preserve"> </w:t>
      </w:r>
      <w:r>
        <w:t xml:space="preserve">seemingly </w:t>
      </w:r>
      <w:r w:rsidRPr="00D01155">
        <w:t>mirroring the twelve celestial houses along the ecliptic</w:t>
      </w:r>
      <w:r>
        <w:t>,</w:t>
      </w:r>
      <w:r w:rsidRPr="00D01155">
        <w:t xml:space="preserve"> each ascribed to a distinct thematic domain</w:t>
      </w:r>
      <w:r>
        <w:t>.</w:t>
      </w:r>
      <w:r w:rsidRPr="00D01155">
        <w:t xml:space="preserve"> </w:t>
      </w:r>
      <w:r>
        <w:t>T</w:t>
      </w:r>
      <w:r w:rsidRPr="00D01155">
        <w:t>hus, through the querent</w:t>
      </w:r>
      <w:r>
        <w:t>’</w:t>
      </w:r>
      <w:r w:rsidRPr="00D01155">
        <w:t>s act of randomly positioning their hand within one of these sections, the question they seek answers for becomes unveiled</w:t>
      </w:r>
      <w:r>
        <w:t>.</w:t>
      </w:r>
      <w:r>
        <w:rPr>
          <w:rStyle w:val="FootnoteReference"/>
        </w:rPr>
        <w:footnoteReference w:id="269"/>
      </w:r>
      <w:r>
        <w:t xml:space="preserve"> The term </w:t>
      </w:r>
      <w:r w:rsidRPr="007C2873">
        <w:rPr>
          <w:i/>
          <w:iCs/>
        </w:rPr>
        <w:t>intentio</w:t>
      </w:r>
      <w:r>
        <w:t xml:space="preserve"> manifests within other various passages in Ibn </w:t>
      </w:r>
      <w:r w:rsidR="003E064F">
        <w:t>Maḥfuf</w:t>
      </w:r>
      <w:r>
        <w:t>’s text. This treatise stands as a key testament,</w:t>
      </w:r>
      <w:r w:rsidRPr="00D01155">
        <w:t xml:space="preserve"> bearing witness to its survival in both Arabic and Latin </w:t>
      </w:r>
      <w:r>
        <w:t>versions.</w:t>
      </w:r>
      <w:r w:rsidRPr="00D01155">
        <w:t xml:space="preserve"> Consequently, it holds the potential to illuminate the translation of the notions of intention and intentionality into the Latin lexicon. </w:t>
      </w:r>
      <w:r>
        <w:t xml:space="preserve">From the </w:t>
      </w:r>
      <w:r>
        <w:lastRenderedPageBreak/>
        <w:t>j</w:t>
      </w:r>
      <w:r w:rsidRPr="00D01155">
        <w:t>uxtaposi</w:t>
      </w:r>
      <w:r>
        <w:t>tion of</w:t>
      </w:r>
      <w:r w:rsidRPr="00D01155">
        <w:t xml:space="preserve"> the Arabic and Latin renditions, </w:t>
      </w:r>
      <w:r>
        <w:t>it emerges the</w:t>
      </w:r>
      <w:r w:rsidRPr="00D01155">
        <w:t xml:space="preserve"> instance wherein the term </w:t>
      </w:r>
      <w:r w:rsidRPr="00D01155">
        <w:rPr>
          <w:i/>
          <w:iCs/>
        </w:rPr>
        <w:t>intentio</w:t>
      </w:r>
      <w:r w:rsidRPr="00D01155">
        <w:t xml:space="preserve"> has been </w:t>
      </w:r>
      <w:r>
        <w:t>chosen</w:t>
      </w:r>
      <w:r w:rsidRPr="00D01155">
        <w:t xml:space="preserve"> to translate the Arabic </w:t>
      </w:r>
      <w:r>
        <w:t xml:space="preserve">term </w:t>
      </w:r>
      <w:r w:rsidRPr="00B80EF6">
        <w:rPr>
          <w:i/>
          <w:iCs/>
        </w:rPr>
        <w:t>ḍamīr</w:t>
      </w:r>
      <w:r>
        <w:t>.</w:t>
      </w:r>
      <w:r w:rsidR="00C9412B">
        <w:rPr>
          <w:rStyle w:val="FootnoteReference"/>
        </w:rPr>
        <w:footnoteReference w:id="270"/>
      </w:r>
      <w:r>
        <w:t xml:space="preserve"> </w:t>
      </w:r>
      <w:r w:rsidRPr="00D01155">
        <w:t xml:space="preserve">The subsequent section of this chapter will be dedicated to </w:t>
      </w:r>
      <w:r w:rsidR="00290018">
        <w:t>an</w:t>
      </w:r>
      <w:r w:rsidRPr="00D01155">
        <w:t xml:space="preserve"> investigation of this term, affording a comprehensive analysis.</w:t>
      </w:r>
    </w:p>
    <w:bookmarkEnd w:id="81"/>
    <w:p w14:paraId="02C8A316" w14:textId="77777777" w:rsidR="00244FB6" w:rsidRDefault="00244FB6" w:rsidP="00244FB6">
      <w:pPr>
        <w:ind w:firstLine="0"/>
      </w:pPr>
    </w:p>
    <w:p w14:paraId="662522AF" w14:textId="66487E21" w:rsidR="00244FB6" w:rsidRPr="009F28FF" w:rsidRDefault="00244FB6" w:rsidP="009F28FF">
      <w:pPr>
        <w:pStyle w:val="Heading2"/>
        <w:ind w:firstLine="0"/>
        <w:rPr>
          <w:rFonts w:asciiTheme="majorBidi" w:hAnsiTheme="majorBidi"/>
          <w:color w:val="auto"/>
          <w:sz w:val="20"/>
          <w:szCs w:val="20"/>
        </w:rPr>
      </w:pPr>
      <w:bookmarkStart w:id="85" w:name="_Toc165108659"/>
      <w:r w:rsidRPr="009F28FF">
        <w:rPr>
          <w:rFonts w:asciiTheme="majorBidi" w:hAnsiTheme="majorBidi"/>
          <w:color w:val="auto"/>
          <w:sz w:val="20"/>
          <w:szCs w:val="20"/>
        </w:rPr>
        <w:t>IV.</w:t>
      </w:r>
      <w:r w:rsidR="004A0096">
        <w:rPr>
          <w:rFonts w:asciiTheme="majorBidi" w:hAnsiTheme="majorBidi"/>
          <w:color w:val="auto"/>
          <w:sz w:val="20"/>
          <w:szCs w:val="20"/>
        </w:rPr>
        <w:t>2</w:t>
      </w:r>
      <w:r w:rsidRPr="009F28FF">
        <w:rPr>
          <w:rFonts w:asciiTheme="majorBidi" w:hAnsiTheme="majorBidi"/>
          <w:color w:val="auto"/>
          <w:sz w:val="20"/>
          <w:szCs w:val="20"/>
        </w:rPr>
        <w:t xml:space="preserve"> </w:t>
      </w:r>
      <w:bookmarkStart w:id="86" w:name="_Hlk144477695"/>
      <w:r w:rsidRPr="009F28FF">
        <w:rPr>
          <w:rFonts w:asciiTheme="majorBidi" w:hAnsiTheme="majorBidi"/>
          <w:i/>
          <w:iCs/>
          <w:color w:val="auto"/>
          <w:sz w:val="20"/>
          <w:szCs w:val="20"/>
        </w:rPr>
        <w:t>ḌAMĪR</w:t>
      </w:r>
      <w:r w:rsidRPr="009F28FF">
        <w:rPr>
          <w:rFonts w:asciiTheme="majorBidi" w:hAnsiTheme="majorBidi"/>
          <w:color w:val="auto"/>
          <w:sz w:val="20"/>
          <w:szCs w:val="20"/>
        </w:rPr>
        <w:t>: THE OBJECT OF THE GEOMANTIC PREDICTION</w:t>
      </w:r>
      <w:bookmarkEnd w:id="85"/>
      <w:bookmarkEnd w:id="86"/>
    </w:p>
    <w:p w14:paraId="39B08D69" w14:textId="77777777" w:rsidR="00244FB6" w:rsidRDefault="00244FB6" w:rsidP="00244FB6">
      <w:pPr>
        <w:ind w:firstLine="0"/>
      </w:pPr>
    </w:p>
    <w:p w14:paraId="452DCCF6" w14:textId="30FB3C66" w:rsidR="00244FB6" w:rsidRPr="00834CEB" w:rsidRDefault="00244FB6" w:rsidP="00244FB6">
      <w:bookmarkStart w:id="87" w:name="_Hlk144478611"/>
      <w:r w:rsidRPr="00807473">
        <w:rPr>
          <w:shd w:val="clear" w:color="auto" w:fill="FFFFFF"/>
        </w:rPr>
        <w:t xml:space="preserve">The main Arabic term that was being translated as </w:t>
      </w:r>
      <w:r w:rsidRPr="00807473">
        <w:rPr>
          <w:i/>
          <w:iCs/>
          <w:shd w:val="clear" w:color="auto" w:fill="FFFFFF"/>
        </w:rPr>
        <w:t>intentio</w:t>
      </w:r>
      <w:r w:rsidRPr="00807473">
        <w:rPr>
          <w:shd w:val="clear" w:color="auto" w:fill="FFFFFF"/>
        </w:rPr>
        <w:t xml:space="preserve"> in the medieval period was </w:t>
      </w:r>
      <w:bookmarkStart w:id="88" w:name="_Hlk102122357"/>
      <w:r w:rsidRPr="00807473">
        <w:rPr>
          <w:i/>
          <w:iCs/>
          <w:shd w:val="clear" w:color="auto" w:fill="FFFFFF"/>
        </w:rPr>
        <w:t>ma</w:t>
      </w:r>
      <w:r>
        <w:rPr>
          <w:i/>
          <w:iCs/>
          <w:shd w:val="clear" w:color="auto" w:fill="FFFFFF"/>
        </w:rPr>
        <w:t>‘</w:t>
      </w:r>
      <w:r w:rsidRPr="00807473">
        <w:rPr>
          <w:i/>
          <w:iCs/>
          <w:shd w:val="clear" w:color="auto" w:fill="FFFFFF"/>
        </w:rPr>
        <w:t>n</w:t>
      </w:r>
      <w:r>
        <w:rPr>
          <w:i/>
          <w:iCs/>
          <w:shd w:val="clear" w:color="auto" w:fill="FFFFFF"/>
        </w:rPr>
        <w:t>ā</w:t>
      </w:r>
      <w:r w:rsidRPr="00807473">
        <w:rPr>
          <w:shd w:val="clear" w:color="auto" w:fill="FFFFFF"/>
        </w:rPr>
        <w:t xml:space="preserve"> (</w:t>
      </w:r>
      <w:r w:rsidRPr="00807473">
        <w:rPr>
          <w:rFonts w:ascii="LinuxLibertine" w:hAnsi="LinuxLibertine"/>
          <w:color w:val="000000"/>
          <w:shd w:val="clear" w:color="auto" w:fill="FFFFFF"/>
          <w:rtl/>
        </w:rPr>
        <w:t>معنًى</w:t>
      </w:r>
      <w:r w:rsidRPr="00807473">
        <w:rPr>
          <w:color w:val="000000"/>
          <w:shd w:val="clear" w:color="auto" w:fill="FFFFFF"/>
        </w:rPr>
        <w:t>)</w:t>
      </w:r>
      <w:bookmarkEnd w:id="88"/>
      <w:r w:rsidRPr="00807473">
        <w:rPr>
          <w:color w:val="000000"/>
          <w:shd w:val="clear" w:color="auto" w:fill="FFFFFF"/>
        </w:rPr>
        <w:t xml:space="preserve">, </w:t>
      </w:r>
      <w:r>
        <w:rPr>
          <w:color w:val="000000"/>
          <w:shd w:val="clear" w:color="auto" w:fill="FFFFFF"/>
        </w:rPr>
        <w:t>an expression emblematic</w:t>
      </w:r>
      <w:r w:rsidRPr="00807473">
        <w:rPr>
          <w:shd w:val="clear" w:color="auto" w:fill="FFFFFF"/>
        </w:rPr>
        <w:t xml:space="preserve"> in medieval philosophy of the mind </w:t>
      </w:r>
      <w:r>
        <w:rPr>
          <w:shd w:val="clear" w:color="auto" w:fill="FFFFFF"/>
        </w:rPr>
        <w:t>that denoted</w:t>
      </w:r>
      <w:r w:rsidRPr="00807473">
        <w:rPr>
          <w:shd w:val="clear" w:color="auto" w:fill="FFFFFF"/>
        </w:rPr>
        <w:t xml:space="preserve"> the object</w:t>
      </w:r>
      <w:r>
        <w:rPr>
          <w:shd w:val="clear" w:color="auto" w:fill="FFFFFF"/>
        </w:rPr>
        <w:t>ive</w:t>
      </w:r>
      <w:r w:rsidRPr="00807473">
        <w:rPr>
          <w:shd w:val="clear" w:color="auto" w:fill="FFFFFF"/>
        </w:rPr>
        <w:t xml:space="preserve"> of the estimative faculty</w:t>
      </w:r>
      <w:r w:rsidRPr="00807473">
        <w:rPr>
          <w:color w:val="000000"/>
          <w:shd w:val="clear" w:color="auto" w:fill="FFFFFF"/>
        </w:rPr>
        <w:t>.</w:t>
      </w:r>
      <w:r w:rsidRPr="00807473">
        <w:rPr>
          <w:rStyle w:val="FootnoteReference"/>
          <w:color w:val="000000"/>
          <w:shd w:val="clear" w:color="auto" w:fill="FFFFFF"/>
        </w:rPr>
        <w:footnoteReference w:id="271"/>
      </w:r>
      <w:r>
        <w:rPr>
          <w:color w:val="000000"/>
          <w:shd w:val="clear" w:color="auto" w:fill="FFFFFF"/>
        </w:rPr>
        <w:t xml:space="preserve">  </w:t>
      </w:r>
      <w:r>
        <w:t xml:space="preserve">This faculty – in Latin </w:t>
      </w:r>
      <w:r w:rsidRPr="009207F1">
        <w:rPr>
          <w:i/>
          <w:iCs/>
        </w:rPr>
        <w:t>vis aestimativa</w:t>
      </w:r>
      <w:r>
        <w:t xml:space="preserve"> – is one of four internal senses within the framework of Aristotelian-Avicennian psychological theory,</w:t>
      </w:r>
      <w:r>
        <w:rPr>
          <w:rStyle w:val="FootnoteReference"/>
        </w:rPr>
        <w:footnoteReference w:id="272"/>
      </w:r>
      <w:r>
        <w:t xml:space="preserve"> </w:t>
      </w:r>
      <w:r w:rsidR="00595C78">
        <w:t>together</w:t>
      </w:r>
      <w:r>
        <w:t xml:space="preserve"> with common sense, imagination, and memory. </w:t>
      </w:r>
      <w:bookmarkEnd w:id="87"/>
      <w:r>
        <w:t>These internal senses were believed to be situated in the cerebral ventricles, and elaborated the data that they received</w:t>
      </w:r>
      <w:r w:rsidR="005B386B">
        <w:t xml:space="preserve"> by</w:t>
      </w:r>
      <w:r>
        <w:t xml:space="preserve"> </w:t>
      </w:r>
      <w:r w:rsidR="005B386B">
        <w:t>the internal senses:</w:t>
      </w:r>
      <w:r>
        <w:t xml:space="preserve"> s</w:t>
      </w:r>
      <w:r w:rsidRPr="00BC1AF8">
        <w:t xml:space="preserve">ight, </w:t>
      </w:r>
      <w:r>
        <w:t>s</w:t>
      </w:r>
      <w:r w:rsidRPr="00BC1AF8">
        <w:t xml:space="preserve">ound, </w:t>
      </w:r>
      <w:r>
        <w:t>s</w:t>
      </w:r>
      <w:r w:rsidRPr="00BC1AF8">
        <w:t xml:space="preserve">mell, </w:t>
      </w:r>
      <w:r>
        <w:t>t</w:t>
      </w:r>
      <w:r w:rsidRPr="00BC1AF8">
        <w:t xml:space="preserve">aste, and </w:t>
      </w:r>
      <w:r>
        <w:t>t</w:t>
      </w:r>
      <w:r w:rsidRPr="00BC1AF8">
        <w:t>ouch</w:t>
      </w:r>
      <w:r>
        <w:t>.</w:t>
      </w:r>
      <w:r>
        <w:rPr>
          <w:rStyle w:val="FootnoteReference"/>
        </w:rPr>
        <w:footnoteReference w:id="273"/>
      </w:r>
      <w:r w:rsidRPr="009207F1">
        <w:t xml:space="preserve"> </w:t>
      </w:r>
      <w:r w:rsidRPr="0065530D">
        <w:t xml:space="preserve">The </w:t>
      </w:r>
      <w:r w:rsidRPr="003C28AF">
        <w:t>function of the estimative faculty resided in the immediate discernment of evaluative judgments pertaining to perceptible objects, delineated by the Latin nomenclature</w:t>
      </w:r>
      <w:r>
        <w:t xml:space="preserve"> </w:t>
      </w:r>
      <w:r w:rsidRPr="0065530D">
        <w:t xml:space="preserve">as </w:t>
      </w:r>
      <w:r w:rsidRPr="0065530D">
        <w:rPr>
          <w:i/>
          <w:iCs/>
        </w:rPr>
        <w:t>intentiones</w:t>
      </w:r>
      <w:r>
        <w:t>,</w:t>
      </w:r>
      <w:r w:rsidRPr="0065530D">
        <w:t xml:space="preserve"> and</w:t>
      </w:r>
      <w:r>
        <w:t xml:space="preserve"> in Arabic as </w:t>
      </w:r>
      <w:r w:rsidRPr="00953B6E">
        <w:rPr>
          <w:i/>
          <w:iCs/>
          <w:color w:val="000000"/>
          <w:shd w:val="clear" w:color="auto" w:fill="FFFFFF"/>
        </w:rPr>
        <w:t>maʿānin</w:t>
      </w:r>
      <w:r w:rsidRPr="00953B6E">
        <w:rPr>
          <w:i/>
          <w:iCs/>
        </w:rPr>
        <w:t>.</w:t>
      </w:r>
      <w:r w:rsidRPr="0065530D">
        <w:t xml:space="preserve"> </w:t>
      </w:r>
      <w:r w:rsidRPr="003C28AF">
        <w:t>These judgments transcended the mere corporeal apprehension of the object</w:t>
      </w:r>
      <w:r w:rsidR="00175175">
        <w:t>’</w:t>
      </w:r>
      <w:r w:rsidRPr="003C28AF">
        <w:t>s manifest attributes</w:t>
      </w:r>
      <w:r>
        <w:t>, focusing instead on</w:t>
      </w:r>
      <w:r w:rsidRPr="0065530D">
        <w:t xml:space="preserve"> the implications that the</w:t>
      </w:r>
      <w:r>
        <w:t xml:space="preserve"> existence of the</w:t>
      </w:r>
      <w:r w:rsidRPr="0065530D">
        <w:t xml:space="preserve"> object had for the perceiver. Avicenna </w:t>
      </w:r>
      <w:r>
        <w:t>illustrated this concept through</w:t>
      </w:r>
      <w:r w:rsidRPr="0065530D">
        <w:t xml:space="preserve"> the </w:t>
      </w:r>
      <w:r>
        <w:t>analogy</w:t>
      </w:r>
      <w:r w:rsidRPr="0065530D">
        <w:t xml:space="preserve"> of </w:t>
      </w:r>
      <w:r>
        <w:t>a</w:t>
      </w:r>
      <w:r w:rsidRPr="0065530D">
        <w:t xml:space="preserve"> sheep that is able to understand the </w:t>
      </w:r>
      <w:r>
        <w:lastRenderedPageBreak/>
        <w:t>peril</w:t>
      </w:r>
      <w:r w:rsidRPr="0065530D">
        <w:t xml:space="preserve"> </w:t>
      </w:r>
      <w:r>
        <w:t>embodied in</w:t>
      </w:r>
      <w:r w:rsidRPr="0065530D">
        <w:t xml:space="preserve"> a wolf.</w:t>
      </w:r>
      <w:r>
        <w:rPr>
          <w:rStyle w:val="FootnoteReference"/>
        </w:rPr>
        <w:footnoteReference w:id="274"/>
      </w:r>
      <w:r w:rsidRPr="0065530D">
        <w:t xml:space="preserve"> The danger that the sheep perceives is not given by the shape, or the colour, and not even by the form of the wolf.</w:t>
      </w:r>
      <w:r w:rsidRPr="004F628B">
        <w:t xml:space="preserve"> The peril, contrary to being rooted in the wolf</w:t>
      </w:r>
      <w:r w:rsidR="00A40C71">
        <w:t>’</w:t>
      </w:r>
      <w:r w:rsidRPr="004F628B">
        <w:t xml:space="preserve">s external form, emerged as an intangible </w:t>
      </w:r>
      <w:r w:rsidR="008A57E6">
        <w:t>attribute</w:t>
      </w:r>
      <w:r w:rsidRPr="004F628B">
        <w:t>. Thus, the phenomenon of intentionality manifested as an inherently relational construct, contingent upon dual subjects for its instantiation</w:t>
      </w:r>
      <w:r w:rsidRPr="0065530D">
        <w:t>.</w:t>
      </w:r>
      <w:r>
        <w:rPr>
          <w:rStyle w:val="FootnoteReference"/>
        </w:rPr>
        <w:footnoteReference w:id="275"/>
      </w:r>
      <w:r>
        <w:t xml:space="preserve"> </w:t>
      </w:r>
      <w:bookmarkStart w:id="89" w:name="_Hlk144479067"/>
      <w:r w:rsidRPr="004F628B">
        <w:t>Although extant translations of Arabic geomantic texts refrain from explicit mention of the Avicennian estimative faculty, its presence surfaces within William of Moerbeke</w:t>
      </w:r>
      <w:r>
        <w:t>’</w:t>
      </w:r>
      <w:r w:rsidRPr="004F628B">
        <w:t xml:space="preserve">s </w:t>
      </w:r>
      <w:r w:rsidRPr="004F628B">
        <w:rPr>
          <w:i/>
          <w:iCs/>
        </w:rPr>
        <w:t>Geomantia</w:t>
      </w:r>
      <w:r w:rsidRPr="004F628B">
        <w:t>.</w:t>
      </w:r>
      <w:r w:rsidRPr="009E14B0">
        <w:t xml:space="preserve"> </w:t>
      </w:r>
      <w:r>
        <w:t>Y</w:t>
      </w:r>
      <w:r w:rsidRPr="009E14B0">
        <w:t>et, this text</w:t>
      </w:r>
      <w:r w:rsidR="008A57E6">
        <w:t xml:space="preserve"> is not a translation from an Arabic original, but rather</w:t>
      </w:r>
      <w:r w:rsidRPr="009E14B0">
        <w:t xml:space="preserve"> a compilation from diverse Latin sources </w:t>
      </w:r>
      <w:r w:rsidR="008A57E6">
        <w:t>produced in</w:t>
      </w:r>
      <w:r w:rsidRPr="009E14B0">
        <w:t xml:space="preserve"> the thirteenth century. Consequently, the allusion to the estimative faculty within Moerbeke</w:t>
      </w:r>
      <w:r>
        <w:t>’</w:t>
      </w:r>
      <w:r w:rsidRPr="009E14B0">
        <w:t xml:space="preserve">s </w:t>
      </w:r>
      <w:r>
        <w:t>work</w:t>
      </w:r>
      <w:r w:rsidRPr="009E14B0">
        <w:t xml:space="preserve"> may reflect his interpretative assimilation of the</w:t>
      </w:r>
      <w:r>
        <w:t xml:space="preserve"> Latin</w:t>
      </w:r>
      <w:r w:rsidRPr="009E14B0">
        <w:t xml:space="preserve"> sourced material</w:t>
      </w:r>
      <w:r>
        <w:t xml:space="preserve"> in which he would have recurrently found the term </w:t>
      </w:r>
      <w:r w:rsidRPr="009E14B0">
        <w:rPr>
          <w:i/>
          <w:iCs/>
        </w:rPr>
        <w:t>intentio</w:t>
      </w:r>
      <w:r w:rsidRPr="009E14B0">
        <w:t>, rather than evoking a precise locution from early Arabic compositions</w:t>
      </w:r>
      <w:bookmarkEnd w:id="89"/>
      <w:r>
        <w:t>.</w:t>
      </w:r>
      <w:r>
        <w:rPr>
          <w:rStyle w:val="FootnoteReference"/>
        </w:rPr>
        <w:footnoteReference w:id="276"/>
      </w:r>
      <w:r>
        <w:t xml:space="preserve"> </w:t>
      </w:r>
      <w:bookmarkStart w:id="90" w:name="_Hlk144479118"/>
      <w:r w:rsidRPr="009E14B0">
        <w:t xml:space="preserve">Within the purview of geomancy, the conjecture that the term </w:t>
      </w:r>
      <w:r w:rsidRPr="009E14B0">
        <w:rPr>
          <w:i/>
          <w:iCs/>
        </w:rPr>
        <w:t>intentio</w:t>
      </w:r>
      <w:r w:rsidRPr="009E14B0">
        <w:t xml:space="preserve"> functioned as a lexical equivalent for the Avicennian </w:t>
      </w:r>
      <w:r w:rsidRPr="009E14B0">
        <w:rPr>
          <w:i/>
          <w:iCs/>
        </w:rPr>
        <w:t>maʿnā</w:t>
      </w:r>
      <w:r w:rsidRPr="009E14B0">
        <w:t xml:space="preserve"> seems tenuous. Instead, a more </w:t>
      </w:r>
      <w:r>
        <w:t>befitting</w:t>
      </w:r>
      <w:r w:rsidRPr="009E14B0">
        <w:t xml:space="preserve"> terminological correspondence emerges, one occasionally aligned with the medieval semantic confines of </w:t>
      </w:r>
      <w:r>
        <w:lastRenderedPageBreak/>
        <w:t>‘</w:t>
      </w:r>
      <w:r w:rsidRPr="009E14B0">
        <w:t>intention.</w:t>
      </w:r>
      <w:r>
        <w:t xml:space="preserve">’ </w:t>
      </w:r>
      <w:r w:rsidRPr="009E14B0">
        <w:t xml:space="preserve">Within the Arabic-Latin Glossary, the entry </w:t>
      </w:r>
      <w:r>
        <w:t xml:space="preserve">for the Latin </w:t>
      </w:r>
      <w:r w:rsidRPr="00937862">
        <w:rPr>
          <w:i/>
          <w:iCs/>
        </w:rPr>
        <w:t>intentio</w:t>
      </w:r>
      <w:r w:rsidRPr="009E14B0">
        <w:t xml:space="preserve"> </w:t>
      </w:r>
      <w:r>
        <w:t>coincide</w:t>
      </w:r>
      <w:r w:rsidRPr="009E14B0">
        <w:t xml:space="preserve"> with</w:t>
      </w:r>
      <w:r>
        <w:t xml:space="preserve"> several Arabic terms, among which</w:t>
      </w:r>
      <w:r w:rsidRPr="009E14B0">
        <w:t xml:space="preserve"> </w:t>
      </w:r>
      <w:r w:rsidRPr="009E14B0">
        <w:rPr>
          <w:i/>
          <w:iCs/>
        </w:rPr>
        <w:t>ḍamīr</w:t>
      </w:r>
      <w:r w:rsidRPr="009E14B0">
        <w:t xml:space="preserve">, signifying </w:t>
      </w:r>
      <w:r>
        <w:t>‘</w:t>
      </w:r>
      <w:r w:rsidRPr="009E14B0">
        <w:t>mind,</w:t>
      </w:r>
      <w:r>
        <w:t>’</w:t>
      </w:r>
      <w:r w:rsidRPr="009E14B0">
        <w:t xml:space="preserve"> </w:t>
      </w:r>
      <w:r>
        <w:t>‘</w:t>
      </w:r>
      <w:r w:rsidRPr="009E14B0">
        <w:t>secret thought,</w:t>
      </w:r>
      <w:r>
        <w:t>’</w:t>
      </w:r>
      <w:r w:rsidRPr="009E14B0">
        <w:t xml:space="preserve"> and </w:t>
      </w:r>
      <w:r>
        <w:t>‘</w:t>
      </w:r>
      <w:r w:rsidRPr="009E14B0">
        <w:t>innermost,</w:t>
      </w:r>
      <w:r>
        <w:t>’</w:t>
      </w:r>
      <w:r w:rsidRPr="009E14B0">
        <w:t xml:space="preserve"> thus bearing</w:t>
      </w:r>
      <w:r>
        <w:t xml:space="preserve"> </w:t>
      </w:r>
      <w:r w:rsidRPr="0065530D">
        <w:rPr>
          <w:shd w:val="clear" w:color="auto" w:fill="FFFFFF"/>
        </w:rPr>
        <w:t>a strong inward orientation</w:t>
      </w:r>
      <w:bookmarkEnd w:id="90"/>
      <w:r>
        <w:rPr>
          <w:shd w:val="clear" w:color="auto" w:fill="FFFFFF"/>
        </w:rPr>
        <w:t>.</w:t>
      </w:r>
      <w:r>
        <w:rPr>
          <w:rStyle w:val="FootnoteReference"/>
          <w:shd w:val="clear" w:color="auto" w:fill="FFFFFF"/>
        </w:rPr>
        <w:footnoteReference w:id="277"/>
      </w:r>
    </w:p>
    <w:p w14:paraId="091CCEB7" w14:textId="05928CFF" w:rsidR="00244FB6" w:rsidRPr="00B60B20" w:rsidRDefault="00244FB6" w:rsidP="00244FB6">
      <w:r>
        <w:t xml:space="preserve">The case of the text attributed to Ibn </w:t>
      </w:r>
      <w:r w:rsidR="003E064F">
        <w:t>Maḥfuf</w:t>
      </w:r>
      <w:r>
        <w:t xml:space="preserve"> is not singular in its deployment of the term </w:t>
      </w:r>
      <w:r w:rsidRPr="00B80EF6">
        <w:rPr>
          <w:i/>
          <w:iCs/>
        </w:rPr>
        <w:t>ḍamīr</w:t>
      </w:r>
      <w:r>
        <w:rPr>
          <w:i/>
          <w:iCs/>
        </w:rPr>
        <w:t xml:space="preserve"> </w:t>
      </w:r>
      <w:r>
        <w:t xml:space="preserve">within geomantic literature. This recurring motif finds acknowledgement in the scholarship of </w:t>
      </w:r>
      <w:r w:rsidRPr="006D6BAC">
        <w:t>Ann</w:t>
      </w:r>
      <w:r>
        <w:t>e</w:t>
      </w:r>
      <w:r w:rsidRPr="006D6BAC">
        <w:t xml:space="preserve"> Regourd</w:t>
      </w:r>
      <w:r>
        <w:t xml:space="preserve"> who, in her</w:t>
      </w:r>
      <w:r w:rsidRPr="00E26853">
        <w:t xml:space="preserve"> investigations of Arabic geomantic </w:t>
      </w:r>
      <w:r w:rsidR="002647C3">
        <w:t>texts</w:t>
      </w:r>
      <w:r w:rsidRPr="00E26853">
        <w:t xml:space="preserve">, </w:t>
      </w:r>
      <w:r w:rsidR="002647C3">
        <w:t>has encountered</w:t>
      </w:r>
      <w:r w:rsidRPr="00E26853">
        <w:t xml:space="preserve"> a recurring </w:t>
      </w:r>
      <w:r w:rsidR="002647C3">
        <w:t>theme</w:t>
      </w:r>
      <w:r w:rsidRPr="00E26853">
        <w:t xml:space="preserve"> embodied by chapters </w:t>
      </w:r>
      <w:r w:rsidR="002647C3">
        <w:t>entitled</w:t>
      </w:r>
      <w:r w:rsidRPr="00E26853">
        <w:t xml:space="preserve"> </w:t>
      </w:r>
      <w:r w:rsidRPr="00C2132F">
        <w:rPr>
          <w:i/>
          <w:iCs/>
        </w:rPr>
        <w:t>ikhrāj al-ḍamīr</w:t>
      </w:r>
      <w:r>
        <w:t xml:space="preserve"> – signifying ‘</w:t>
      </w:r>
      <w:r w:rsidRPr="006D6BAC">
        <w:t xml:space="preserve">the extraction of the </w:t>
      </w:r>
      <w:r w:rsidRPr="00C2132F">
        <w:rPr>
          <w:i/>
          <w:iCs/>
        </w:rPr>
        <w:t>ḍamīr</w:t>
      </w:r>
      <w:r>
        <w:rPr>
          <w:i/>
          <w:iCs/>
        </w:rPr>
        <w:t>.</w:t>
      </w:r>
      <w:r>
        <w:t xml:space="preserve">’ In </w:t>
      </w:r>
      <w:r w:rsidR="008628D2">
        <w:t>the</w:t>
      </w:r>
      <w:r>
        <w:t xml:space="preserve"> sources</w:t>
      </w:r>
      <w:r w:rsidR="008628D2">
        <w:t xml:space="preserve"> analysed by Regourd</w:t>
      </w:r>
      <w:r>
        <w:t xml:space="preserve">, the client approaches the geomancer with a question that is occupying all </w:t>
      </w:r>
      <w:r w:rsidR="00C47F12">
        <w:t>their</w:t>
      </w:r>
      <w:r>
        <w:t xml:space="preserve"> attention, </w:t>
      </w:r>
      <w:r w:rsidR="00075BFC">
        <w:t>but</w:t>
      </w:r>
      <w:r w:rsidRPr="0061314F">
        <w:t xml:space="preserve"> refrains from vocali</w:t>
      </w:r>
      <w:r>
        <w:t>s</w:t>
      </w:r>
      <w:r w:rsidRPr="0061314F">
        <w:t>ing it</w:t>
      </w:r>
      <w:r>
        <w:t>.</w:t>
      </w:r>
      <w:r w:rsidRPr="00F02E33">
        <w:t xml:space="preserve"> Even if the inquirer were to unveil their query, its import would bear scant consequence, for the geomancer, through </w:t>
      </w:r>
      <w:r>
        <w:t>the</w:t>
      </w:r>
      <w:r w:rsidRPr="00F02E33">
        <w:t xml:space="preserve"> interpretation of the geomantic chart, delves to uncover the authentic and profound inquiry, encapsulated by the </w:t>
      </w:r>
      <w:r w:rsidRPr="00F02E33">
        <w:rPr>
          <w:i/>
          <w:iCs/>
        </w:rPr>
        <w:t>ḍamīr</w:t>
      </w:r>
      <w:r>
        <w:t xml:space="preserve">. Regourd translated </w:t>
      </w:r>
      <w:r w:rsidRPr="00C2132F">
        <w:rPr>
          <w:i/>
          <w:iCs/>
        </w:rPr>
        <w:t>ḍamīr</w:t>
      </w:r>
      <w:r w:rsidRPr="006D6BAC">
        <w:t xml:space="preserve"> as ‘subconscious</w:t>
      </w:r>
      <w:r>
        <w:t>.</w:t>
      </w:r>
      <w:r w:rsidRPr="006D6BAC">
        <w:t>’</w:t>
      </w:r>
      <w:r>
        <w:rPr>
          <w:rStyle w:val="FootnoteReference"/>
        </w:rPr>
        <w:footnoteReference w:id="278"/>
      </w:r>
      <w:r>
        <w:t xml:space="preserve"> It is easy to see the correspondence between the process of ‘extraction of the </w:t>
      </w:r>
      <w:r w:rsidRPr="00C2132F">
        <w:rPr>
          <w:i/>
          <w:iCs/>
        </w:rPr>
        <w:t>ḍamīr</w:t>
      </w:r>
      <w:r w:rsidRPr="00F02E33">
        <w:t xml:space="preserve">’ </w:t>
      </w:r>
      <w:r>
        <w:t xml:space="preserve">described by the sources analysed by Regourd with that </w:t>
      </w:r>
      <w:r w:rsidR="00470DAC">
        <w:t>described in</w:t>
      </w:r>
      <w:r>
        <w:t xml:space="preserve"> the Latin geomantic texts </w:t>
      </w:r>
      <w:r w:rsidR="00470DAC">
        <w:t>previously analysed</w:t>
      </w:r>
      <w:r>
        <w:t xml:space="preserve">. The </w:t>
      </w:r>
      <w:r w:rsidRPr="00C2132F">
        <w:rPr>
          <w:i/>
          <w:iCs/>
        </w:rPr>
        <w:t>ḍamīr</w:t>
      </w:r>
      <w:r>
        <w:rPr>
          <w:i/>
          <w:iCs/>
        </w:rPr>
        <w:t xml:space="preserve">, </w:t>
      </w:r>
      <w:r>
        <w:t xml:space="preserve">akin to the </w:t>
      </w:r>
      <w:r w:rsidRPr="009A6552">
        <w:rPr>
          <w:i/>
          <w:iCs/>
        </w:rPr>
        <w:t>intentio</w:t>
      </w:r>
      <w:r>
        <w:t>, represents the secret content of human interiority that can be revealed through the art of geomancy.</w:t>
      </w:r>
      <w:r w:rsidRPr="009A6552">
        <w:rPr>
          <w:i/>
          <w:iCs/>
        </w:rPr>
        <w:t xml:space="preserve"> </w:t>
      </w:r>
      <w:r>
        <w:t xml:space="preserve">The rest of this section will be dedicated to clarifying the meaning of the term </w:t>
      </w:r>
      <w:r w:rsidRPr="00C2132F">
        <w:rPr>
          <w:i/>
          <w:iCs/>
        </w:rPr>
        <w:t>ḍamīr</w:t>
      </w:r>
      <w:r>
        <w:rPr>
          <w:i/>
          <w:iCs/>
        </w:rPr>
        <w:t>,</w:t>
      </w:r>
      <w:r>
        <w:t xml:space="preserve"> in order to better understand and delineate the object of geomantic interrogations. </w:t>
      </w:r>
      <w:r w:rsidRPr="005C113B">
        <w:t>Notably, Oddbjørn Leirvik</w:t>
      </w:r>
      <w:r>
        <w:t>’</w:t>
      </w:r>
      <w:r w:rsidRPr="005C113B">
        <w:t>s scholarly contribution</w:t>
      </w:r>
      <w:r w:rsidRPr="0065530D">
        <w:rPr>
          <w:shd w:val="clear" w:color="auto" w:fill="FFFFFF"/>
        </w:rPr>
        <w:t xml:space="preserve"> </w:t>
      </w:r>
      <w:bookmarkStart w:id="91" w:name="_Hlk81389008"/>
      <w:r>
        <w:rPr>
          <w:shd w:val="clear" w:color="auto" w:fill="FFFFFF"/>
        </w:rPr>
        <w:t>‘</w:t>
      </w:r>
      <w:r w:rsidRPr="00D44421">
        <w:rPr>
          <w:shd w:val="clear" w:color="auto" w:fill="FFFFFF"/>
        </w:rPr>
        <w:t>Conscience</w:t>
      </w:r>
      <w:r w:rsidRPr="0065530D">
        <w:rPr>
          <w:shd w:val="clear" w:color="auto" w:fill="FFFFFF"/>
        </w:rPr>
        <w:t xml:space="preserve"> in Arabic and the Semantic History of ‘Ḍamīr</w:t>
      </w:r>
      <w:bookmarkEnd w:id="91"/>
      <w:r>
        <w:rPr>
          <w:shd w:val="clear" w:color="auto" w:fill="FFFFFF"/>
        </w:rPr>
        <w:t>’’</w:t>
      </w:r>
      <w:r w:rsidRPr="0065530D">
        <w:rPr>
          <w:shd w:val="clear" w:color="auto" w:fill="FFFFFF"/>
        </w:rPr>
        <w:t xml:space="preserve"> </w:t>
      </w:r>
      <w:r w:rsidRPr="005C113B">
        <w:rPr>
          <w:shd w:val="clear" w:color="auto" w:fill="FFFFFF"/>
        </w:rPr>
        <w:t xml:space="preserve">undertakes a retrospective </w:t>
      </w:r>
      <w:r>
        <w:rPr>
          <w:shd w:val="clear" w:color="auto" w:fill="FFFFFF"/>
        </w:rPr>
        <w:t>analysis of the</w:t>
      </w:r>
      <w:r w:rsidRPr="0065530D">
        <w:rPr>
          <w:shd w:val="clear" w:color="auto" w:fill="FFFFFF"/>
        </w:rPr>
        <w:t xml:space="preserve"> usages of th</w:t>
      </w:r>
      <w:r>
        <w:rPr>
          <w:shd w:val="clear" w:color="auto" w:fill="FFFFFF"/>
        </w:rPr>
        <w:t>is</w:t>
      </w:r>
      <w:r w:rsidRPr="0065530D">
        <w:rPr>
          <w:shd w:val="clear" w:color="auto" w:fill="FFFFFF"/>
        </w:rPr>
        <w:t xml:space="preserve"> </w:t>
      </w:r>
      <w:r>
        <w:rPr>
          <w:shd w:val="clear" w:color="auto" w:fill="FFFFFF"/>
        </w:rPr>
        <w:t xml:space="preserve">concept, encompassing the </w:t>
      </w:r>
      <w:r w:rsidRPr="005C113B">
        <w:rPr>
          <w:shd w:val="clear" w:color="auto" w:fill="FFFFFF"/>
        </w:rPr>
        <w:t>term</w:t>
      </w:r>
      <w:r>
        <w:rPr>
          <w:shd w:val="clear" w:color="auto" w:fill="FFFFFF"/>
        </w:rPr>
        <w:t>’</w:t>
      </w:r>
      <w:r w:rsidRPr="005C113B">
        <w:rPr>
          <w:shd w:val="clear" w:color="auto" w:fill="FFFFFF"/>
        </w:rPr>
        <w:t xml:space="preserve">s </w:t>
      </w:r>
      <w:r w:rsidRPr="005C113B">
        <w:rPr>
          <w:shd w:val="clear" w:color="auto" w:fill="FFFFFF"/>
        </w:rPr>
        <w:lastRenderedPageBreak/>
        <w:t xml:space="preserve">etymology within classical Arabic and its evolution, traversing epochs from </w:t>
      </w:r>
      <w:r w:rsidRPr="0065530D">
        <w:rPr>
          <w:shd w:val="clear" w:color="auto" w:fill="FFFFFF"/>
        </w:rPr>
        <w:t>the medieval period to the early modern age.</w:t>
      </w:r>
      <w:r w:rsidRPr="0065530D">
        <w:rPr>
          <w:rStyle w:val="FootnoteReference"/>
          <w:shd w:val="clear" w:color="auto" w:fill="FFFFFF"/>
        </w:rPr>
        <w:footnoteReference w:id="279"/>
      </w:r>
      <w:r w:rsidRPr="004643A5">
        <w:rPr>
          <w:shd w:val="clear" w:color="auto" w:fill="FFFFFF"/>
        </w:rPr>
        <w:t xml:space="preserve"> </w:t>
      </w:r>
    </w:p>
    <w:p w14:paraId="3132F1B0" w14:textId="1D74B94A" w:rsidR="00244FB6" w:rsidRPr="00961F33" w:rsidRDefault="00244FB6" w:rsidP="00244FB6">
      <w:pPr>
        <w:ind w:firstLine="708"/>
        <w:rPr>
          <w:shd w:val="clear" w:color="auto" w:fill="FFFFFF"/>
        </w:rPr>
      </w:pPr>
      <w:r>
        <w:rPr>
          <w:shd w:val="clear" w:color="auto" w:fill="FFFFFF"/>
        </w:rPr>
        <w:t>The</w:t>
      </w:r>
      <w:r w:rsidRPr="0065530D">
        <w:rPr>
          <w:shd w:val="clear" w:color="auto" w:fill="FFFFFF"/>
        </w:rPr>
        <w:t xml:space="preserve"> first </w:t>
      </w:r>
      <w:r>
        <w:rPr>
          <w:shd w:val="clear" w:color="auto" w:fill="FFFFFF"/>
        </w:rPr>
        <w:t xml:space="preserve">instance analysed by Leirvik concerning the development of the term </w:t>
      </w:r>
      <w:r w:rsidRPr="00C2132F">
        <w:rPr>
          <w:i/>
          <w:iCs/>
        </w:rPr>
        <w:t>ḍamīr</w:t>
      </w:r>
      <w:r w:rsidRPr="0065530D">
        <w:rPr>
          <w:shd w:val="clear" w:color="auto" w:fill="FFFFFF"/>
        </w:rPr>
        <w:t xml:space="preserve"> is that </w:t>
      </w:r>
      <w:r>
        <w:rPr>
          <w:shd w:val="clear" w:color="auto" w:fill="FFFFFF"/>
        </w:rPr>
        <w:t>found in</w:t>
      </w:r>
      <w:r w:rsidRPr="0065530D">
        <w:rPr>
          <w:shd w:val="clear" w:color="auto" w:fill="FFFFFF"/>
        </w:rPr>
        <w:t xml:space="preserve"> a commentary of the Qur’ān by the Shī‘ite Imām J</w:t>
      </w:r>
      <w:r>
        <w:t>ā</w:t>
      </w:r>
      <w:r w:rsidRPr="00C005FE">
        <w:rPr>
          <w:shd w:val="clear" w:color="auto" w:fill="FFFFFF"/>
        </w:rPr>
        <w:t>ʿ</w:t>
      </w:r>
      <w:r w:rsidRPr="0065530D">
        <w:rPr>
          <w:shd w:val="clear" w:color="auto" w:fill="FFFFFF"/>
        </w:rPr>
        <w:t>far al-Ṣādiq</w:t>
      </w:r>
      <w:r>
        <w:rPr>
          <w:shd w:val="clear" w:color="auto" w:fill="FFFFFF"/>
        </w:rPr>
        <w:t xml:space="preserve"> (AD 702-765). </w:t>
      </w:r>
      <w:r w:rsidRPr="0065530D">
        <w:rPr>
          <w:shd w:val="clear" w:color="auto" w:fill="FFFFFF"/>
        </w:rPr>
        <w:t xml:space="preserve"> </w:t>
      </w:r>
      <w:r w:rsidRPr="00B667EA">
        <w:rPr>
          <w:shd w:val="clear" w:color="auto" w:fill="FFFFFF"/>
        </w:rPr>
        <w:t>Within this exposition, a passage</w:t>
      </w:r>
      <w:r>
        <w:rPr>
          <w:shd w:val="clear" w:color="auto" w:fill="FFFFFF"/>
        </w:rPr>
        <w:t xml:space="preserve"> states:</w:t>
      </w:r>
      <w:r w:rsidRPr="0065530D">
        <w:rPr>
          <w:shd w:val="clear" w:color="auto" w:fill="FFFFFF"/>
        </w:rPr>
        <w:t xml:space="preserve"> </w:t>
      </w:r>
      <w:r>
        <w:rPr>
          <w:shd w:val="clear" w:color="auto" w:fill="FFFFFF"/>
        </w:rPr>
        <w:t>“</w:t>
      </w:r>
      <w:r w:rsidRPr="0065530D">
        <w:rPr>
          <w:shd w:val="clear" w:color="auto" w:fill="FFFFFF"/>
        </w:rPr>
        <w:t>The</w:t>
      </w:r>
      <w:r>
        <w:rPr>
          <w:shd w:val="clear" w:color="auto" w:fill="FFFFFF"/>
        </w:rPr>
        <w:t xml:space="preserve"> chest</w:t>
      </w:r>
      <w:r w:rsidRPr="0065530D">
        <w:rPr>
          <w:shd w:val="clear" w:color="auto" w:fill="FFFFFF"/>
        </w:rPr>
        <w:t xml:space="preserve"> </w:t>
      </w:r>
      <w:r>
        <w:rPr>
          <w:shd w:val="clear" w:color="auto" w:fill="FFFFFF"/>
        </w:rPr>
        <w:t>(</w:t>
      </w:r>
      <w:r w:rsidRPr="0065530D">
        <w:rPr>
          <w:i/>
          <w:iCs/>
          <w:shd w:val="clear" w:color="auto" w:fill="FFFFFF"/>
        </w:rPr>
        <w:t>ṣadr</w:t>
      </w:r>
      <w:r>
        <w:rPr>
          <w:i/>
          <w:iCs/>
          <w:shd w:val="clear" w:color="auto" w:fill="FFFFFF"/>
        </w:rPr>
        <w:t>)</w:t>
      </w:r>
      <w:r w:rsidRPr="0065530D">
        <w:rPr>
          <w:shd w:val="clear" w:color="auto" w:fill="FFFFFF"/>
        </w:rPr>
        <w:t xml:space="preserve"> is the source (</w:t>
      </w:r>
      <w:r w:rsidRPr="0065530D">
        <w:rPr>
          <w:i/>
          <w:iCs/>
          <w:shd w:val="clear" w:color="auto" w:fill="FFFFFF"/>
        </w:rPr>
        <w:t>maʿdin</w:t>
      </w:r>
      <w:r w:rsidRPr="0065530D">
        <w:rPr>
          <w:shd w:val="clear" w:color="auto" w:fill="FFFFFF"/>
        </w:rPr>
        <w:t xml:space="preserve">) of submission, the </w:t>
      </w:r>
      <w:r w:rsidRPr="0065530D">
        <w:rPr>
          <w:i/>
          <w:iCs/>
          <w:shd w:val="clear" w:color="auto" w:fill="FFFFFF"/>
        </w:rPr>
        <w:t>qalb</w:t>
      </w:r>
      <w:r w:rsidRPr="0065530D">
        <w:rPr>
          <w:shd w:val="clear" w:color="auto" w:fill="FFFFFF"/>
        </w:rPr>
        <w:t xml:space="preserve"> </w:t>
      </w:r>
      <w:r>
        <w:rPr>
          <w:shd w:val="clear" w:color="auto" w:fill="FFFFFF"/>
        </w:rPr>
        <w:t xml:space="preserve">(heart) </w:t>
      </w:r>
      <w:r w:rsidRPr="0065530D">
        <w:rPr>
          <w:shd w:val="clear" w:color="auto" w:fill="FFFFFF"/>
        </w:rPr>
        <w:t xml:space="preserve">is the source of certitude, the </w:t>
      </w:r>
      <w:r w:rsidRPr="0065530D">
        <w:rPr>
          <w:i/>
          <w:iCs/>
          <w:shd w:val="clear" w:color="auto" w:fill="FFFFFF"/>
        </w:rPr>
        <w:t>fuʾād</w:t>
      </w:r>
      <w:r w:rsidRPr="0065530D">
        <w:rPr>
          <w:shd w:val="clear" w:color="auto" w:fill="FFFFFF"/>
        </w:rPr>
        <w:t xml:space="preserve"> </w:t>
      </w:r>
      <w:r>
        <w:rPr>
          <w:shd w:val="clear" w:color="auto" w:fill="FFFFFF"/>
        </w:rPr>
        <w:t xml:space="preserve">(again meaning heart) </w:t>
      </w:r>
      <w:r w:rsidRPr="0065530D">
        <w:rPr>
          <w:shd w:val="clear" w:color="auto" w:fill="FFFFFF"/>
        </w:rPr>
        <w:t xml:space="preserve">is the source of contemplation, </w:t>
      </w:r>
      <w:r w:rsidRPr="00E50FEF">
        <w:rPr>
          <w:i/>
          <w:iCs/>
          <w:shd w:val="clear" w:color="auto" w:fill="FFFFFF"/>
        </w:rPr>
        <w:t>al-ḍamīr</w:t>
      </w:r>
      <w:r w:rsidRPr="00E50FEF">
        <w:rPr>
          <w:shd w:val="clear" w:color="auto" w:fill="FFFFFF"/>
        </w:rPr>
        <w:t xml:space="preserve"> is the source of the secret (</w:t>
      </w:r>
      <w:r w:rsidRPr="00E50FEF">
        <w:rPr>
          <w:i/>
          <w:iCs/>
          <w:shd w:val="clear" w:color="auto" w:fill="FFFFFF"/>
        </w:rPr>
        <w:t>al-sirr</w:t>
      </w:r>
      <w:r w:rsidRPr="00E50FEF">
        <w:rPr>
          <w:shd w:val="clear" w:color="auto" w:fill="FFFFFF"/>
        </w:rPr>
        <w:t>, i.e. things known only to God),</w:t>
      </w:r>
      <w:r w:rsidRPr="0065530D">
        <w:rPr>
          <w:shd w:val="clear" w:color="auto" w:fill="FFFFFF"/>
        </w:rPr>
        <w:t xml:space="preserve"> and the soul (</w:t>
      </w:r>
      <w:r w:rsidRPr="0065530D">
        <w:rPr>
          <w:i/>
          <w:iCs/>
          <w:shd w:val="clear" w:color="auto" w:fill="FFFFFF"/>
        </w:rPr>
        <w:t>nafs</w:t>
      </w:r>
      <w:r w:rsidRPr="0065530D">
        <w:rPr>
          <w:shd w:val="clear" w:color="auto" w:fill="FFFFFF"/>
        </w:rPr>
        <w:t>) is the refuge of all good and all evil</w:t>
      </w:r>
      <w:r>
        <w:rPr>
          <w:shd w:val="clear" w:color="auto" w:fill="FFFFFF"/>
        </w:rPr>
        <w:t>.”</w:t>
      </w:r>
      <w:r w:rsidRPr="0065530D">
        <w:rPr>
          <w:rStyle w:val="FootnoteReference"/>
          <w:shd w:val="clear" w:color="auto" w:fill="FFFFFF"/>
        </w:rPr>
        <w:footnoteReference w:id="280"/>
      </w:r>
      <w:r w:rsidRPr="007B3C85">
        <w:rPr>
          <w:shd w:val="clear" w:color="auto" w:fill="FFFFFF"/>
        </w:rPr>
        <w:t xml:space="preserve"> </w:t>
      </w:r>
      <w:r>
        <w:rPr>
          <w:shd w:val="clear" w:color="auto" w:fill="FFFFFF"/>
        </w:rPr>
        <w:t xml:space="preserve">Herein, </w:t>
      </w:r>
      <w:r w:rsidRPr="0065530D">
        <w:rPr>
          <w:i/>
          <w:iCs/>
          <w:shd w:val="clear" w:color="auto" w:fill="FFFFFF"/>
        </w:rPr>
        <w:t>ḍamīr</w:t>
      </w:r>
      <w:r>
        <w:rPr>
          <w:i/>
          <w:iCs/>
          <w:shd w:val="clear" w:color="auto" w:fill="FFFFFF"/>
        </w:rPr>
        <w:t xml:space="preserve"> </w:t>
      </w:r>
      <w:r>
        <w:rPr>
          <w:shd w:val="clear" w:color="auto" w:fill="FFFFFF"/>
        </w:rPr>
        <w:t>is used to denote an integral part of human interiority, the inner self, encapsulating the recesses of profound secrets. Noteworthy is the assertion that these secrets remain known only to God, intimating the idea of an unconscious dimension that elude human apprehension.</w:t>
      </w:r>
      <w:r w:rsidR="00FB4CF8">
        <w:rPr>
          <w:shd w:val="clear" w:color="auto" w:fill="FFFFFF"/>
        </w:rPr>
        <w:t xml:space="preserve"> This resonates with the Islamic concept of predictions as ‘</w:t>
      </w:r>
      <w:r w:rsidR="00FB4CF8" w:rsidRPr="00FB4CF8">
        <w:rPr>
          <w:i/>
          <w:iCs/>
          <w:shd w:val="clear" w:color="auto" w:fill="FFFFFF"/>
        </w:rPr>
        <w:t>ilm al-ghayb</w:t>
      </w:r>
      <w:r w:rsidR="00FB4CF8">
        <w:rPr>
          <w:shd w:val="clear" w:color="auto" w:fill="FFFFFF"/>
        </w:rPr>
        <w:t>, meaning ‘knowledge of that which is veiled,’ traditionally pertaining solely to God’s knowledge.</w:t>
      </w:r>
      <w:r w:rsidR="00FB4CF8">
        <w:rPr>
          <w:rStyle w:val="FootnoteReference"/>
          <w:shd w:val="clear" w:color="auto" w:fill="FFFFFF"/>
        </w:rPr>
        <w:footnoteReference w:id="281"/>
      </w:r>
      <w:r w:rsidR="00FB4CF8">
        <w:rPr>
          <w:shd w:val="clear" w:color="auto" w:fill="FFFFFF"/>
        </w:rPr>
        <w:t xml:space="preserve"> </w:t>
      </w:r>
      <w:r>
        <w:rPr>
          <w:shd w:val="clear" w:color="auto" w:fill="FFFFFF"/>
        </w:rPr>
        <w:t>However, in the</w:t>
      </w:r>
      <w:r w:rsidRPr="0065530D">
        <w:rPr>
          <w:shd w:val="clear" w:color="auto" w:fill="FFFFFF"/>
        </w:rPr>
        <w:t xml:space="preserve"> Ṣūfī </w:t>
      </w:r>
      <w:r>
        <w:rPr>
          <w:shd w:val="clear" w:color="auto" w:fill="FFFFFF"/>
        </w:rPr>
        <w:t>framework,</w:t>
      </w:r>
      <w:r w:rsidRPr="0065530D">
        <w:rPr>
          <w:shd w:val="clear" w:color="auto" w:fill="FFFFFF"/>
        </w:rPr>
        <w:t xml:space="preserve"> </w:t>
      </w:r>
      <w:r>
        <w:rPr>
          <w:shd w:val="clear" w:color="auto" w:fill="FFFFFF"/>
        </w:rPr>
        <w:t xml:space="preserve">a nuanced dichotomy emerges between </w:t>
      </w:r>
      <w:r w:rsidRPr="0065530D">
        <w:rPr>
          <w:i/>
          <w:iCs/>
          <w:shd w:val="clear" w:color="auto" w:fill="FFFFFF"/>
        </w:rPr>
        <w:t>ḍamīr</w:t>
      </w:r>
      <w:r>
        <w:rPr>
          <w:i/>
          <w:iCs/>
          <w:shd w:val="clear" w:color="auto" w:fill="FFFFFF"/>
        </w:rPr>
        <w:t xml:space="preserve"> </w:t>
      </w:r>
      <w:r>
        <w:rPr>
          <w:shd w:val="clear" w:color="auto" w:fill="FFFFFF"/>
        </w:rPr>
        <w:t xml:space="preserve">and </w:t>
      </w:r>
      <w:r w:rsidRPr="00F401DE">
        <w:rPr>
          <w:i/>
          <w:iCs/>
          <w:shd w:val="clear" w:color="auto" w:fill="FFFFFF"/>
        </w:rPr>
        <w:t>sirr</w:t>
      </w:r>
      <w:r>
        <w:rPr>
          <w:shd w:val="clear" w:color="auto" w:fill="FFFFFF"/>
        </w:rPr>
        <w:t>. The first delineates the dimension of</w:t>
      </w:r>
      <w:r w:rsidRPr="0028467C">
        <w:rPr>
          <w:shd w:val="clear" w:color="auto" w:fill="FFFFFF"/>
        </w:rPr>
        <w:t xml:space="preserve"> inner conscious</w:t>
      </w:r>
      <w:r>
        <w:rPr>
          <w:shd w:val="clear" w:color="auto" w:fill="FFFFFF"/>
        </w:rPr>
        <w:t>ness, while the latter conveys the idea of an</w:t>
      </w:r>
      <w:r w:rsidRPr="0028467C">
        <w:rPr>
          <w:shd w:val="clear" w:color="auto" w:fill="FFFFFF"/>
        </w:rPr>
        <w:t xml:space="preserve"> unconscious </w:t>
      </w:r>
      <w:r>
        <w:rPr>
          <w:shd w:val="clear" w:color="auto" w:fill="FFFFFF"/>
        </w:rPr>
        <w:t xml:space="preserve">element. </w:t>
      </w:r>
      <w:r w:rsidRPr="00FA6E9F">
        <w:rPr>
          <w:shd w:val="clear" w:color="auto" w:fill="FFFFFF"/>
        </w:rPr>
        <w:t xml:space="preserve">This categorical distinction, embodied within the late </w:t>
      </w:r>
      <w:r w:rsidR="006F3DC9" w:rsidRPr="0065530D">
        <w:rPr>
          <w:shd w:val="clear" w:color="auto" w:fill="FFFFFF"/>
        </w:rPr>
        <w:t>Ṣūfī</w:t>
      </w:r>
      <w:r w:rsidRPr="00FA6E9F">
        <w:rPr>
          <w:shd w:val="clear" w:color="auto" w:fill="FFFFFF"/>
        </w:rPr>
        <w:t xml:space="preserve"> paradigm as exemplified by Ibn ‘Arabī (1165-1240), diverges from Regourd</w:t>
      </w:r>
      <w:r>
        <w:rPr>
          <w:shd w:val="clear" w:color="auto" w:fill="FFFFFF"/>
        </w:rPr>
        <w:t>’</w:t>
      </w:r>
      <w:r w:rsidRPr="00FA6E9F">
        <w:rPr>
          <w:shd w:val="clear" w:color="auto" w:fill="FFFFFF"/>
        </w:rPr>
        <w:t>s interpretation of</w:t>
      </w:r>
      <w:r w:rsidRPr="00FA6E9F">
        <w:rPr>
          <w:i/>
          <w:iCs/>
          <w:shd w:val="clear" w:color="auto" w:fill="FFFFFF"/>
        </w:rPr>
        <w:t xml:space="preserve"> </w:t>
      </w:r>
      <w:r w:rsidRPr="0065530D">
        <w:rPr>
          <w:i/>
          <w:iCs/>
          <w:shd w:val="clear" w:color="auto" w:fill="FFFFFF"/>
        </w:rPr>
        <w:t>ḍamīr</w:t>
      </w:r>
      <w:r>
        <w:rPr>
          <w:i/>
          <w:iCs/>
          <w:shd w:val="clear" w:color="auto" w:fill="FFFFFF"/>
        </w:rPr>
        <w:t xml:space="preserve"> </w:t>
      </w:r>
      <w:r w:rsidRPr="00FA6E9F">
        <w:rPr>
          <w:shd w:val="clear" w:color="auto" w:fill="FFFFFF"/>
        </w:rPr>
        <w:t>as ‘subconscious</w:t>
      </w:r>
      <w:r w:rsidR="003D5791">
        <w:rPr>
          <w:shd w:val="clear" w:color="auto" w:fill="FFFFFF"/>
        </w:rPr>
        <w:t>.</w:t>
      </w:r>
      <w:r w:rsidRPr="00FA6E9F">
        <w:rPr>
          <w:shd w:val="clear" w:color="auto" w:fill="FFFFFF"/>
        </w:rPr>
        <w:t>’</w:t>
      </w:r>
      <w:r>
        <w:rPr>
          <w:rStyle w:val="FootnoteReference"/>
          <w:shd w:val="clear" w:color="auto" w:fill="FFFFFF"/>
        </w:rPr>
        <w:footnoteReference w:id="282"/>
      </w:r>
      <w:r>
        <w:rPr>
          <w:shd w:val="clear" w:color="auto" w:fill="FFFFFF"/>
        </w:rPr>
        <w:t xml:space="preserve"> </w:t>
      </w:r>
      <w:r w:rsidRPr="00FA6E9F">
        <w:rPr>
          <w:shd w:val="clear" w:color="auto" w:fill="FFFFFF"/>
        </w:rPr>
        <w:t>This contention also diverges from the prevailing narrative outlined within the analysed geomantic sources, wherein human intentions manifest as latent facets unperceived by the individual.</w:t>
      </w:r>
      <w:r w:rsidRPr="00FA6E9F">
        <w:t xml:space="preserve"> </w:t>
      </w:r>
      <w:r w:rsidRPr="00FA6E9F">
        <w:rPr>
          <w:shd w:val="clear" w:color="auto" w:fill="FFFFFF"/>
        </w:rPr>
        <w:t xml:space="preserve">Additionally, within the corpus of Islamic philosophy, </w:t>
      </w:r>
      <w:r>
        <w:rPr>
          <w:shd w:val="clear" w:color="auto" w:fill="FFFFFF"/>
        </w:rPr>
        <w:t>scholars</w:t>
      </w:r>
      <w:r w:rsidRPr="00FA6E9F">
        <w:rPr>
          <w:shd w:val="clear" w:color="auto" w:fill="FFFFFF"/>
        </w:rPr>
        <w:t xml:space="preserve"> such as al-Fārābī (870-950 AD) ascribed to </w:t>
      </w:r>
      <w:r w:rsidRPr="00FA6E9F">
        <w:rPr>
          <w:i/>
          <w:iCs/>
          <w:shd w:val="clear" w:color="auto" w:fill="FFFFFF"/>
        </w:rPr>
        <w:t>ḍamīr</w:t>
      </w:r>
      <w:r w:rsidRPr="00FA6E9F">
        <w:rPr>
          <w:shd w:val="clear" w:color="auto" w:fill="FFFFFF"/>
        </w:rPr>
        <w:t xml:space="preserve"> a dual semantic spectrum </w:t>
      </w:r>
      <w:r w:rsidRPr="00FA6E9F">
        <w:rPr>
          <w:shd w:val="clear" w:color="auto" w:fill="FFFFFF"/>
        </w:rPr>
        <w:lastRenderedPageBreak/>
        <w:t>encompassing inner cogitations and emotive interrelations.</w:t>
      </w:r>
      <w:r w:rsidRPr="0065530D">
        <w:rPr>
          <w:rStyle w:val="FootnoteReference"/>
        </w:rPr>
        <w:footnoteReference w:id="283"/>
      </w:r>
      <w:r w:rsidRPr="00FA6E9F">
        <w:rPr>
          <w:shd w:val="clear" w:color="auto" w:fill="FFFFFF"/>
        </w:rPr>
        <w:t xml:space="preserve"> A more speciali</w:t>
      </w:r>
      <w:r>
        <w:rPr>
          <w:shd w:val="clear" w:color="auto" w:fill="FFFFFF"/>
        </w:rPr>
        <w:t>s</w:t>
      </w:r>
      <w:r w:rsidRPr="00FA6E9F">
        <w:rPr>
          <w:shd w:val="clear" w:color="auto" w:fill="FFFFFF"/>
        </w:rPr>
        <w:t>ed utili</w:t>
      </w:r>
      <w:r>
        <w:rPr>
          <w:shd w:val="clear" w:color="auto" w:fill="FFFFFF"/>
        </w:rPr>
        <w:t>s</w:t>
      </w:r>
      <w:r w:rsidRPr="00FA6E9F">
        <w:rPr>
          <w:shd w:val="clear" w:color="auto" w:fill="FFFFFF"/>
        </w:rPr>
        <w:t xml:space="preserve">ation of the term is </w:t>
      </w:r>
      <w:r>
        <w:rPr>
          <w:shd w:val="clear" w:color="auto" w:fill="FFFFFF"/>
        </w:rPr>
        <w:t>advanced</w:t>
      </w:r>
      <w:r w:rsidRPr="00FA6E9F">
        <w:rPr>
          <w:shd w:val="clear" w:color="auto" w:fill="FFFFFF"/>
        </w:rPr>
        <w:t xml:space="preserve"> by Avicenna. Within his logical treatise, </w:t>
      </w:r>
      <w:r w:rsidRPr="00FA6E9F">
        <w:rPr>
          <w:i/>
          <w:iCs/>
          <w:shd w:val="clear" w:color="auto" w:fill="FFFFFF"/>
        </w:rPr>
        <w:t>ḍamīr</w:t>
      </w:r>
      <w:r w:rsidRPr="00FA6E9F">
        <w:rPr>
          <w:shd w:val="clear" w:color="auto" w:fill="FFFFFF"/>
        </w:rPr>
        <w:t xml:space="preserve"> is deployed to expound a specific category of deduction, notably postulated as </w:t>
      </w:r>
      <w:r>
        <w:rPr>
          <w:shd w:val="clear" w:color="auto" w:fill="FFFFFF"/>
        </w:rPr>
        <w:t>“</w:t>
      </w:r>
      <w:r w:rsidRPr="000542BD">
        <w:t>a syllogism, the major premise of which is hidden</w:t>
      </w:r>
      <w:r>
        <w:t>.”</w:t>
      </w:r>
      <w:r w:rsidRPr="0065530D">
        <w:rPr>
          <w:rStyle w:val="FootnoteReference"/>
        </w:rPr>
        <w:footnoteReference w:id="284"/>
      </w:r>
      <w:r>
        <w:t xml:space="preserve"> </w:t>
      </w:r>
      <w:r w:rsidR="004136DB">
        <w:t>Finally, i</w:t>
      </w:r>
      <w:r>
        <w:t xml:space="preserve">n the context of astrology, the term </w:t>
      </w:r>
      <w:r w:rsidRPr="00E007E4">
        <w:rPr>
          <w:i/>
          <w:iCs/>
          <w:shd w:val="clear" w:color="auto" w:fill="FFFFFF"/>
        </w:rPr>
        <w:t>ḍamīr</w:t>
      </w:r>
      <w:r>
        <w:rPr>
          <w:i/>
          <w:iCs/>
          <w:shd w:val="clear" w:color="auto" w:fill="FFFFFF"/>
        </w:rPr>
        <w:t xml:space="preserve"> </w:t>
      </w:r>
      <w:r>
        <w:rPr>
          <w:shd w:val="clear" w:color="auto" w:fill="FFFFFF"/>
        </w:rPr>
        <w:t xml:space="preserve">is found in two passages from the </w:t>
      </w:r>
      <w:r w:rsidRPr="00247377">
        <w:rPr>
          <w:i/>
          <w:iCs/>
          <w:shd w:val="clear" w:color="auto" w:fill="FFFFFF"/>
        </w:rPr>
        <w:t>Great Introduction to Astrology</w:t>
      </w:r>
      <w:r>
        <w:rPr>
          <w:shd w:val="clear" w:color="auto" w:fill="FFFFFF"/>
        </w:rPr>
        <w:t xml:space="preserve"> by Abū Ma‘shar (787-886 AD). Both mentions are found</w:t>
      </w:r>
      <w:r w:rsidRPr="00914848">
        <w:rPr>
          <w:shd w:val="clear" w:color="auto" w:fill="FFFFFF"/>
        </w:rPr>
        <w:t xml:space="preserve"> specifically within</w:t>
      </w:r>
      <w:r w:rsidR="00785926">
        <w:rPr>
          <w:shd w:val="clear" w:color="auto" w:fill="FFFFFF"/>
        </w:rPr>
        <w:t xml:space="preserve"> </w:t>
      </w:r>
      <w:r>
        <w:rPr>
          <w:shd w:val="clear" w:color="auto" w:fill="FFFFFF"/>
        </w:rPr>
        <w:t xml:space="preserve">the </w:t>
      </w:r>
      <w:r w:rsidRPr="00914848">
        <w:rPr>
          <w:shd w:val="clear" w:color="auto" w:fill="FFFFFF"/>
        </w:rPr>
        <w:t>chapter discussing the lots associated with the seven planets</w:t>
      </w:r>
      <w:r>
        <w:rPr>
          <w:shd w:val="clear" w:color="auto" w:fill="FFFFFF"/>
        </w:rPr>
        <w:t xml:space="preserve">. </w:t>
      </w:r>
      <w:r w:rsidR="00715EF5">
        <w:rPr>
          <w:shd w:val="clear" w:color="auto" w:fill="FFFFFF"/>
        </w:rPr>
        <w:t>L</w:t>
      </w:r>
      <w:r>
        <w:rPr>
          <w:shd w:val="clear" w:color="auto" w:fill="FFFFFF"/>
        </w:rPr>
        <w:t>ots in astrology signify specific points along the ecliptic, determined by calculating the number of degrees between planets or luminaries</w:t>
      </w:r>
      <w:r w:rsidRPr="00914848">
        <w:t xml:space="preserve"> </w:t>
      </w:r>
      <w:r w:rsidRPr="00914848">
        <w:rPr>
          <w:shd w:val="clear" w:color="auto" w:fill="FFFFFF"/>
        </w:rPr>
        <w:t>and counting from the ascendant in a particular direction</w:t>
      </w:r>
      <w:r>
        <w:rPr>
          <w:shd w:val="clear" w:color="auto" w:fill="FFFFFF"/>
        </w:rPr>
        <w:t>.</w:t>
      </w:r>
      <w:r>
        <w:rPr>
          <w:rStyle w:val="FootnoteReference"/>
          <w:shd w:val="clear" w:color="auto" w:fill="FFFFFF"/>
        </w:rPr>
        <w:footnoteReference w:id="285"/>
      </w:r>
      <w:r>
        <w:rPr>
          <w:shd w:val="clear" w:color="auto" w:fill="FFFFFF"/>
        </w:rPr>
        <w:t xml:space="preserve"> </w:t>
      </w:r>
      <w:r w:rsidRPr="00914848">
        <w:rPr>
          <w:shd w:val="clear" w:color="auto" w:fill="FFFFFF"/>
        </w:rPr>
        <w:t xml:space="preserve">The term </w:t>
      </w:r>
      <w:r w:rsidRPr="00914848">
        <w:rPr>
          <w:i/>
          <w:iCs/>
          <w:shd w:val="clear" w:color="auto" w:fill="FFFFFF"/>
        </w:rPr>
        <w:t>ḍamīr</w:t>
      </w:r>
      <w:r w:rsidRPr="00914848">
        <w:rPr>
          <w:shd w:val="clear" w:color="auto" w:fill="FFFFFF"/>
        </w:rPr>
        <w:t xml:space="preserve"> is used in a more general sense in</w:t>
      </w:r>
      <w:r>
        <w:rPr>
          <w:shd w:val="clear" w:color="auto" w:fill="FFFFFF"/>
        </w:rPr>
        <w:t xml:space="preserve"> these</w:t>
      </w:r>
      <w:r w:rsidRPr="00914848">
        <w:rPr>
          <w:shd w:val="clear" w:color="auto" w:fill="FFFFFF"/>
        </w:rPr>
        <w:t xml:space="preserve"> two different passage</w:t>
      </w:r>
      <w:r w:rsidR="00C5344D">
        <w:rPr>
          <w:shd w:val="clear" w:color="auto" w:fill="FFFFFF"/>
        </w:rPr>
        <w:t>s</w:t>
      </w:r>
      <w:r w:rsidR="00D60ADC">
        <w:rPr>
          <w:shd w:val="clear" w:color="auto" w:fill="FFFFFF"/>
        </w:rPr>
        <w:t xml:space="preserve"> to indicate occult things</w:t>
      </w:r>
      <w:r w:rsidR="00C5344D">
        <w:rPr>
          <w:shd w:val="clear" w:color="auto" w:fill="FFFFFF"/>
        </w:rPr>
        <w:t>:</w:t>
      </w:r>
    </w:p>
    <w:p w14:paraId="0A6EB10D" w14:textId="77777777" w:rsidR="00244FB6" w:rsidRDefault="00244FB6" w:rsidP="00244FB6">
      <w:pPr>
        <w:ind w:firstLine="708"/>
        <w:rPr>
          <w:shd w:val="clear" w:color="auto" w:fill="FFFFFF"/>
        </w:rPr>
      </w:pPr>
    </w:p>
    <w:p w14:paraId="538AF778" w14:textId="77777777" w:rsidR="00244FB6" w:rsidRDefault="00244FB6" w:rsidP="00244FB6">
      <w:pPr>
        <w:ind w:left="567" w:firstLine="0"/>
        <w:rPr>
          <w:sz w:val="20"/>
          <w:szCs w:val="20"/>
          <w:shd w:val="clear" w:color="auto" w:fill="FFFFFF"/>
        </w:rPr>
      </w:pPr>
      <w:r w:rsidRPr="0079453F">
        <w:rPr>
          <w:sz w:val="20"/>
          <w:szCs w:val="20"/>
          <w:shd w:val="clear" w:color="auto" w:fill="FFFFFF"/>
        </w:rPr>
        <w:t>This lot is called ‘the lot of fortune</w:t>
      </w:r>
      <w:r>
        <w:rPr>
          <w:sz w:val="20"/>
          <w:szCs w:val="20"/>
          <w:shd w:val="clear" w:color="auto" w:fill="FFFFFF"/>
        </w:rPr>
        <w:t>.</w:t>
      </w:r>
      <w:r w:rsidRPr="0079453F">
        <w:rPr>
          <w:sz w:val="20"/>
          <w:szCs w:val="20"/>
          <w:shd w:val="clear" w:color="auto" w:fill="FFFFFF"/>
        </w:rPr>
        <w:t>’ It indicates the same as the luminaries indicate. Its proper indication is for the soul, its good fortune, and its powers, and for life, bodies, wealth, benefits, good fortune, riches and poverty, gold and silver, […] good and evil, the present and the absent thing, and the visible and the hidden thing (</w:t>
      </w:r>
      <w:r w:rsidRPr="009B4863">
        <w:rPr>
          <w:i/>
          <w:iCs/>
          <w:sz w:val="20"/>
          <w:szCs w:val="20"/>
          <w:shd w:val="clear" w:color="auto" w:fill="FFFFFF"/>
        </w:rPr>
        <w:t>al-</w:t>
      </w:r>
      <w:r>
        <w:rPr>
          <w:i/>
          <w:iCs/>
          <w:sz w:val="20"/>
          <w:szCs w:val="20"/>
          <w:shd w:val="clear" w:color="auto" w:fill="FFFFFF"/>
        </w:rPr>
        <w:t>ḍ</w:t>
      </w:r>
      <w:r w:rsidRPr="009B4863">
        <w:rPr>
          <w:i/>
          <w:iCs/>
          <w:sz w:val="20"/>
          <w:szCs w:val="20"/>
          <w:shd w:val="clear" w:color="auto" w:fill="FFFFFF"/>
        </w:rPr>
        <w:t>am</w:t>
      </w:r>
      <w:r>
        <w:rPr>
          <w:i/>
          <w:iCs/>
          <w:sz w:val="20"/>
          <w:szCs w:val="20"/>
          <w:shd w:val="clear" w:color="auto" w:fill="FFFFFF"/>
        </w:rPr>
        <w:t>ī</w:t>
      </w:r>
      <w:r w:rsidRPr="009B4863">
        <w:rPr>
          <w:i/>
          <w:iCs/>
          <w:sz w:val="20"/>
          <w:szCs w:val="20"/>
          <w:shd w:val="clear" w:color="auto" w:fill="FFFFFF"/>
        </w:rPr>
        <w:t>r</w:t>
      </w:r>
      <w:r>
        <w:rPr>
          <w:sz w:val="20"/>
          <w:szCs w:val="20"/>
          <w:shd w:val="clear" w:color="auto" w:fill="FFFFFF"/>
        </w:rPr>
        <w:t xml:space="preserve">, </w:t>
      </w:r>
      <w:r w:rsidRPr="0079453F">
        <w:rPr>
          <w:sz w:val="20"/>
          <w:szCs w:val="20"/>
          <w:shd w:val="clear" w:color="auto" w:fill="FFFFFF"/>
          <w:rtl/>
        </w:rPr>
        <w:t>الضمير</w:t>
      </w:r>
      <w:r w:rsidRPr="0079453F">
        <w:rPr>
          <w:sz w:val="20"/>
          <w:szCs w:val="20"/>
          <w:shd w:val="clear" w:color="auto" w:fill="FFFFFF"/>
        </w:rPr>
        <w:t>);</w:t>
      </w:r>
      <w:r w:rsidRPr="0079453F">
        <w:rPr>
          <w:rStyle w:val="FootnoteReference"/>
          <w:sz w:val="20"/>
          <w:szCs w:val="20"/>
          <w:shd w:val="clear" w:color="auto" w:fill="FFFFFF"/>
        </w:rPr>
        <w:footnoteReference w:id="286"/>
      </w:r>
      <w:r w:rsidRPr="0079453F">
        <w:rPr>
          <w:sz w:val="20"/>
          <w:szCs w:val="20"/>
          <w:shd w:val="clear" w:color="auto" w:fill="FFFFFF"/>
        </w:rPr>
        <w:t xml:space="preserve"> </w:t>
      </w:r>
    </w:p>
    <w:p w14:paraId="154495D5" w14:textId="77777777" w:rsidR="00244FB6" w:rsidRDefault="00244FB6" w:rsidP="00244FB6">
      <w:pPr>
        <w:ind w:left="567" w:firstLine="0"/>
        <w:rPr>
          <w:sz w:val="20"/>
          <w:szCs w:val="20"/>
          <w:shd w:val="clear" w:color="auto" w:fill="FFFFFF"/>
        </w:rPr>
      </w:pPr>
    </w:p>
    <w:p w14:paraId="0334BAB0" w14:textId="77777777" w:rsidR="00244FB6" w:rsidRDefault="00244FB6" w:rsidP="00244FB6">
      <w:pPr>
        <w:ind w:left="567" w:firstLine="0"/>
        <w:rPr>
          <w:sz w:val="20"/>
          <w:szCs w:val="20"/>
          <w:shd w:val="clear" w:color="auto" w:fill="FFFFFF"/>
        </w:rPr>
      </w:pPr>
      <w:r w:rsidRPr="008818EB">
        <w:rPr>
          <w:sz w:val="20"/>
          <w:szCs w:val="20"/>
          <w:shd w:val="clear" w:color="auto" w:fill="FFFFFF"/>
        </w:rPr>
        <w:t xml:space="preserve">This lot is called ‘the lot of absence’ and it is the successor of the lot of fortune. Its proper indication is for the body and the soul and their conditions; religion, prophecy, piety and devotional service; secrets, </w:t>
      </w:r>
      <w:r w:rsidRPr="008818EB">
        <w:rPr>
          <w:sz w:val="20"/>
          <w:szCs w:val="20"/>
          <w:shd w:val="clear" w:color="auto" w:fill="FFFFFF"/>
        </w:rPr>
        <w:lastRenderedPageBreak/>
        <w:t>thought, minds, and hidden (</w:t>
      </w:r>
      <w:r w:rsidRPr="008818EB">
        <w:rPr>
          <w:rFonts w:cs="Times New Roman"/>
          <w:i/>
          <w:iCs/>
          <w:sz w:val="20"/>
          <w:szCs w:val="20"/>
          <w:shd w:val="clear" w:color="auto" w:fill="FFFFFF"/>
        </w:rPr>
        <w:t>al</w:t>
      </w:r>
      <w:r w:rsidRPr="008818EB">
        <w:rPr>
          <w:i/>
          <w:iCs/>
          <w:sz w:val="20"/>
          <w:szCs w:val="20"/>
          <w:shd w:val="clear" w:color="auto" w:fill="FFFFFF"/>
        </w:rPr>
        <w:t>-</w:t>
      </w:r>
      <w:r w:rsidRPr="008818EB">
        <w:rPr>
          <w:i/>
          <w:iCs/>
          <w:color w:val="202122"/>
          <w:sz w:val="20"/>
          <w:szCs w:val="20"/>
          <w:shd w:val="clear" w:color="auto" w:fill="FFFFFF"/>
        </w:rPr>
        <w:t>ḍamāʾir</w:t>
      </w:r>
      <w:r w:rsidRPr="008818EB">
        <w:rPr>
          <w:rFonts w:cs="Times New Roman"/>
          <w:sz w:val="20"/>
          <w:szCs w:val="20"/>
          <w:shd w:val="clear" w:color="auto" w:fill="FFFFFF"/>
        </w:rPr>
        <w:t>,</w:t>
      </w:r>
      <w:r>
        <w:rPr>
          <w:rFonts w:cs="Times New Roman"/>
          <w:sz w:val="20"/>
          <w:szCs w:val="20"/>
          <w:shd w:val="clear" w:color="auto" w:fill="FFFFFF"/>
        </w:rPr>
        <w:t xml:space="preserve"> </w:t>
      </w:r>
      <w:r w:rsidRPr="008818EB">
        <w:rPr>
          <w:sz w:val="20"/>
          <w:szCs w:val="20"/>
          <w:shd w:val="clear" w:color="auto" w:fill="FFFFFF"/>
          <w:rtl/>
        </w:rPr>
        <w:t>الضما</w:t>
      </w:r>
      <w:r w:rsidRPr="008818EB">
        <w:rPr>
          <w:rFonts w:cs="Times New Roman"/>
          <w:sz w:val="20"/>
          <w:szCs w:val="20"/>
          <w:shd w:val="clear" w:color="auto" w:fill="FFFFFF"/>
          <w:rtl/>
        </w:rPr>
        <w:t>ئِر</w:t>
      </w:r>
      <w:r w:rsidRPr="008818EB">
        <w:rPr>
          <w:rFonts w:cs="Times New Roman"/>
          <w:sz w:val="20"/>
          <w:szCs w:val="20"/>
          <w:shd w:val="clear" w:color="auto" w:fill="FFFFFF"/>
        </w:rPr>
        <w:t xml:space="preserve">) </w:t>
      </w:r>
      <w:r w:rsidRPr="008818EB">
        <w:rPr>
          <w:sz w:val="20"/>
          <w:szCs w:val="20"/>
          <w:shd w:val="clear" w:color="auto" w:fill="FFFFFF"/>
        </w:rPr>
        <w:t>and invisible things</w:t>
      </w:r>
      <w:r>
        <w:rPr>
          <w:sz w:val="20"/>
          <w:szCs w:val="20"/>
          <w:shd w:val="clear" w:color="auto" w:fill="FFFFFF"/>
        </w:rPr>
        <w:t xml:space="preserve"> […]. This lot and the lot of fortune are the best of all lots</w:t>
      </w:r>
      <w:r w:rsidRPr="008818EB">
        <w:rPr>
          <w:sz w:val="20"/>
          <w:szCs w:val="20"/>
          <w:shd w:val="clear" w:color="auto" w:fill="FFFFFF"/>
        </w:rPr>
        <w:t>.</w:t>
      </w:r>
      <w:r w:rsidRPr="008818EB">
        <w:rPr>
          <w:rStyle w:val="FootnoteReference"/>
          <w:sz w:val="20"/>
          <w:szCs w:val="20"/>
          <w:shd w:val="clear" w:color="auto" w:fill="FFFFFF"/>
        </w:rPr>
        <w:footnoteReference w:id="287"/>
      </w:r>
    </w:p>
    <w:p w14:paraId="18EAAF28" w14:textId="77777777" w:rsidR="00244FB6" w:rsidRDefault="00244FB6" w:rsidP="00244FB6">
      <w:pPr>
        <w:ind w:firstLine="0"/>
        <w:rPr>
          <w:sz w:val="20"/>
          <w:szCs w:val="20"/>
          <w:shd w:val="clear" w:color="auto" w:fill="FFFFFF"/>
        </w:rPr>
      </w:pPr>
    </w:p>
    <w:p w14:paraId="7E4E545E" w14:textId="5FC349DD" w:rsidR="00244FB6" w:rsidRPr="00B05A51" w:rsidRDefault="00244FB6" w:rsidP="00244FB6">
      <w:pPr>
        <w:ind w:firstLine="708"/>
        <w:rPr>
          <w:rStyle w:val="cf01"/>
          <w:shd w:val="clear" w:color="auto" w:fill="FFFFFF"/>
        </w:rPr>
      </w:pPr>
      <w:r>
        <w:t>From this</w:t>
      </w:r>
      <w:r w:rsidRPr="00E007E4">
        <w:t xml:space="preserve"> </w:t>
      </w:r>
      <w:r>
        <w:t xml:space="preserve">inquiry, it becomes evident that the contextual usage of </w:t>
      </w:r>
      <w:r w:rsidRPr="00E007E4">
        <w:t xml:space="preserve">the term </w:t>
      </w:r>
      <w:r w:rsidRPr="00E007E4">
        <w:rPr>
          <w:i/>
          <w:iCs/>
          <w:shd w:val="clear" w:color="auto" w:fill="FFFFFF"/>
        </w:rPr>
        <w:t xml:space="preserve">ḍamīr </w:t>
      </w:r>
      <w:r>
        <w:rPr>
          <w:shd w:val="clear" w:color="auto" w:fill="FFFFFF"/>
        </w:rPr>
        <w:t>during</w:t>
      </w:r>
      <w:r w:rsidRPr="00E007E4">
        <w:rPr>
          <w:shd w:val="clear" w:color="auto" w:fill="FFFFFF"/>
        </w:rPr>
        <w:t xml:space="preserve"> the medieval period</w:t>
      </w:r>
      <w:r>
        <w:rPr>
          <w:shd w:val="clear" w:color="auto" w:fill="FFFFFF"/>
        </w:rPr>
        <w:t xml:space="preserve"> encompasses a multitude of facets shared with the conceptual significance underpinning the term</w:t>
      </w:r>
      <w:r w:rsidRPr="00E007E4">
        <w:rPr>
          <w:shd w:val="clear" w:color="auto" w:fill="FFFFFF"/>
        </w:rPr>
        <w:t xml:space="preserve"> </w:t>
      </w:r>
      <w:r w:rsidRPr="00E007E4">
        <w:rPr>
          <w:i/>
          <w:iCs/>
          <w:shd w:val="clear" w:color="auto" w:fill="FFFFFF"/>
        </w:rPr>
        <w:t>intentio</w:t>
      </w:r>
      <w:r w:rsidRPr="00E007E4">
        <w:rPr>
          <w:shd w:val="clear" w:color="auto" w:fill="FFFFFF"/>
        </w:rPr>
        <w:t xml:space="preserve"> as </w:t>
      </w:r>
      <w:r>
        <w:rPr>
          <w:shd w:val="clear" w:color="auto" w:fill="FFFFFF"/>
        </w:rPr>
        <w:t>delineated</w:t>
      </w:r>
      <w:r w:rsidRPr="00E007E4">
        <w:rPr>
          <w:shd w:val="clear" w:color="auto" w:fill="FFFFFF"/>
        </w:rPr>
        <w:t xml:space="preserve"> in Latin geomantic sources. </w:t>
      </w:r>
      <w:r>
        <w:rPr>
          <w:shd w:val="clear" w:color="auto" w:fill="FFFFFF"/>
        </w:rPr>
        <w:t xml:space="preserve">Foremost, a strong nexus emerges </w:t>
      </w:r>
      <w:r w:rsidRPr="007A07CC">
        <w:rPr>
          <w:shd w:val="clear" w:color="auto" w:fill="FFFFFF"/>
        </w:rPr>
        <w:t xml:space="preserve">in their shared conceptual </w:t>
      </w:r>
      <w:r>
        <w:rPr>
          <w:shd w:val="clear" w:color="auto" w:fill="FFFFFF"/>
        </w:rPr>
        <w:t>sphere</w:t>
      </w:r>
      <w:r w:rsidRPr="007A07CC">
        <w:rPr>
          <w:shd w:val="clear" w:color="auto" w:fill="FFFFFF"/>
        </w:rPr>
        <w:t xml:space="preserve"> of </w:t>
      </w:r>
      <w:r>
        <w:rPr>
          <w:shd w:val="clear" w:color="auto" w:fill="FFFFFF"/>
        </w:rPr>
        <w:t>‘</w:t>
      </w:r>
      <w:r w:rsidRPr="007A07CC">
        <w:rPr>
          <w:shd w:val="clear" w:color="auto" w:fill="FFFFFF"/>
        </w:rPr>
        <w:t>secrecy</w:t>
      </w:r>
      <w:r>
        <w:rPr>
          <w:shd w:val="clear" w:color="auto" w:fill="FFFFFF"/>
        </w:rPr>
        <w:t>’</w:t>
      </w:r>
      <w:r w:rsidRPr="007A07CC">
        <w:rPr>
          <w:shd w:val="clear" w:color="auto" w:fill="FFFFFF"/>
        </w:rPr>
        <w:t xml:space="preserve"> and </w:t>
      </w:r>
      <w:r>
        <w:rPr>
          <w:shd w:val="clear" w:color="auto" w:fill="FFFFFF"/>
        </w:rPr>
        <w:t>‘</w:t>
      </w:r>
      <w:r w:rsidRPr="007A07CC">
        <w:rPr>
          <w:shd w:val="clear" w:color="auto" w:fill="FFFFFF"/>
        </w:rPr>
        <w:t>occult,</w:t>
      </w:r>
      <w:r>
        <w:rPr>
          <w:shd w:val="clear" w:color="auto" w:fill="FFFFFF"/>
        </w:rPr>
        <w:t>’</w:t>
      </w:r>
      <w:r w:rsidRPr="007A07CC">
        <w:rPr>
          <w:shd w:val="clear" w:color="auto" w:fill="FFFFFF"/>
        </w:rPr>
        <w:t xml:space="preserve"> both pertaining to that which lies</w:t>
      </w:r>
      <w:r>
        <w:rPr>
          <w:shd w:val="clear" w:color="auto" w:fill="FFFFFF"/>
        </w:rPr>
        <w:t xml:space="preserve"> hidden</w:t>
      </w:r>
      <w:r w:rsidRPr="007A07CC">
        <w:rPr>
          <w:shd w:val="clear" w:color="auto" w:fill="FFFFFF"/>
        </w:rPr>
        <w:t xml:space="preserve"> within the depths of the human </w:t>
      </w:r>
      <w:r w:rsidR="004F528D">
        <w:rPr>
          <w:shd w:val="clear" w:color="auto" w:fill="FFFFFF"/>
        </w:rPr>
        <w:t>soul</w:t>
      </w:r>
      <w:r w:rsidRPr="007A07CC">
        <w:rPr>
          <w:shd w:val="clear" w:color="auto" w:fill="FFFFFF"/>
        </w:rPr>
        <w:t>.</w:t>
      </w:r>
      <w:r>
        <w:rPr>
          <w:shd w:val="clear" w:color="auto" w:fill="FFFFFF"/>
        </w:rPr>
        <w:t xml:space="preserve"> Furthermore,</w:t>
      </w:r>
      <w:r w:rsidRPr="00517084">
        <w:t xml:space="preserve"> </w:t>
      </w:r>
      <w:r w:rsidRPr="00517084">
        <w:rPr>
          <w:shd w:val="clear" w:color="auto" w:fill="FFFFFF"/>
        </w:rPr>
        <w:t xml:space="preserve">the allusions to the seat of intentions, elucidated as either the soul </w:t>
      </w:r>
      <w:r w:rsidR="004F528D">
        <w:rPr>
          <w:shd w:val="clear" w:color="auto" w:fill="FFFFFF"/>
        </w:rPr>
        <w:t>or the heart in Latin geomantic sources,</w:t>
      </w:r>
      <w:r w:rsidRPr="00517084">
        <w:rPr>
          <w:shd w:val="clear" w:color="auto" w:fill="FFFFFF"/>
        </w:rPr>
        <w:t xml:space="preserve"> </w:t>
      </w:r>
      <w:r w:rsidR="004F528D" w:rsidRPr="00517084">
        <w:rPr>
          <w:shd w:val="clear" w:color="auto" w:fill="FFFFFF"/>
        </w:rPr>
        <w:t>aligns</w:t>
      </w:r>
      <w:r w:rsidRPr="00517084">
        <w:rPr>
          <w:shd w:val="clear" w:color="auto" w:fill="FFFFFF"/>
        </w:rPr>
        <w:t xml:space="preserve"> with the notion of </w:t>
      </w:r>
      <w:r>
        <w:rPr>
          <w:shd w:val="clear" w:color="auto" w:fill="FFFFFF"/>
        </w:rPr>
        <w:t>‘</w:t>
      </w:r>
      <w:r w:rsidRPr="00517084">
        <w:rPr>
          <w:shd w:val="clear" w:color="auto" w:fill="FFFFFF"/>
        </w:rPr>
        <w:t>interiority</w:t>
      </w:r>
      <w:r>
        <w:rPr>
          <w:shd w:val="clear" w:color="auto" w:fill="FFFFFF"/>
        </w:rPr>
        <w:t>’</w:t>
      </w:r>
      <w:r w:rsidRPr="00517084">
        <w:rPr>
          <w:shd w:val="clear" w:color="auto" w:fill="FFFFFF"/>
        </w:rPr>
        <w:t xml:space="preserve"> recurrently discerned within the definitions of </w:t>
      </w:r>
      <w:r w:rsidRPr="00517084">
        <w:rPr>
          <w:i/>
          <w:iCs/>
          <w:shd w:val="clear" w:color="auto" w:fill="FFFFFF"/>
        </w:rPr>
        <w:t>ḍamīr</w:t>
      </w:r>
      <w:r>
        <w:rPr>
          <w:shd w:val="clear" w:color="auto" w:fill="FFFFFF"/>
        </w:rPr>
        <w:t xml:space="preserve"> explored in this chapter</w:t>
      </w:r>
      <w:r w:rsidRPr="00E007E4">
        <w:rPr>
          <w:shd w:val="clear" w:color="auto" w:fill="FFFFFF"/>
        </w:rPr>
        <w:t>.</w:t>
      </w:r>
      <w:r>
        <w:rPr>
          <w:shd w:val="clear" w:color="auto" w:fill="FFFFFF"/>
        </w:rPr>
        <w:t xml:space="preserve"> </w:t>
      </w:r>
      <w:r w:rsidRPr="00B900B3">
        <w:rPr>
          <w:shd w:val="clear" w:color="auto" w:fill="FFFFFF"/>
        </w:rPr>
        <w:t>While Leirvik emphasi</w:t>
      </w:r>
      <w:r>
        <w:rPr>
          <w:shd w:val="clear" w:color="auto" w:fill="FFFFFF"/>
        </w:rPr>
        <w:t>s</w:t>
      </w:r>
      <w:r w:rsidRPr="00B900B3">
        <w:rPr>
          <w:shd w:val="clear" w:color="auto" w:fill="FFFFFF"/>
        </w:rPr>
        <w:t xml:space="preserve">es the conscious character of </w:t>
      </w:r>
      <w:r w:rsidRPr="00B900B3">
        <w:rPr>
          <w:i/>
          <w:iCs/>
          <w:shd w:val="clear" w:color="auto" w:fill="FFFFFF"/>
        </w:rPr>
        <w:t>ḍamīr</w:t>
      </w:r>
      <w:r w:rsidRPr="00B900B3">
        <w:rPr>
          <w:shd w:val="clear" w:color="auto" w:fill="FFFFFF"/>
        </w:rPr>
        <w:t xml:space="preserve"> in contrast to the </w:t>
      </w:r>
      <w:r w:rsidR="00E01CC6">
        <w:rPr>
          <w:shd w:val="clear" w:color="auto" w:fill="FFFFFF"/>
        </w:rPr>
        <w:t>un</w:t>
      </w:r>
      <w:r w:rsidRPr="00B900B3">
        <w:rPr>
          <w:shd w:val="clear" w:color="auto" w:fill="FFFFFF"/>
        </w:rPr>
        <w:t xml:space="preserve">conscious </w:t>
      </w:r>
      <w:r>
        <w:rPr>
          <w:shd w:val="clear" w:color="auto" w:fill="FFFFFF"/>
        </w:rPr>
        <w:t>quality</w:t>
      </w:r>
      <w:r w:rsidRPr="00B900B3">
        <w:rPr>
          <w:shd w:val="clear" w:color="auto" w:fill="FFFFFF"/>
        </w:rPr>
        <w:t xml:space="preserve"> attributed to </w:t>
      </w:r>
      <w:r w:rsidRPr="00B900B3">
        <w:rPr>
          <w:i/>
          <w:iCs/>
          <w:shd w:val="clear" w:color="auto" w:fill="FFFFFF"/>
        </w:rPr>
        <w:t>sirr</w:t>
      </w:r>
      <w:r w:rsidRPr="00B900B3">
        <w:rPr>
          <w:shd w:val="clear" w:color="auto" w:fill="FFFFFF"/>
        </w:rPr>
        <w:t>, the geomantic texts scrutini</w:t>
      </w:r>
      <w:r>
        <w:rPr>
          <w:shd w:val="clear" w:color="auto" w:fill="FFFFFF"/>
        </w:rPr>
        <w:t>s</w:t>
      </w:r>
      <w:r w:rsidRPr="00B900B3">
        <w:rPr>
          <w:shd w:val="clear" w:color="auto" w:fill="FFFFFF"/>
        </w:rPr>
        <w:t>ed in thi</w:t>
      </w:r>
      <w:r>
        <w:rPr>
          <w:shd w:val="clear" w:color="auto" w:fill="FFFFFF"/>
        </w:rPr>
        <w:t xml:space="preserve">s chapter seem to be more in accordance with the translation that Regourd gave of </w:t>
      </w:r>
      <w:r w:rsidRPr="00E007E4">
        <w:rPr>
          <w:i/>
          <w:iCs/>
          <w:shd w:val="clear" w:color="auto" w:fill="FFFFFF"/>
        </w:rPr>
        <w:t>ḍamīr</w:t>
      </w:r>
      <w:r>
        <w:rPr>
          <w:i/>
          <w:iCs/>
          <w:shd w:val="clear" w:color="auto" w:fill="FFFFFF"/>
        </w:rPr>
        <w:t xml:space="preserve"> </w:t>
      </w:r>
      <w:r>
        <w:rPr>
          <w:shd w:val="clear" w:color="auto" w:fill="FFFFFF"/>
        </w:rPr>
        <w:t xml:space="preserve">as pertaining to an unconscious dimension. This is particularly manifest in the </w:t>
      </w:r>
      <w:r w:rsidRPr="00B20FFF">
        <w:rPr>
          <w:i/>
          <w:iCs/>
          <w:shd w:val="clear" w:color="auto" w:fill="FFFFFF"/>
        </w:rPr>
        <w:t>Liber arenalis scientiae</w:t>
      </w:r>
      <w:r>
        <w:rPr>
          <w:shd w:val="clear" w:color="auto" w:fill="FFFFFF"/>
        </w:rPr>
        <w:t>, where intentions are explicated as ‘what men wish before it is made clear what is held in their hearts</w:t>
      </w:r>
      <w:r w:rsidR="00F91069">
        <w:rPr>
          <w:shd w:val="clear" w:color="auto" w:fill="FFFFFF"/>
        </w:rPr>
        <w:t>.</w:t>
      </w:r>
      <w:r>
        <w:rPr>
          <w:shd w:val="clear" w:color="auto" w:fill="FFFFFF"/>
        </w:rPr>
        <w:t>’  This proposition inherently implies that</w:t>
      </w:r>
      <w:r w:rsidRPr="00B05A51">
        <w:rPr>
          <w:shd w:val="clear" w:color="auto" w:fill="FFFFFF"/>
        </w:rPr>
        <w:t xml:space="preserve"> the geomancer </w:t>
      </w:r>
      <w:r>
        <w:rPr>
          <w:shd w:val="clear" w:color="auto" w:fill="FFFFFF"/>
        </w:rPr>
        <w:t>is required t</w:t>
      </w:r>
      <w:r w:rsidRPr="00846567">
        <w:rPr>
          <w:shd w:val="clear" w:color="auto" w:fill="FFFFFF"/>
        </w:rPr>
        <w:t xml:space="preserve">o unearth latent cogitations that have yet to </w:t>
      </w:r>
      <w:r>
        <w:rPr>
          <w:shd w:val="clear" w:color="auto" w:fill="FFFFFF"/>
        </w:rPr>
        <w:t>emerge</w:t>
      </w:r>
      <w:r w:rsidRPr="00846567">
        <w:rPr>
          <w:shd w:val="clear" w:color="auto" w:fill="FFFFFF"/>
        </w:rPr>
        <w:t xml:space="preserve"> within the consciousness of the querent. </w:t>
      </w:r>
      <w:r>
        <w:rPr>
          <w:shd w:val="clear" w:color="auto" w:fill="FFFFFF"/>
        </w:rPr>
        <w:t xml:space="preserve"> This thematic finds resonance in the </w:t>
      </w:r>
      <w:r w:rsidRPr="00B05A51">
        <w:rPr>
          <w:i/>
          <w:iCs/>
          <w:shd w:val="clear" w:color="auto" w:fill="FFFFFF"/>
        </w:rPr>
        <w:t>Geomantia</w:t>
      </w:r>
      <w:r>
        <w:rPr>
          <w:shd w:val="clear" w:color="auto" w:fill="FFFFFF"/>
        </w:rPr>
        <w:t xml:space="preserve"> by William of Moerbeke,</w:t>
      </w:r>
      <w:r w:rsidRPr="0012648F">
        <w:t xml:space="preserve"> </w:t>
      </w:r>
      <w:r w:rsidRPr="0012648F">
        <w:rPr>
          <w:shd w:val="clear" w:color="auto" w:fill="FFFFFF"/>
        </w:rPr>
        <w:t>who analogi</w:t>
      </w:r>
      <w:r>
        <w:rPr>
          <w:shd w:val="clear" w:color="auto" w:fill="FFFFFF"/>
        </w:rPr>
        <w:t>s</w:t>
      </w:r>
      <w:r w:rsidRPr="0012648F">
        <w:rPr>
          <w:shd w:val="clear" w:color="auto" w:fill="FFFFFF"/>
        </w:rPr>
        <w:t>es geomancy to a form of maieutic – akin to Socratic inquiry – wherein the latent ideas of an individual, much like a midwife ushering forth an infant from the obscurity of the maternal womb, are extricated into the realm of lucid cogni</w:t>
      </w:r>
      <w:r>
        <w:rPr>
          <w:shd w:val="clear" w:color="auto" w:fill="FFFFFF"/>
        </w:rPr>
        <w:t>s</w:t>
      </w:r>
      <w:r w:rsidRPr="0012648F">
        <w:rPr>
          <w:shd w:val="clear" w:color="auto" w:fill="FFFFFF"/>
        </w:rPr>
        <w:t>ance.</w:t>
      </w:r>
      <w:r w:rsidRPr="0012648F">
        <w:t xml:space="preserve"> </w:t>
      </w:r>
      <w:r>
        <w:rPr>
          <w:shd w:val="clear" w:color="auto" w:fill="FFFFFF"/>
        </w:rPr>
        <w:t>T</w:t>
      </w:r>
      <w:r w:rsidRPr="0012648F">
        <w:rPr>
          <w:shd w:val="clear" w:color="auto" w:fill="FFFFFF"/>
        </w:rPr>
        <w:t>he geomancer undertakes a parallel role, unveiling the veiled queries that lay dormant within the querent</w:t>
      </w:r>
      <w:r>
        <w:rPr>
          <w:shd w:val="clear" w:color="auto" w:fill="FFFFFF"/>
        </w:rPr>
        <w:t>’</w:t>
      </w:r>
      <w:r w:rsidRPr="0012648F">
        <w:rPr>
          <w:shd w:val="clear" w:color="auto" w:fill="FFFFFF"/>
        </w:rPr>
        <w:t>s innermost self</w:t>
      </w:r>
      <w:r>
        <w:rPr>
          <w:shd w:val="clear" w:color="auto" w:fill="FFFFFF"/>
        </w:rPr>
        <w:t>.</w:t>
      </w:r>
      <w:r>
        <w:rPr>
          <w:rStyle w:val="FootnoteReference"/>
          <w:shd w:val="clear" w:color="auto" w:fill="FFFFFF"/>
        </w:rPr>
        <w:footnoteReference w:id="288"/>
      </w:r>
    </w:p>
    <w:p w14:paraId="1E078BE4" w14:textId="77777777" w:rsidR="00244FB6" w:rsidRDefault="00244FB6" w:rsidP="00244FB6">
      <w:pPr>
        <w:ind w:firstLine="708"/>
      </w:pPr>
      <w:r w:rsidRPr="00CB6902">
        <w:rPr>
          <w:i/>
          <w:iCs/>
        </w:rPr>
        <w:lastRenderedPageBreak/>
        <w:t>Ḍamīr</w:t>
      </w:r>
      <w:r w:rsidRPr="00CB6902">
        <w:t xml:space="preserve"> also finds mention as the focal point of interest within the </w:t>
      </w:r>
      <w:r>
        <w:t>discussion</w:t>
      </w:r>
      <w:r w:rsidRPr="00CB6902">
        <w:t xml:space="preserve"> o</w:t>
      </w:r>
      <w:r>
        <w:t>n</w:t>
      </w:r>
      <w:r w:rsidRPr="00CB6902">
        <w:t xml:space="preserve"> geomancy, as well as </w:t>
      </w:r>
      <w:r>
        <w:t>of</w:t>
      </w:r>
      <w:r w:rsidRPr="00CB6902">
        <w:t xml:space="preserve"> astrological in</w:t>
      </w:r>
      <w:r>
        <w:t>terrogations</w:t>
      </w:r>
      <w:r w:rsidRPr="00CB6902">
        <w:t>, as delineated by</w:t>
      </w:r>
      <w:r>
        <w:t xml:space="preserve"> the fourteenth-century historian</w:t>
      </w:r>
      <w:r w:rsidRPr="00CB6902">
        <w:t xml:space="preserve"> Ibn Khaldūn (1332-1406 AD),</w:t>
      </w:r>
      <w:r>
        <w:t xml:space="preserve"> </w:t>
      </w:r>
      <w:r w:rsidRPr="00CB6902">
        <w:t>within his opus</w:t>
      </w:r>
      <w:r>
        <w:t xml:space="preserve"> titled</w:t>
      </w:r>
      <w:r w:rsidRPr="00CB6902">
        <w:t xml:space="preserve"> </w:t>
      </w:r>
      <w:r w:rsidRPr="00CB6902">
        <w:rPr>
          <w:i/>
          <w:iCs/>
        </w:rPr>
        <w:t>Muqaddima</w:t>
      </w:r>
      <w:r w:rsidRPr="00CB6902">
        <w:t>.</w:t>
      </w:r>
      <w:r>
        <w:t xml:space="preserve"> In his work, Ibn </w:t>
      </w:r>
      <w:r w:rsidRPr="00126CE0">
        <w:t>Khald</w:t>
      </w:r>
      <w:r>
        <w:t>ū</w:t>
      </w:r>
      <w:r w:rsidRPr="00126CE0">
        <w:t xml:space="preserve">n </w:t>
      </w:r>
      <w:r>
        <w:t xml:space="preserve">criticised </w:t>
      </w:r>
      <w:r w:rsidRPr="00AE6117">
        <w:t xml:space="preserve">those </w:t>
      </w:r>
      <w:r>
        <w:t>practitioners</w:t>
      </w:r>
      <w:r w:rsidRPr="00AE6117">
        <w:t xml:space="preserve"> who, </w:t>
      </w:r>
      <w:r>
        <w:t>deviating</w:t>
      </w:r>
      <w:r w:rsidRPr="00AE6117">
        <w:t xml:space="preserve"> from</w:t>
      </w:r>
      <w:r>
        <w:t xml:space="preserve"> the principles imparted by</w:t>
      </w:r>
      <w:r w:rsidRPr="00AE6117">
        <w:t xml:space="preserve"> Ptolemy, </w:t>
      </w:r>
      <w:r>
        <w:t>endeavoured</w:t>
      </w:r>
      <w:r w:rsidRPr="00AE6117">
        <w:t xml:space="preserve"> to </w:t>
      </w:r>
      <w:r>
        <w:t>reveal</w:t>
      </w:r>
      <w:r w:rsidRPr="00AE6117">
        <w:t xml:space="preserve"> </w:t>
      </w:r>
      <w:r>
        <w:t>human</w:t>
      </w:r>
      <w:r w:rsidRPr="00AE6117">
        <w:t xml:space="preserve"> innermost thoughts (</w:t>
      </w:r>
      <w:r w:rsidRPr="00AE6117">
        <w:rPr>
          <w:i/>
          <w:iCs/>
        </w:rPr>
        <w:t>dam</w:t>
      </w:r>
      <w:r>
        <w:rPr>
          <w:i/>
          <w:iCs/>
        </w:rPr>
        <w:t>ā</w:t>
      </w:r>
      <w:r w:rsidRPr="00AE6117">
        <w:rPr>
          <w:i/>
          <w:iCs/>
        </w:rPr>
        <w:t>’ir</w:t>
      </w:r>
      <w:r w:rsidRPr="00AE6117">
        <w:t>) through the practice of interrogations</w:t>
      </w:r>
      <w:r>
        <w:t>,</w:t>
      </w:r>
      <w:r w:rsidRPr="00AE6117">
        <w:t xml:space="preserve"> </w:t>
      </w:r>
      <w:r>
        <w:t>ascribing</w:t>
      </w:r>
      <w:r w:rsidRPr="00AE6117">
        <w:t xml:space="preserve"> these thoughts to the various astrological houses. </w:t>
      </w:r>
      <w:r>
        <w:t xml:space="preserve">According to Ibn </w:t>
      </w:r>
      <w:r w:rsidRPr="00126CE0">
        <w:t>Khald</w:t>
      </w:r>
      <w:r>
        <w:t>ū</w:t>
      </w:r>
      <w:r w:rsidRPr="00126CE0">
        <w:t>n</w:t>
      </w:r>
      <w:r w:rsidRPr="00AE6117">
        <w:t xml:space="preserve">, </w:t>
      </w:r>
      <w:r w:rsidRPr="00126CE0">
        <w:t>the</w:t>
      </w:r>
      <w:r>
        <w:t xml:space="preserve"> precincts of</w:t>
      </w:r>
      <w:r w:rsidRPr="00126CE0">
        <w:t xml:space="preserve"> inne</w:t>
      </w:r>
      <w:r>
        <w:t>r</w:t>
      </w:r>
      <w:r w:rsidRPr="00126CE0">
        <w:t xml:space="preserve"> </w:t>
      </w:r>
      <w:r>
        <w:t xml:space="preserve">cogitations does </w:t>
      </w:r>
      <w:r w:rsidRPr="0083609F">
        <w:t>not pertain to the elemental world, but rather to the spiritual world</w:t>
      </w:r>
      <w:r>
        <w:t>, thus</w:t>
      </w:r>
      <w:r w:rsidRPr="0083609F">
        <w:t xml:space="preserve"> </w:t>
      </w:r>
      <w:r>
        <w:t>constituting a matter of</w:t>
      </w:r>
      <w:r w:rsidRPr="00126CE0">
        <w:t xml:space="preserve"> </w:t>
      </w:r>
      <w:r w:rsidRPr="007B2C44">
        <w:t>psychic knowledge.</w:t>
      </w:r>
      <w:r w:rsidRPr="00970A29">
        <w:t xml:space="preserve"> </w:t>
      </w:r>
      <w:r w:rsidRPr="00984A04">
        <w:t xml:space="preserve">Consequently, he postulates their exemption from the dominion of astral influences and celestial spheres. </w:t>
      </w:r>
      <w:r>
        <w:t>T</w:t>
      </w:r>
      <w:r w:rsidRPr="00C33917">
        <w:t xml:space="preserve">he notion of deciphering the </w:t>
      </w:r>
      <w:r>
        <w:t>un</w:t>
      </w:r>
      <w:r w:rsidRPr="00C33917">
        <w:t>conscious, he observes, also found adherents among certain practitioners of the art of</w:t>
      </w:r>
      <w:r>
        <w:t xml:space="preserve"> ‘</w:t>
      </w:r>
      <w:r w:rsidRPr="00C33917">
        <w:t>sand divination</w:t>
      </w:r>
      <w:r>
        <w:t>’</w:t>
      </w:r>
      <w:r w:rsidRPr="00C33917">
        <w:t xml:space="preserve"> (geomancy). </w:t>
      </w:r>
      <w:r>
        <w:t xml:space="preserve">Ibn </w:t>
      </w:r>
      <w:r w:rsidRPr="00126CE0">
        <w:t>Khald</w:t>
      </w:r>
      <w:r>
        <w:t>ū</w:t>
      </w:r>
      <w:r w:rsidRPr="00126CE0">
        <w:t xml:space="preserve">n </w:t>
      </w:r>
      <w:r>
        <w:t>explained that geomancers</w:t>
      </w:r>
      <w:r w:rsidRPr="00970A29">
        <w:t xml:space="preserve"> </w:t>
      </w:r>
      <w:r w:rsidRPr="00B33EBC">
        <w:t>attempted to achieve supernatural perception by occupying their senses with the study of combinations of figures</w:t>
      </w:r>
      <w:r w:rsidRPr="00970A29">
        <w:t xml:space="preserve">. </w:t>
      </w:r>
      <w:r>
        <w:t>Nevertheless, he contended that</w:t>
      </w:r>
      <w:r w:rsidRPr="00970A29">
        <w:t xml:space="preserve"> </w:t>
      </w:r>
      <w:r>
        <w:t>insight into the</w:t>
      </w:r>
      <w:r w:rsidRPr="00970A29">
        <w:t xml:space="preserve"> supernatural</w:t>
      </w:r>
      <w:r>
        <w:t xml:space="preserve"> realm</w:t>
      </w:r>
      <w:r w:rsidRPr="00970A29">
        <w:t xml:space="preserve"> </w:t>
      </w:r>
      <w:r>
        <w:t>could not</w:t>
      </w:r>
      <w:r w:rsidRPr="00970A29">
        <w:t xml:space="preserve"> be attained by any craft or </w:t>
      </w:r>
      <w:r>
        <w:t>method</w:t>
      </w:r>
      <w:r w:rsidRPr="00970A29">
        <w:t xml:space="preserve"> at all. </w:t>
      </w:r>
      <w:r>
        <w:t xml:space="preserve">In his view, such state of knowledge was an exclusive prerogative of those individuals inherently predisposed </w:t>
      </w:r>
      <w:r w:rsidRPr="00970A29">
        <w:t xml:space="preserve">to momentarily leave the sensible world to return to the </w:t>
      </w:r>
      <w:r>
        <w:t>metaphysical world</w:t>
      </w:r>
      <w:r w:rsidRPr="00970A29">
        <w:t xml:space="preserve">. Only </w:t>
      </w:r>
      <w:r>
        <w:t>when</w:t>
      </w:r>
      <w:r w:rsidRPr="00970A29">
        <w:t xml:space="preserve"> a geomancer </w:t>
      </w:r>
      <w:r>
        <w:t>belong to this selected group of individuals</w:t>
      </w:r>
      <w:r w:rsidRPr="00970A29">
        <w:t>,</w:t>
      </w:r>
      <w:r w:rsidRPr="006362E2">
        <w:t xml:space="preserve"> and the contemplation of geomantic </w:t>
      </w:r>
      <w:r>
        <w:t>images</w:t>
      </w:r>
      <w:r w:rsidRPr="006362E2">
        <w:t xml:space="preserve"> is intended to engross their faculties to the extent that their spirit disengages from the material realm, may they ascend to the realm of </w:t>
      </w:r>
      <w:r w:rsidRPr="00970A29">
        <w:t xml:space="preserve">supernatural </w:t>
      </w:r>
      <w:r>
        <w:t>cognition</w:t>
      </w:r>
      <w:r w:rsidRPr="00970A29">
        <w:t>.</w:t>
      </w:r>
      <w:r>
        <w:rPr>
          <w:rStyle w:val="FootnoteReference"/>
        </w:rPr>
        <w:footnoteReference w:id="289"/>
      </w:r>
      <w:r>
        <w:t xml:space="preserve"> </w:t>
      </w:r>
    </w:p>
    <w:p w14:paraId="1F89BF17" w14:textId="4020E05E" w:rsidR="00244FB6" w:rsidRDefault="00244FB6" w:rsidP="00C629B9">
      <w:pPr>
        <w:ind w:firstLine="708"/>
      </w:pPr>
      <w:r>
        <w:t xml:space="preserve">The concept postulating that the </w:t>
      </w:r>
      <w:r w:rsidRPr="00970A29">
        <w:rPr>
          <w:i/>
          <w:iCs/>
          <w:shd w:val="clear" w:color="auto" w:fill="FFFFFF"/>
        </w:rPr>
        <w:t>ḍamīr</w:t>
      </w:r>
      <w:r>
        <w:rPr>
          <w:i/>
          <w:iCs/>
          <w:shd w:val="clear" w:color="auto" w:fill="FFFFFF"/>
        </w:rPr>
        <w:t xml:space="preserve"> </w:t>
      </w:r>
      <w:r>
        <w:rPr>
          <w:shd w:val="clear" w:color="auto" w:fill="FFFFFF"/>
        </w:rPr>
        <w:t xml:space="preserve">is linked to </w:t>
      </w:r>
      <w:r w:rsidR="00367994" w:rsidRPr="00367994">
        <w:rPr>
          <w:shd w:val="clear" w:color="auto" w:fill="FFFFFF"/>
        </w:rPr>
        <w:t>forms of knowledge</w:t>
      </w:r>
      <w:r>
        <w:rPr>
          <w:shd w:val="clear" w:color="auto" w:fill="FFFFFF"/>
        </w:rPr>
        <w:t xml:space="preserve"> </w:t>
      </w:r>
      <w:r w:rsidRPr="004E1065">
        <w:rPr>
          <w:shd w:val="clear" w:color="auto" w:fill="FFFFFF"/>
        </w:rPr>
        <w:t>accessible solely to the divine sphere, finds parallel resonance within a passage drawn from a sermon by Imam Alī</w:t>
      </w:r>
      <w:r>
        <w:rPr>
          <w:shd w:val="clear" w:color="auto" w:fill="FFFFFF"/>
        </w:rPr>
        <w:t xml:space="preserve"> (599-661 AD),</w:t>
      </w:r>
      <w:r w:rsidRPr="005D62B2">
        <w:t xml:space="preserve"> </w:t>
      </w:r>
      <w:r w:rsidRPr="005D62B2">
        <w:rPr>
          <w:shd w:val="clear" w:color="auto" w:fill="FFFFFF"/>
        </w:rPr>
        <w:t>the successor to the Prophet Muhammad</w:t>
      </w:r>
      <w:r>
        <w:rPr>
          <w:shd w:val="clear" w:color="auto" w:fill="FFFFFF"/>
        </w:rPr>
        <w:t xml:space="preserve">. In this discourse, </w:t>
      </w:r>
      <w:r w:rsidRPr="004E1065">
        <w:rPr>
          <w:shd w:val="clear" w:color="auto" w:fill="FFFFFF"/>
        </w:rPr>
        <w:t>Imam Alī</w:t>
      </w:r>
      <w:r>
        <w:rPr>
          <w:shd w:val="clear" w:color="auto" w:fill="FFFFFF"/>
        </w:rPr>
        <w:t xml:space="preserve"> </w:t>
      </w:r>
      <w:r w:rsidRPr="004E1065">
        <w:rPr>
          <w:shd w:val="clear" w:color="auto" w:fill="FFFFFF"/>
        </w:rPr>
        <w:t>metaphorically likens the</w:t>
      </w:r>
      <w:r w:rsidRPr="004E1065">
        <w:rPr>
          <w:i/>
          <w:iCs/>
          <w:shd w:val="clear" w:color="auto" w:fill="FFFFFF"/>
        </w:rPr>
        <w:t xml:space="preserve"> ḍamāʾir </w:t>
      </w:r>
      <w:r w:rsidRPr="004E1065">
        <w:rPr>
          <w:shd w:val="clear" w:color="auto" w:fill="FFFFFF"/>
        </w:rPr>
        <w:t xml:space="preserve">of human </w:t>
      </w:r>
      <w:r>
        <w:rPr>
          <w:shd w:val="clear" w:color="auto" w:fill="FFFFFF"/>
        </w:rPr>
        <w:t>being</w:t>
      </w:r>
      <w:r w:rsidR="006E2640">
        <w:rPr>
          <w:shd w:val="clear" w:color="auto" w:fill="FFFFFF"/>
        </w:rPr>
        <w:t>s</w:t>
      </w:r>
      <w:r w:rsidRPr="004E1065">
        <w:rPr>
          <w:shd w:val="clear" w:color="auto" w:fill="FFFFFF"/>
        </w:rPr>
        <w:t xml:space="preserve"> to the </w:t>
      </w:r>
      <w:r>
        <w:rPr>
          <w:shd w:val="clear" w:color="auto" w:fill="FFFFFF"/>
        </w:rPr>
        <w:t>‘</w:t>
      </w:r>
      <w:r w:rsidRPr="004E1065">
        <w:rPr>
          <w:shd w:val="clear" w:color="auto" w:fill="FFFFFF"/>
        </w:rPr>
        <w:t>eyes of God</w:t>
      </w:r>
      <w:r>
        <w:rPr>
          <w:shd w:val="clear" w:color="auto" w:fill="FFFFFF"/>
        </w:rPr>
        <w:t>,’ proclaiming</w:t>
      </w:r>
      <w:r>
        <w:t xml:space="preserve">: “Your limbs are a witness, the organs of your body constitute an army (against yourself), </w:t>
      </w:r>
      <w:r>
        <w:lastRenderedPageBreak/>
        <w:t xml:space="preserve">your inner self serves Him as eyes (to watch your sins; </w:t>
      </w:r>
      <w:r w:rsidRPr="00F148F1">
        <w:rPr>
          <w:i/>
          <w:iCs/>
        </w:rPr>
        <w:t>wa-ḍamāʾirukum ʿuyūnuhu</w:t>
      </w:r>
      <w:r w:rsidR="006E2640">
        <w:rPr>
          <w:i/>
          <w:iCs/>
        </w:rPr>
        <w:t xml:space="preserve"> – </w:t>
      </w:r>
      <w:r w:rsidR="006E2640">
        <w:t>literally: your inner thoughts are his eyes</w:t>
      </w:r>
      <w:r>
        <w:t>) and your loneliness is open to Him.”</w:t>
      </w:r>
      <w:r>
        <w:rPr>
          <w:rStyle w:val="FootnoteReference"/>
        </w:rPr>
        <w:footnoteReference w:id="290"/>
      </w:r>
      <w:r w:rsidR="003F49D3">
        <w:t xml:space="preserve"> In this perspective, r</w:t>
      </w:r>
      <w:r>
        <w:t>ather than a form of natural prognostication, geomancy seems to aspire in this context to a form of cognition</w:t>
      </w:r>
      <w:r w:rsidRPr="00D72F7F">
        <w:t xml:space="preserve"> exclusively bestowed upon the divine and those chosen for divine revelation</w:t>
      </w:r>
      <w:r>
        <w:t>.</w:t>
      </w:r>
      <w:r w:rsidRPr="00D72F7F">
        <w:t xml:space="preserve"> This facet not only </w:t>
      </w:r>
      <w:r w:rsidR="00606891">
        <w:t>complicates</w:t>
      </w:r>
      <w:r w:rsidRPr="00D72F7F">
        <w:t xml:space="preserve"> the discourse concerning</w:t>
      </w:r>
      <w:r w:rsidR="00C64914">
        <w:t xml:space="preserve"> the</w:t>
      </w:r>
      <w:r w:rsidRPr="00D72F7F">
        <w:t xml:space="preserve"> </w:t>
      </w:r>
      <w:r w:rsidR="00606891">
        <w:t>epistemological status of geomancy,</w:t>
      </w:r>
      <w:r>
        <w:t xml:space="preserve"> </w:t>
      </w:r>
      <w:r w:rsidRPr="00D72F7F">
        <w:t xml:space="preserve">but </w:t>
      </w:r>
      <w:r w:rsidR="00606891">
        <w:t>stresses the relevance of discussing</w:t>
      </w:r>
      <w:r>
        <w:t xml:space="preserve"> the relationship in which geomancy stands with divination. </w:t>
      </w:r>
      <w:r w:rsidRPr="00B3149E">
        <w:t xml:space="preserve">From the material considered in this chapter emerges a double function that the geomantic technique covered in the Middle Ages. First, geomancy like many other forms of divination had the scope of predicting future events. In addition to this, the science of the sand was also invested with the power to explore the depths of the human soul and to bring to light the deepest and most compelling thoughts and wishes found in it. It is in this context that geomancy establishes a new and stronger dependence between the man as microcosm and the universe, macrocosm. Both the geomancer and the querent, in different modalities, become bearers of the signs from the heavens. The geomancer almost acts as a ‘scribe’ for the celestial bodies, reporting their messages on the sand, while the querent carries these signs in himself, buried and unexpressed in the depths of his interiority, and these can only be accessed through the help of the geomancer. The interference of the influence of the stars in human affairs seems to gain strength in this context: the wishes and questions of the querent are the mere result of the celestial motion, </w:t>
      </w:r>
      <w:r w:rsidR="00606891">
        <w:t>and it is by considering the</w:t>
      </w:r>
      <w:r w:rsidRPr="00B3149E">
        <w:t xml:space="preserve"> motion of the heavens that these questions are answered. In this </w:t>
      </w:r>
      <w:r w:rsidR="00A241BF">
        <w:t>perspective,</w:t>
      </w:r>
      <w:r w:rsidRPr="00B3149E">
        <w:t xml:space="preserve"> </w:t>
      </w:r>
      <w:r w:rsidR="00A241BF">
        <w:t xml:space="preserve">the </w:t>
      </w:r>
      <w:r w:rsidRPr="00B3149E">
        <w:t>geomantic technique</w:t>
      </w:r>
      <w:r w:rsidR="00A241BF">
        <w:t xml:space="preserve"> seems to</w:t>
      </w:r>
      <w:r w:rsidRPr="00B3149E">
        <w:t xml:space="preserve"> leave little space for human free will.</w:t>
      </w:r>
    </w:p>
    <w:p w14:paraId="671C3298" w14:textId="77777777" w:rsidR="00C629B9" w:rsidRDefault="00C629B9" w:rsidP="00C629B9">
      <w:pPr>
        <w:ind w:firstLine="708"/>
      </w:pPr>
    </w:p>
    <w:p w14:paraId="0274A1B6" w14:textId="226D8CE7" w:rsidR="00244FB6" w:rsidRPr="009F28FF" w:rsidRDefault="003D5791" w:rsidP="009F28FF">
      <w:pPr>
        <w:pStyle w:val="Heading2"/>
        <w:ind w:firstLine="0"/>
        <w:rPr>
          <w:rFonts w:asciiTheme="majorBidi" w:hAnsiTheme="majorBidi"/>
          <w:color w:val="auto"/>
          <w:sz w:val="20"/>
          <w:szCs w:val="20"/>
        </w:rPr>
      </w:pPr>
      <w:bookmarkStart w:id="92" w:name="_Toc165108660"/>
      <w:r w:rsidRPr="009F28FF">
        <w:rPr>
          <w:rFonts w:asciiTheme="majorBidi" w:hAnsiTheme="majorBidi"/>
          <w:color w:val="auto"/>
          <w:sz w:val="20"/>
          <w:szCs w:val="20"/>
        </w:rPr>
        <w:t>IV.</w:t>
      </w:r>
      <w:r>
        <w:rPr>
          <w:rFonts w:asciiTheme="majorBidi" w:hAnsiTheme="majorBidi"/>
          <w:color w:val="auto"/>
          <w:sz w:val="20"/>
          <w:szCs w:val="20"/>
        </w:rPr>
        <w:t>3</w:t>
      </w:r>
      <w:r w:rsidRPr="009F28FF">
        <w:rPr>
          <w:rFonts w:asciiTheme="majorBidi" w:hAnsiTheme="majorBidi"/>
          <w:color w:val="auto"/>
          <w:sz w:val="20"/>
          <w:szCs w:val="20"/>
        </w:rPr>
        <w:t xml:space="preserve"> THE</w:t>
      </w:r>
      <w:r w:rsidR="00244FB6" w:rsidRPr="009F28FF">
        <w:rPr>
          <w:rFonts w:asciiTheme="majorBidi" w:hAnsiTheme="majorBidi"/>
          <w:color w:val="auto"/>
          <w:sz w:val="20"/>
          <w:szCs w:val="20"/>
        </w:rPr>
        <w:t xml:space="preserve"> CONCEPT OF INTENTION IN ASTROLOGICAL INTERROGATIONS</w:t>
      </w:r>
      <w:bookmarkEnd w:id="92"/>
    </w:p>
    <w:p w14:paraId="4F6C7A1D" w14:textId="77777777" w:rsidR="00244FB6" w:rsidRDefault="00244FB6" w:rsidP="00244FB6">
      <w:pPr>
        <w:ind w:firstLine="0"/>
      </w:pPr>
      <w:r>
        <w:tab/>
      </w:r>
    </w:p>
    <w:p w14:paraId="0F9590D1" w14:textId="48BA33DB" w:rsidR="00244FB6" w:rsidRPr="00635006" w:rsidRDefault="00244FB6" w:rsidP="00244FB6">
      <w:r>
        <w:lastRenderedPageBreak/>
        <w:t>A</w:t>
      </w:r>
      <w:r w:rsidR="00CB45CE">
        <w:t>s explained by Ibn Khaldūn,</w:t>
      </w:r>
      <w:r>
        <w:t xml:space="preserve"> </w:t>
      </w:r>
      <w:r w:rsidR="00CB45CE">
        <w:t xml:space="preserve">a </w:t>
      </w:r>
      <w:r>
        <w:t xml:space="preserve">similar </w:t>
      </w:r>
      <w:r w:rsidR="00CB45CE">
        <w:t>concept</w:t>
      </w:r>
      <w:r>
        <w:t xml:space="preserve"> to th</w:t>
      </w:r>
      <w:r w:rsidR="00CB45CE">
        <w:t>at</w:t>
      </w:r>
      <w:r>
        <w:t xml:space="preserve"> of intentions in geomancy is found in another predictive art</w:t>
      </w:r>
      <w:r w:rsidR="00DC5237">
        <w:t>, that</w:t>
      </w:r>
      <w:r>
        <w:t xml:space="preserve"> </w:t>
      </w:r>
      <w:r w:rsidR="00CB45CE">
        <w:t>of</w:t>
      </w:r>
      <w:r>
        <w:t xml:space="preserve"> astrological interrogations, to which geomancy has often been compared. </w:t>
      </w:r>
      <w:r w:rsidRPr="00635006">
        <w:t>Interrogations</w:t>
      </w:r>
      <w:r>
        <w:t xml:space="preserve"> –</w:t>
      </w:r>
      <w:r w:rsidRPr="00635006">
        <w:t xml:space="preserve"> </w:t>
      </w:r>
      <w:r w:rsidRPr="00AF6C69">
        <w:t>known in modern practice</w:t>
      </w:r>
      <w:r>
        <w:t xml:space="preserve"> </w:t>
      </w:r>
      <w:r w:rsidRPr="00AF6C69">
        <w:t xml:space="preserve">as ‘horary astrology’ </w:t>
      </w:r>
      <w:r>
        <w:t>–</w:t>
      </w:r>
      <w:r w:rsidRPr="00635006">
        <w:t xml:space="preserve"> were one of the most popular and controversial astrological genres of the late medieval period</w:t>
      </w:r>
      <w:r>
        <w:t>.</w:t>
      </w:r>
      <w:r>
        <w:rPr>
          <w:rStyle w:val="FootnoteReference"/>
        </w:rPr>
        <w:footnoteReference w:id="291"/>
      </w:r>
      <w:r w:rsidRPr="00EC3928">
        <w:t xml:space="preserve"> While </w:t>
      </w:r>
      <w:r>
        <w:t xml:space="preserve">for instance </w:t>
      </w:r>
      <w:r w:rsidRPr="00EC3928">
        <w:t>the ambit of nat</w:t>
      </w:r>
      <w:r>
        <w:t>ivity horoscopes</w:t>
      </w:r>
      <w:r w:rsidRPr="00EC3928">
        <w:t xml:space="preserve"> connoted the initial celestial influence upon human existence, discernibly imprinting physiognomic and </w:t>
      </w:r>
      <w:r w:rsidRPr="00BA2731">
        <w:t>psychological</w:t>
      </w:r>
      <w:r w:rsidRPr="00EC3928">
        <w:t xml:space="preserve"> traits upon the </w:t>
      </w:r>
      <w:r>
        <w:t>newborn based on the astral coordinates at the moment</w:t>
      </w:r>
      <w:r w:rsidRPr="00EC3928">
        <w:t xml:space="preserve"> of conceptio</w:t>
      </w:r>
      <w:r>
        <w:t>n</w:t>
      </w:r>
      <w:r w:rsidRPr="00EC3928">
        <w:t xml:space="preserve"> or birth, the </w:t>
      </w:r>
      <w:r>
        <w:t>technique</w:t>
      </w:r>
      <w:r w:rsidRPr="00EC3928">
        <w:t xml:space="preserve"> of interrogations invoked an enduring intercession of </w:t>
      </w:r>
      <w:r>
        <w:t>the celestial bodies</w:t>
      </w:r>
      <w:r w:rsidRPr="00EC3928">
        <w:t xml:space="preserve"> in the continuum of human affairs.</w:t>
      </w:r>
      <w:r>
        <w:t xml:space="preserve"> Analogous to</w:t>
      </w:r>
      <w:r w:rsidRPr="00635006">
        <w:t xml:space="preserve"> geomancy, </w:t>
      </w:r>
      <w:r>
        <w:t xml:space="preserve">this astrological genre aspired at the revelation of hidden circumstances, prognostication of consequences of actions or a </w:t>
      </w:r>
      <w:r w:rsidR="003D5791">
        <w:t>situation</w:t>
      </w:r>
      <w:r>
        <w:t>, and the resolution of a spectrum of enquiries</w:t>
      </w:r>
      <w:r w:rsidRPr="00635006">
        <w:t xml:space="preserve">. By </w:t>
      </w:r>
      <w:r>
        <w:t>assuming t</w:t>
      </w:r>
      <w:r w:rsidRPr="00FF4426">
        <w:t xml:space="preserve">he interdependence between these circumstantial occurrences </w:t>
      </w:r>
      <w:r>
        <w:t xml:space="preserve">and astral motions, </w:t>
      </w:r>
      <w:r w:rsidRPr="00FF4426">
        <w:t>the praxis of astrological interrogations underscored the reliance of these phenomena upon</w:t>
      </w:r>
      <w:r>
        <w:t xml:space="preserve"> </w:t>
      </w:r>
      <w:r w:rsidRPr="00635006">
        <w:t>the celestial spheres</w:t>
      </w:r>
      <w:r>
        <w:t>.</w:t>
      </w:r>
      <w:r w:rsidRPr="00635006">
        <w:t xml:space="preserve"> </w:t>
      </w:r>
      <w:r>
        <w:t>T</w:t>
      </w:r>
      <w:r w:rsidRPr="00635006">
        <w:t>his</w:t>
      </w:r>
      <w:r>
        <w:t xml:space="preserve"> belief</w:t>
      </w:r>
      <w:r w:rsidRPr="00635006">
        <w:t xml:space="preserve"> </w:t>
      </w:r>
      <w:r>
        <w:t xml:space="preserve">contributed to the controversial character of astrological </w:t>
      </w:r>
      <w:r w:rsidRPr="00635006">
        <w:t>interrogations</w:t>
      </w:r>
      <w:r>
        <w:t>, as they represented a threat to the existence of human free will</w:t>
      </w:r>
      <w:r w:rsidRPr="00635006">
        <w:t xml:space="preserve">. </w:t>
      </w:r>
      <w:r>
        <w:t>Notably, another characteristic that astrological interrogations shared with geomancy, discernible in many medieval treatises on interrogations, is the presence of chapters dedicated to expounding methodologies to reveal the intentions or thoughts concealed in the human soul. What follows is an overview of medieval texts</w:t>
      </w:r>
      <w:r w:rsidR="000934AC">
        <w:t xml:space="preserve"> of Arabic origin</w:t>
      </w:r>
      <w:r>
        <w:t xml:space="preserve"> on astrological interrogations that present material related to the discovery of</w:t>
      </w:r>
      <w:r w:rsidR="00CD5B2E">
        <w:t xml:space="preserve"> human</w:t>
      </w:r>
      <w:r>
        <w:t xml:space="preserve"> intentions</w:t>
      </w:r>
      <w:r w:rsidR="00CD5B2E">
        <w:t>.</w:t>
      </w:r>
    </w:p>
    <w:p w14:paraId="77E16A14" w14:textId="7ADAF4CF" w:rsidR="00244FB6" w:rsidRDefault="00244FB6" w:rsidP="00244FB6">
      <w:pPr>
        <w:rPr>
          <w:highlight w:val="yellow"/>
        </w:rPr>
      </w:pPr>
      <w:r w:rsidRPr="009449C9">
        <w:lastRenderedPageBreak/>
        <w:t xml:space="preserve">One such text is the </w:t>
      </w:r>
      <w:r w:rsidRPr="009449C9">
        <w:rPr>
          <w:i/>
          <w:iCs/>
        </w:rPr>
        <w:t>Iudicia</w:t>
      </w:r>
      <w:r w:rsidRPr="009449C9">
        <w:t xml:space="preserve"> (Judgements) of Pseudo-Ptolemy, also </w:t>
      </w:r>
      <w:r>
        <w:t>preserved</w:t>
      </w:r>
      <w:r w:rsidRPr="009449C9">
        <w:t xml:space="preserve"> in a version attributed to Aristotle.</w:t>
      </w:r>
      <w:r w:rsidRPr="009449C9">
        <w:rPr>
          <w:rStyle w:val="FootnoteReference"/>
        </w:rPr>
        <w:footnoteReference w:id="292"/>
      </w:r>
      <w:r w:rsidRPr="009449C9">
        <w:t xml:space="preserve"> This text was probably translated into Latin from a now lost </w:t>
      </w:r>
      <w:r>
        <w:t xml:space="preserve">Arabic </w:t>
      </w:r>
      <w:r w:rsidRPr="009449C9">
        <w:t xml:space="preserve">original, and also exists in a Hebrew translation, the </w:t>
      </w:r>
      <w:r w:rsidRPr="009449C9">
        <w:rPr>
          <w:i/>
          <w:iCs/>
          <w:lang w:bidi="he-IL"/>
        </w:rPr>
        <w:t>Kelal ha-Sheʾelot le-divrei Talmai</w:t>
      </w:r>
      <w:r w:rsidRPr="009449C9">
        <w:rPr>
          <w:lang w:bidi="he-IL"/>
        </w:rPr>
        <w:t xml:space="preserve"> </w:t>
      </w:r>
      <w:r w:rsidRPr="009449C9">
        <w:t>(‘All the Questions According to Ptolemy’).</w:t>
      </w:r>
      <w:r w:rsidRPr="009449C9">
        <w:rPr>
          <w:rStyle w:val="FootnoteReference"/>
        </w:rPr>
        <w:footnoteReference w:id="293"/>
      </w:r>
      <w:r w:rsidRPr="009449C9">
        <w:t xml:space="preserve"> </w:t>
      </w:r>
      <w:r>
        <w:t>Furthermore, the Pseudo-</w:t>
      </w:r>
      <w:r w:rsidRPr="009449C9">
        <w:t xml:space="preserve">Ptolemy’s </w:t>
      </w:r>
      <w:r w:rsidRPr="009449C9">
        <w:rPr>
          <w:i/>
          <w:iCs/>
        </w:rPr>
        <w:t>Iudicia</w:t>
      </w:r>
      <w:r w:rsidRPr="009449C9">
        <w:t xml:space="preserve"> was used by Raymond of Marseille in his </w:t>
      </w:r>
      <w:r w:rsidRPr="009449C9">
        <w:rPr>
          <w:i/>
          <w:iCs/>
        </w:rPr>
        <w:t>Liber iudiciorum</w:t>
      </w:r>
      <w:r w:rsidRPr="009449C9">
        <w:t xml:space="preserve"> (1141 AD) and in an anonymous commentary which </w:t>
      </w:r>
      <w:r>
        <w:t>was extant at least by</w:t>
      </w:r>
      <w:r w:rsidRPr="009449C9">
        <w:t xml:space="preserve"> c. 1138 AD, while the common source is thought to be as old as the tenth century, for it shares characteristics in style and content - including several identical chapters - with the </w:t>
      </w:r>
      <w:r w:rsidRPr="009449C9">
        <w:rPr>
          <w:i/>
          <w:iCs/>
        </w:rPr>
        <w:t>Alchandreana Corpus</w:t>
      </w:r>
      <w:r w:rsidRPr="009449C9">
        <w:t>.</w:t>
      </w:r>
      <w:r w:rsidRPr="009449C9">
        <w:rPr>
          <w:rStyle w:val="FootnoteReference"/>
        </w:rPr>
        <w:footnoteReference w:id="294"/>
      </w:r>
      <w:r w:rsidRPr="009449C9">
        <w:t xml:space="preserve"> The </w:t>
      </w:r>
      <w:r w:rsidRPr="009449C9">
        <w:rPr>
          <w:i/>
          <w:iCs/>
        </w:rPr>
        <w:t>Iudicia</w:t>
      </w:r>
      <w:r w:rsidRPr="009449C9">
        <w:t xml:space="preserve"> is divided into two main sections</w:t>
      </w:r>
      <w:r>
        <w:t>;</w:t>
      </w:r>
      <w:r w:rsidRPr="009449C9">
        <w:t xml:space="preserve"> the first one </w:t>
      </w:r>
      <w:r>
        <w:t>contains</w:t>
      </w:r>
      <w:r w:rsidRPr="009449C9">
        <w:t xml:space="preserve"> a general introduction to astrology, and the second a collection of ‘judgements’</w:t>
      </w:r>
      <w:r>
        <w:t>,</w:t>
      </w:r>
      <w:r w:rsidRPr="009449C9">
        <w:t xml:space="preserve"> mainly concerned with interrogations. One brief chapter </w:t>
      </w:r>
      <w:r>
        <w:t xml:space="preserve">in this text </w:t>
      </w:r>
      <w:r w:rsidRPr="009449C9">
        <w:t xml:space="preserve">concerns the use of astrological interrogations to find out what is in the </w:t>
      </w:r>
      <w:r>
        <w:t>soul</w:t>
      </w:r>
      <w:r w:rsidRPr="009449C9">
        <w:t xml:space="preserve"> of the querent: </w:t>
      </w:r>
    </w:p>
    <w:p w14:paraId="1DAF7E66" w14:textId="77777777" w:rsidR="00244FB6" w:rsidRPr="009449C9" w:rsidRDefault="00244FB6" w:rsidP="00244FB6">
      <w:pPr>
        <w:rPr>
          <w:sz w:val="20"/>
          <w:szCs w:val="20"/>
          <w:highlight w:val="yellow"/>
        </w:rPr>
      </w:pPr>
    </w:p>
    <w:p w14:paraId="7090CFB7" w14:textId="77777777" w:rsidR="00244FB6" w:rsidRPr="009449C9" w:rsidRDefault="00244FB6" w:rsidP="00244FB6">
      <w:pPr>
        <w:ind w:left="567" w:firstLine="0"/>
        <w:rPr>
          <w:sz w:val="20"/>
          <w:szCs w:val="20"/>
        </w:rPr>
      </w:pPr>
      <w:r>
        <w:rPr>
          <w:sz w:val="20"/>
          <w:szCs w:val="20"/>
        </w:rPr>
        <w:t>I</w:t>
      </w:r>
      <w:r w:rsidRPr="009449C9">
        <w:rPr>
          <w:sz w:val="20"/>
          <w:szCs w:val="20"/>
        </w:rPr>
        <w:t xml:space="preserve">f you wish to know what he wants to say, examine the ascending sign and the hour, and look where the lord of the sign is </w:t>
      </w:r>
      <w:r>
        <w:rPr>
          <w:sz w:val="20"/>
          <w:szCs w:val="20"/>
        </w:rPr>
        <w:t>[</w:t>
      </w:r>
      <w:r w:rsidRPr="009449C9">
        <w:rPr>
          <w:sz w:val="20"/>
          <w:szCs w:val="20"/>
        </w:rPr>
        <w:t>...</w:t>
      </w:r>
      <w:r>
        <w:rPr>
          <w:sz w:val="20"/>
          <w:szCs w:val="20"/>
        </w:rPr>
        <w:t>]</w:t>
      </w:r>
      <w:r w:rsidRPr="009449C9">
        <w:rPr>
          <w:sz w:val="20"/>
          <w:szCs w:val="20"/>
        </w:rPr>
        <w:t xml:space="preserve"> Therefore, if the lord of the ascendant is in the same &lt;place&gt; [i.e., in the ascendant], he wishes to ask about himself. If it is in the second &lt;place&gt;, he will ask about property or possession.</w:t>
      </w:r>
      <w:r w:rsidRPr="009449C9">
        <w:rPr>
          <w:rStyle w:val="FootnoteReference"/>
          <w:sz w:val="20"/>
          <w:szCs w:val="20"/>
        </w:rPr>
        <w:footnoteReference w:id="295"/>
      </w:r>
      <w:r w:rsidRPr="009449C9">
        <w:rPr>
          <w:sz w:val="20"/>
          <w:szCs w:val="20"/>
        </w:rPr>
        <w:t xml:space="preserve"> </w:t>
      </w:r>
    </w:p>
    <w:p w14:paraId="7E7D9650" w14:textId="77777777" w:rsidR="00244FB6" w:rsidRDefault="00244FB6" w:rsidP="00244FB6">
      <w:pPr>
        <w:ind w:firstLine="0"/>
      </w:pPr>
    </w:p>
    <w:p w14:paraId="32FC7E90" w14:textId="37920838" w:rsidR="00244FB6" w:rsidRDefault="00244FB6" w:rsidP="00244FB6">
      <w:pPr>
        <w:ind w:firstLine="0"/>
      </w:pPr>
      <w:r>
        <w:t xml:space="preserve">By the ‘lord of the ascendant’ is meant the planet that rules the sign of the zodiac in which is found the ascendant in the horoscope made at the time of the question. According to the </w:t>
      </w:r>
      <w:r w:rsidRPr="00EC0F98">
        <w:rPr>
          <w:i/>
          <w:iCs/>
        </w:rPr>
        <w:t>Iudicia</w:t>
      </w:r>
      <w:r>
        <w:t xml:space="preserve">, to discover the matter of the client’s question, the astrologer should observe in which </w:t>
      </w:r>
      <w:r>
        <w:lastRenderedPageBreak/>
        <w:t xml:space="preserve">of the twelve </w:t>
      </w:r>
      <w:r w:rsidR="007E3ECC">
        <w:t>divisions of the ecliptic circle of which the ascendant is the first (‘houses’)</w:t>
      </w:r>
      <w:r>
        <w:t xml:space="preserve">. This method is </w:t>
      </w:r>
      <w:r w:rsidR="0088486A">
        <w:t xml:space="preserve">analogous </w:t>
      </w:r>
      <w:r w:rsidRPr="009449C9">
        <w:t xml:space="preserve">to the </w:t>
      </w:r>
      <w:r>
        <w:t>one presented in</w:t>
      </w:r>
      <w:r w:rsidRPr="009449C9">
        <w:t xml:space="preserve"> the </w:t>
      </w:r>
      <w:r w:rsidRPr="009449C9">
        <w:rPr>
          <w:i/>
          <w:iCs/>
        </w:rPr>
        <w:t>Liber arenalis scientiae</w:t>
      </w:r>
      <w:r w:rsidRPr="009449C9">
        <w:t xml:space="preserve">, </w:t>
      </w:r>
      <w:r w:rsidRPr="0006283A">
        <w:t>in which the author considers the position of a geomantic figure in their various domiciles, especially in the first place, that is the place of the self</w:t>
      </w:r>
      <w:r w:rsidR="00EE232E">
        <w:t>, and corresponds to the astrological concepts of the house of the ascendant.</w:t>
      </w:r>
    </w:p>
    <w:p w14:paraId="1B902BC3" w14:textId="62CDA434" w:rsidR="00244FB6" w:rsidRDefault="00244FB6" w:rsidP="00244FB6">
      <w:r>
        <w:t xml:space="preserve">The authority of </w:t>
      </w:r>
      <w:r w:rsidRPr="002008EE">
        <w:t>Ptolemy i</w:t>
      </w:r>
      <w:r>
        <w:t>s also mentioned</w:t>
      </w:r>
      <w:r w:rsidRPr="002008EE">
        <w:t xml:space="preserve">, together with </w:t>
      </w:r>
      <w:r>
        <w:t xml:space="preserve">that of </w:t>
      </w:r>
      <w:r w:rsidRPr="002008EE">
        <w:t>Dorotheus, Antiochus and Vettius Valens</w:t>
      </w:r>
      <w:r>
        <w:t>,</w:t>
      </w:r>
      <w:r w:rsidRPr="002008EE">
        <w:t xml:space="preserve"> in the Latin version of </w:t>
      </w:r>
      <w:r>
        <w:t>a book on interrogations attributed to</w:t>
      </w:r>
      <w:bookmarkStart w:id="93" w:name="_Hlk103616771"/>
      <w:r>
        <w:t xml:space="preserve"> </w:t>
      </w:r>
      <w:r w:rsidRPr="002008EE">
        <w:t>Māshā’allāh</w:t>
      </w:r>
      <w:bookmarkEnd w:id="93"/>
      <w:r w:rsidRPr="002008EE">
        <w:t xml:space="preserve"> (740-815 AD)</w:t>
      </w:r>
      <w:r>
        <w:t>, the</w:t>
      </w:r>
      <w:r w:rsidRPr="002008EE">
        <w:t xml:space="preserve"> </w:t>
      </w:r>
      <w:r w:rsidRPr="002008EE">
        <w:rPr>
          <w:i/>
          <w:iCs/>
        </w:rPr>
        <w:t xml:space="preserve">Liber de occultis </w:t>
      </w:r>
      <w:r w:rsidRPr="002008EE">
        <w:t xml:space="preserve">(Book </w:t>
      </w:r>
      <w:r w:rsidR="003D5791">
        <w:t>o</w:t>
      </w:r>
      <w:r w:rsidRPr="002008EE">
        <w:t>n Hidden Things)</w:t>
      </w:r>
      <w:r>
        <w:t>.</w:t>
      </w:r>
      <w:r w:rsidRPr="002008EE">
        <w:t xml:space="preserve"> </w:t>
      </w:r>
      <w:r>
        <w:t>The first chapter of this work presents four cases that could lead the astrologer to err in his practice: the ill-functioning of the astrolabe utilised, if the questioner does not know what to ask, if the astrologer does not know whether the Sun has already receded from the Midheaven, and finally</w:t>
      </w:r>
      <w:r w:rsidRPr="0006283A">
        <w:t xml:space="preserve"> </w:t>
      </w:r>
      <w:r>
        <w:t xml:space="preserve">the </w:t>
      </w:r>
      <w:r w:rsidRPr="0006283A">
        <w:t>equanimity of information pertaining to benefic and malefic influences</w:t>
      </w:r>
      <w:r>
        <w:t>.</w:t>
      </w:r>
      <w:r>
        <w:rPr>
          <w:rStyle w:val="FootnoteReference"/>
        </w:rPr>
        <w:footnoteReference w:id="296"/>
      </w:r>
      <w:r>
        <w:t xml:space="preserve"> Subsequent to this, </w:t>
      </w:r>
      <w:r w:rsidR="007A29E3">
        <w:t xml:space="preserve">in </w:t>
      </w:r>
      <w:r>
        <w:t>the chapter</w:t>
      </w:r>
      <w:r w:rsidRPr="002008EE">
        <w:t xml:space="preserve"> </w:t>
      </w:r>
      <w:r w:rsidR="007A29E3">
        <w:t>en</w:t>
      </w:r>
      <w:r>
        <w:t xml:space="preserve">titled </w:t>
      </w:r>
      <w:r w:rsidRPr="002008EE">
        <w:t>‘</w:t>
      </w:r>
      <w:r w:rsidRPr="00D92E6A">
        <w:t>on discovering the significator’</w:t>
      </w:r>
      <w:r>
        <w:t>,</w:t>
      </w:r>
      <w:r w:rsidRPr="002008EE">
        <w:t xml:space="preserve"> the text </w:t>
      </w:r>
      <w:r>
        <w:t>imparts guidance for unravelling</w:t>
      </w:r>
      <w:r w:rsidRPr="002008EE">
        <w:t xml:space="preserve"> the querent’s intention</w:t>
      </w:r>
      <w:r>
        <w:t>,</w:t>
      </w:r>
      <w:r w:rsidRPr="001A50F1">
        <w:t xml:space="preserve"> presenting </w:t>
      </w:r>
      <w:r w:rsidR="007A29E3">
        <w:t>various</w:t>
      </w:r>
      <w:r w:rsidRPr="001A50F1">
        <w:t xml:space="preserve"> methodologies ascribed to antiquity, encompassing those grounded in the ruler of the ascendant and the Lot of Fortune</w:t>
      </w:r>
      <w:r>
        <w:t>.</w:t>
      </w:r>
      <w:r>
        <w:rPr>
          <w:rStyle w:val="FootnoteReference"/>
        </w:rPr>
        <w:footnoteReference w:id="297"/>
      </w:r>
      <w:r>
        <w:t xml:space="preserve"> An interesting passage warns the astrologer</w:t>
      </w:r>
      <w:r w:rsidRPr="002008EE">
        <w:t xml:space="preserve"> </w:t>
      </w:r>
      <w:r>
        <w:t>“</w:t>
      </w:r>
      <w:r w:rsidRPr="002008EE">
        <w:t>that the intention</w:t>
      </w:r>
      <w:r>
        <w:t xml:space="preserve"> (of the inquirer)</w:t>
      </w:r>
      <w:r w:rsidRPr="002008EE">
        <w:t xml:space="preserve"> will be more accessible if his reflection </w:t>
      </w:r>
      <w:r w:rsidR="00BE2F17">
        <w:t>(</w:t>
      </w:r>
      <w:r w:rsidRPr="002008EE">
        <w:rPr>
          <w:i/>
          <w:iCs/>
        </w:rPr>
        <w:t>cogitatio</w:t>
      </w:r>
      <w:r w:rsidR="00BE2F17">
        <w:t>)</w:t>
      </w:r>
      <w:r w:rsidRPr="002008EE">
        <w:t xml:space="preserve"> retained it in his heart for one day and night (or more)</w:t>
      </w:r>
      <w:r>
        <w:t>,”</w:t>
      </w:r>
      <w:r w:rsidRPr="002008EE">
        <w:rPr>
          <w:rStyle w:val="FootnoteReference"/>
        </w:rPr>
        <w:footnoteReference w:id="298"/>
      </w:r>
      <w:r w:rsidRPr="001A50F1">
        <w:t xml:space="preserve"> a</w:t>
      </w:r>
      <w:r>
        <w:t>n</w:t>
      </w:r>
      <w:r w:rsidRPr="001A50F1">
        <w:t xml:space="preserve"> allusion to the notion that the </w:t>
      </w:r>
      <w:r>
        <w:t>interrogation</w:t>
      </w:r>
      <w:r w:rsidRPr="001A50F1">
        <w:t xml:space="preserve"> should not be impulsive, but rather the culmination of prolonged contemplation.</w:t>
      </w:r>
      <w:r w:rsidRPr="002008EE">
        <w:t xml:space="preserve"> </w:t>
      </w:r>
      <w:r w:rsidR="004F3F57">
        <w:t>H</w:t>
      </w:r>
      <w:r w:rsidRPr="001A50F1">
        <w:t xml:space="preserve">is assertion mirrors the </w:t>
      </w:r>
      <w:r>
        <w:t>previously</w:t>
      </w:r>
      <w:r w:rsidRPr="001A50F1">
        <w:t xml:space="preserve"> expounded concept in the </w:t>
      </w:r>
      <w:r w:rsidR="00F5427C">
        <w:rPr>
          <w:i/>
          <w:iCs/>
        </w:rPr>
        <w:t>Liber de</w:t>
      </w:r>
      <w:r w:rsidRPr="001A50F1">
        <w:rPr>
          <w:i/>
          <w:iCs/>
        </w:rPr>
        <w:t xml:space="preserve"> occultis</w:t>
      </w:r>
      <w:r w:rsidRPr="001A50F1">
        <w:t>, wherein the astrologer</w:t>
      </w:r>
      <w:r>
        <w:t>’</w:t>
      </w:r>
      <w:r w:rsidRPr="001A50F1">
        <w:t>s deviation could arise from the querent</w:t>
      </w:r>
      <w:r w:rsidR="00E34188">
        <w:t>’</w:t>
      </w:r>
      <w:r w:rsidRPr="001A50F1">
        <w:t xml:space="preserve">s lack of a precise inquiry. </w:t>
      </w:r>
      <w:r>
        <w:t>Furthermore, t</w:t>
      </w:r>
      <w:r w:rsidRPr="002008EE">
        <w:t xml:space="preserve">he </w:t>
      </w:r>
      <w:r w:rsidRPr="001A50F1">
        <w:rPr>
          <w:i/>
          <w:iCs/>
        </w:rPr>
        <w:t>De occultis</w:t>
      </w:r>
      <w:r w:rsidRPr="001A50F1">
        <w:t xml:space="preserve"> elucidates the correspondence between the celestial spheres and the </w:t>
      </w:r>
      <w:r>
        <w:t xml:space="preserve">matter of the </w:t>
      </w:r>
      <w:r w:rsidRPr="001A50F1">
        <w:t>query, expounding that:</w:t>
      </w:r>
      <w:r w:rsidRPr="002008EE">
        <w:t xml:space="preserve"> </w:t>
      </w:r>
      <w:r>
        <w:t>“</w:t>
      </w:r>
      <w:r w:rsidRPr="002008EE">
        <w:t xml:space="preserve">the circle [i.e., the zodiac] will be according to the intention of the one asking, and according </w:t>
      </w:r>
      <w:r w:rsidRPr="002008EE">
        <w:lastRenderedPageBreak/>
        <w:t>to the reflection of his heart.</w:t>
      </w:r>
      <w:r>
        <w:t>”</w:t>
      </w:r>
      <w:r w:rsidRPr="002008EE">
        <w:rPr>
          <w:rStyle w:val="FootnoteReference"/>
        </w:rPr>
        <w:footnoteReference w:id="299"/>
      </w:r>
      <w:r>
        <w:t xml:space="preserve"> </w:t>
      </w:r>
      <w:r w:rsidRPr="005E4287">
        <w:t>A parallel viewpoint attributed to Māshā’allāh, expounding the alignment between celestial orbs and the mental constructs within the querent</w:t>
      </w:r>
      <w:r>
        <w:t>’</w:t>
      </w:r>
      <w:r w:rsidRPr="005E4287">
        <w:t xml:space="preserve">s </w:t>
      </w:r>
      <w:r w:rsidR="0077109D" w:rsidRPr="0077109D">
        <w:t>soul</w:t>
      </w:r>
      <w:r w:rsidRPr="0077109D">
        <w:t>,</w:t>
      </w:r>
      <w:r w:rsidRPr="005E4287">
        <w:t xml:space="preserve"> surfaces in the </w:t>
      </w:r>
      <w:r w:rsidRPr="005E4287">
        <w:rPr>
          <w:i/>
          <w:iCs/>
        </w:rPr>
        <w:t>Liber novem iudicum</w:t>
      </w:r>
      <w:r w:rsidRPr="005E4287">
        <w:t xml:space="preserve"> (‘Book of the Nine Judges’), </w:t>
      </w:r>
      <w:r>
        <w:t xml:space="preserve">an astrological compilation dealing with interrogations and reporting the opinions of nine sages: </w:t>
      </w:r>
      <w:r w:rsidRPr="002B072B">
        <w:t>al-Kindī, ‘Umar ibn al-Farrukhān</w:t>
      </w:r>
      <w:r>
        <w:t>,</w:t>
      </w:r>
      <w:r w:rsidRPr="00FC3618">
        <w:t xml:space="preserve"> Sahl ibn Bishr</w:t>
      </w:r>
      <w:r>
        <w:t>,</w:t>
      </w:r>
      <w:r w:rsidRPr="00FC3618">
        <w:t xml:space="preserve"> Abū ‘Alī al-Khayyāṭ</w:t>
      </w:r>
      <w:r>
        <w:t xml:space="preserve">, </w:t>
      </w:r>
      <w:r w:rsidRPr="002008EE">
        <w:t>Māshā’allāh</w:t>
      </w:r>
      <w:r>
        <w:t xml:space="preserve">, Dorotheus, </w:t>
      </w:r>
      <w:r w:rsidRPr="00FC3618">
        <w:t>Jirjis</w:t>
      </w:r>
      <w:r>
        <w:t xml:space="preserve">, Aristotle and </w:t>
      </w:r>
      <w:r w:rsidRPr="00FC3618">
        <w:t>Abū Ma</w:t>
      </w:r>
      <w:r w:rsidR="003115B3">
        <w:t>‘</w:t>
      </w:r>
      <w:r w:rsidRPr="00FC3618">
        <w:t>sha</w:t>
      </w:r>
      <w:r>
        <w:t>r.</w:t>
      </w:r>
      <w:r>
        <w:rPr>
          <w:rStyle w:val="FootnoteReference"/>
        </w:rPr>
        <w:footnoteReference w:id="300"/>
      </w:r>
      <w:r>
        <w:t xml:space="preserve"> The passage explains:</w:t>
      </w:r>
    </w:p>
    <w:p w14:paraId="04EB9C54" w14:textId="77777777" w:rsidR="00244FB6" w:rsidRDefault="00244FB6" w:rsidP="00244FB6"/>
    <w:p w14:paraId="5DD8F6BD" w14:textId="35B568AC" w:rsidR="00244FB6" w:rsidRPr="002B072B" w:rsidRDefault="00244FB6" w:rsidP="00244FB6">
      <w:pPr>
        <w:ind w:left="567" w:firstLine="0"/>
        <w:rPr>
          <w:sz w:val="20"/>
          <w:szCs w:val="20"/>
        </w:rPr>
      </w:pPr>
      <w:r w:rsidRPr="00280322">
        <w:rPr>
          <w:sz w:val="20"/>
          <w:szCs w:val="20"/>
        </w:rPr>
        <w:t>For the divine power and the effective power of the celestial circle seem to be related in a certain similitude under the hour of the question, to the intelligence and the mind of the querents. The movement of the circle</w:t>
      </w:r>
      <w:r w:rsidR="003115B3">
        <w:rPr>
          <w:sz w:val="20"/>
          <w:szCs w:val="20"/>
        </w:rPr>
        <w:t xml:space="preserve"> at any time</w:t>
      </w:r>
      <w:r w:rsidRPr="00280322">
        <w:rPr>
          <w:sz w:val="20"/>
          <w:szCs w:val="20"/>
        </w:rPr>
        <w:t xml:space="preserve"> compels the querent to ask a question. For, the human condition, also, does not cease to </w:t>
      </w:r>
      <w:r w:rsidRPr="006A0401">
        <w:rPr>
          <w:sz w:val="20"/>
          <w:szCs w:val="20"/>
        </w:rPr>
        <w:t>follow</w:t>
      </w:r>
      <w:r w:rsidRPr="00280322">
        <w:rPr>
          <w:sz w:val="20"/>
          <w:szCs w:val="20"/>
        </w:rPr>
        <w:t xml:space="preserve"> the </w:t>
      </w:r>
      <w:r w:rsidR="003D5791">
        <w:rPr>
          <w:sz w:val="20"/>
          <w:szCs w:val="20"/>
        </w:rPr>
        <w:t>a</w:t>
      </w:r>
      <w:r w:rsidR="00040EF8" w:rsidRPr="00280322">
        <w:rPr>
          <w:sz w:val="20"/>
          <w:szCs w:val="20"/>
        </w:rPr>
        <w:t>ffects</w:t>
      </w:r>
      <w:r w:rsidRPr="00280322">
        <w:rPr>
          <w:sz w:val="20"/>
          <w:szCs w:val="20"/>
        </w:rPr>
        <w:t xml:space="preserve"> of the both the celestial stars and circles, as if by a bond of a certain love</w:t>
      </w:r>
      <w:r w:rsidRPr="002B072B">
        <w:rPr>
          <w:sz w:val="20"/>
          <w:szCs w:val="20"/>
        </w:rPr>
        <w:t>.</w:t>
      </w:r>
      <w:r w:rsidRPr="002B072B">
        <w:rPr>
          <w:rStyle w:val="FootnoteReference"/>
          <w:sz w:val="20"/>
          <w:szCs w:val="20"/>
        </w:rPr>
        <w:footnoteReference w:id="301"/>
      </w:r>
    </w:p>
    <w:p w14:paraId="677EA1A6" w14:textId="77777777" w:rsidR="00244FB6" w:rsidRDefault="00244FB6" w:rsidP="00244FB6">
      <w:pPr>
        <w:ind w:firstLine="0"/>
      </w:pPr>
    </w:p>
    <w:p w14:paraId="000C5A37" w14:textId="34AD0ACC" w:rsidR="00244FB6" w:rsidRPr="002008EE" w:rsidRDefault="00244FB6" w:rsidP="00244FB6">
      <w:pPr>
        <w:ind w:firstLine="0"/>
      </w:pPr>
      <w:r>
        <w:t xml:space="preserve">This assertion bears a notable resemblance to the passage in the </w:t>
      </w:r>
      <w:r w:rsidRPr="00643825">
        <w:rPr>
          <w:i/>
          <w:iCs/>
        </w:rPr>
        <w:t>Estimaverunt Indi</w:t>
      </w:r>
      <w:r>
        <w:t xml:space="preserve"> analysed in the preceding chapter, pertaining to the correspondence between celestial orbs, geomantic figures and the querent’s intention.</w:t>
      </w:r>
      <w:r>
        <w:rPr>
          <w:rStyle w:val="FootnoteReference"/>
        </w:rPr>
        <w:footnoteReference w:id="302"/>
      </w:r>
      <w:r>
        <w:t xml:space="preserve"> A</w:t>
      </w:r>
      <w:r w:rsidRPr="002008EE">
        <w:t xml:space="preserve">nother text </w:t>
      </w:r>
      <w:r>
        <w:t>attributed to</w:t>
      </w:r>
      <w:r w:rsidRPr="002008EE">
        <w:t xml:space="preserve"> Māshā’allāh’s, the </w:t>
      </w:r>
      <w:r w:rsidRPr="002008EE">
        <w:rPr>
          <w:i/>
          <w:iCs/>
        </w:rPr>
        <w:t>De cogitationibus</w:t>
      </w:r>
      <w:r w:rsidRPr="002008EE">
        <w:t xml:space="preserve"> (On </w:t>
      </w:r>
      <w:r>
        <w:t>Thoughts</w:t>
      </w:r>
      <w:r w:rsidRPr="002008EE">
        <w:t>)</w:t>
      </w:r>
      <w:r>
        <w:t>,</w:t>
      </w:r>
      <w:r w:rsidRPr="002008EE">
        <w:t xml:space="preserve"> </w:t>
      </w:r>
      <w:r w:rsidRPr="00E85D6C">
        <w:t xml:space="preserve">conveys </w:t>
      </w:r>
      <w:r w:rsidR="003115B3">
        <w:t>similar</w:t>
      </w:r>
      <w:r w:rsidRPr="00E85D6C">
        <w:t xml:space="preserve"> thematic elements</w:t>
      </w:r>
      <w:r w:rsidRPr="002008EE">
        <w:t>.</w:t>
      </w:r>
      <w:r w:rsidRPr="00E85D6C">
        <w:t xml:space="preserve"> This concise treatise delves into interrogative practices and has been transmitted under varied titles, including </w:t>
      </w:r>
      <w:r w:rsidRPr="00171FA4">
        <w:rPr>
          <w:i/>
          <w:iCs/>
        </w:rPr>
        <w:t>De interpretatione cogitationis</w:t>
      </w:r>
      <w:r w:rsidRPr="00171FA4">
        <w:t xml:space="preserve">, </w:t>
      </w:r>
      <w:r w:rsidRPr="00171FA4">
        <w:rPr>
          <w:i/>
          <w:iCs/>
        </w:rPr>
        <w:t>De intentione</w:t>
      </w:r>
      <w:r w:rsidRPr="00171FA4">
        <w:t xml:space="preserve">, and </w:t>
      </w:r>
      <w:r w:rsidRPr="00171FA4">
        <w:rPr>
          <w:i/>
          <w:iCs/>
        </w:rPr>
        <w:t>De cogitationibus ab intentione</w:t>
      </w:r>
      <w:r w:rsidRPr="00171FA4">
        <w:t>.</w:t>
      </w:r>
      <w:r>
        <w:rPr>
          <w:rStyle w:val="FootnoteReference"/>
        </w:rPr>
        <w:footnoteReference w:id="303"/>
      </w:r>
      <w:r w:rsidRPr="00171FA4">
        <w:t xml:space="preserve"> </w:t>
      </w:r>
      <w:r>
        <w:t>The text</w:t>
      </w:r>
      <w:r w:rsidRPr="002008EE">
        <w:t xml:space="preserve"> begins </w:t>
      </w:r>
      <w:r w:rsidRPr="00E85D6C">
        <w:t>by delineating three modes of inquiry</w:t>
      </w:r>
      <w:r w:rsidRPr="002008EE">
        <w:t>:</w:t>
      </w:r>
      <w:r>
        <w:t xml:space="preserve"> “first, so that you may know the matter about </w:t>
      </w:r>
      <w:r>
        <w:lastRenderedPageBreak/>
        <w:t xml:space="preserve">which he asks; second, what cause impelled him; third, so that you may know whether the thing &lt;he asks about&gt; is accomplished or not, and what end </w:t>
      </w:r>
      <w:r w:rsidR="00FD036E">
        <w:t xml:space="preserve">it </w:t>
      </w:r>
      <w:r>
        <w:t>will have</w:t>
      </w:r>
      <w:r w:rsidRPr="002008EE">
        <w:t>.</w:t>
      </w:r>
      <w:r>
        <w:t>”</w:t>
      </w:r>
      <w:r w:rsidRPr="002008EE">
        <w:rPr>
          <w:rStyle w:val="FootnoteReference"/>
        </w:rPr>
        <w:footnoteReference w:id="304"/>
      </w:r>
      <w:r w:rsidRPr="002008EE">
        <w:t xml:space="preserve"> </w:t>
      </w:r>
      <w:r>
        <w:t>Subsequently, t</w:t>
      </w:r>
      <w:r w:rsidRPr="002008EE">
        <w:t>he text</w:t>
      </w:r>
      <w:r w:rsidRPr="00E85D6C">
        <w:t xml:space="preserve"> navigates diverse methodologies for accessing insights concerning the inquirer</w:t>
      </w:r>
      <w:r>
        <w:t>’</w:t>
      </w:r>
      <w:r w:rsidRPr="00E85D6C">
        <w:t>s</w:t>
      </w:r>
      <w:r>
        <w:t xml:space="preserve"> question. Furthermore, it revisits the</w:t>
      </w:r>
      <w:r w:rsidRPr="00E85D6C">
        <w:t xml:space="preserve"> notion, previously espoused in the </w:t>
      </w:r>
      <w:r w:rsidRPr="00E85D6C">
        <w:rPr>
          <w:i/>
          <w:iCs/>
        </w:rPr>
        <w:t>Liber de occultis</w:t>
      </w:r>
      <w:r w:rsidRPr="00E85D6C">
        <w:t>, postulating that an intention</w:t>
      </w:r>
      <w:r>
        <w:t>’</w:t>
      </w:r>
      <w:r w:rsidRPr="00E85D6C">
        <w:t>s enduring residence within the heart</w:t>
      </w:r>
      <w:r w:rsidRPr="002008EE">
        <w:t xml:space="preserve"> </w:t>
      </w:r>
      <w:r>
        <w:t>leads to its</w:t>
      </w:r>
      <w:r w:rsidRPr="002008EE">
        <w:t xml:space="preserve"> </w:t>
      </w:r>
      <w:r>
        <w:t>veracity</w:t>
      </w:r>
      <w:r w:rsidRPr="002008EE">
        <w:t>.</w:t>
      </w:r>
      <w:r w:rsidRPr="002008EE">
        <w:rPr>
          <w:rStyle w:val="FootnoteReference"/>
        </w:rPr>
        <w:footnoteReference w:id="305"/>
      </w:r>
      <w:r w:rsidRPr="002008EE">
        <w:t xml:space="preserve"> </w:t>
      </w:r>
    </w:p>
    <w:p w14:paraId="74ED9B96" w14:textId="0A46B74D" w:rsidR="00244FB6" w:rsidRPr="006706DB" w:rsidRDefault="00244FB6" w:rsidP="00244FB6">
      <w:pPr>
        <w:ind w:firstLine="0"/>
      </w:pPr>
      <w:r>
        <w:tab/>
      </w:r>
      <w:r w:rsidRPr="001939E7">
        <w:t>The</w:t>
      </w:r>
      <w:r>
        <w:t xml:space="preserve"> </w:t>
      </w:r>
      <w:r w:rsidRPr="00FC3618">
        <w:rPr>
          <w:i/>
          <w:iCs/>
        </w:rPr>
        <w:t>Liber de occultis</w:t>
      </w:r>
      <w:r>
        <w:t xml:space="preserve"> and the </w:t>
      </w:r>
      <w:r w:rsidRPr="00FC3618">
        <w:rPr>
          <w:i/>
          <w:iCs/>
        </w:rPr>
        <w:t>De cogitationibus</w:t>
      </w:r>
      <w:r>
        <w:t xml:space="preserve"> by</w:t>
      </w:r>
      <w:r w:rsidRPr="001939E7">
        <w:t xml:space="preserve"> Māshā’allāh</w:t>
      </w:r>
      <w:r>
        <w:t xml:space="preserve">, </w:t>
      </w:r>
      <w:r w:rsidRPr="001939E7">
        <w:t xml:space="preserve">together with </w:t>
      </w:r>
      <w:r>
        <w:t xml:space="preserve">the </w:t>
      </w:r>
      <w:r w:rsidRPr="001939E7">
        <w:rPr>
          <w:i/>
          <w:iCs/>
        </w:rPr>
        <w:t>Iudicia</w:t>
      </w:r>
      <w:r w:rsidRPr="001939E7">
        <w:t xml:space="preserve"> </w:t>
      </w:r>
      <w:r>
        <w:t xml:space="preserve">of Pseudo-Ptolemy, </w:t>
      </w:r>
      <w:r w:rsidRPr="001939E7">
        <w:t>are among the</w:t>
      </w:r>
      <w:r>
        <w:t xml:space="preserve"> texts </w:t>
      </w:r>
      <w:r w:rsidRPr="001939E7">
        <w:t xml:space="preserve">on </w:t>
      </w:r>
      <w:r>
        <w:t xml:space="preserve">astrological </w:t>
      </w:r>
      <w:r w:rsidRPr="001939E7">
        <w:t>interrogations</w:t>
      </w:r>
      <w:r>
        <w:t xml:space="preserve"> </w:t>
      </w:r>
      <w:r w:rsidRPr="003D2371">
        <w:t>referenced within the</w:t>
      </w:r>
      <w:r w:rsidRPr="001939E7">
        <w:t xml:space="preserve"> </w:t>
      </w:r>
      <w:r w:rsidRPr="001939E7">
        <w:rPr>
          <w:i/>
          <w:iCs/>
        </w:rPr>
        <w:t>Speculum Astronomiae</w:t>
      </w:r>
      <w:r>
        <w:rPr>
          <w:i/>
          <w:iCs/>
        </w:rPr>
        <w:t>,</w:t>
      </w:r>
      <w:r w:rsidRPr="001939E7">
        <w:t xml:space="preserve"> attributed to Albert the Great.</w:t>
      </w:r>
      <w:r w:rsidRPr="001939E7">
        <w:rPr>
          <w:rStyle w:val="FootnoteReference"/>
        </w:rPr>
        <w:footnoteReference w:id="306"/>
      </w:r>
      <w:r w:rsidRPr="001939E7">
        <w:t xml:space="preserve"> The </w:t>
      </w:r>
      <w:r>
        <w:t>primary objective</w:t>
      </w:r>
      <w:r w:rsidRPr="001939E7">
        <w:t xml:space="preserve"> of this s</w:t>
      </w:r>
      <w:r>
        <w:t>uccinct</w:t>
      </w:r>
      <w:r w:rsidRPr="001939E7">
        <w:t xml:space="preserve"> treatise was to </w:t>
      </w:r>
      <w:r>
        <w:t>furnish</w:t>
      </w:r>
      <w:r w:rsidRPr="001939E7">
        <w:t xml:space="preserve"> a guide </w:t>
      </w:r>
      <w:r w:rsidRPr="00326D12">
        <w:t>for navigating the realm of astronomical and various judicial astrological treatises, distinguishing those</w:t>
      </w:r>
      <w:r>
        <w:t xml:space="preserve"> that </w:t>
      </w:r>
      <w:r w:rsidRPr="001939E7">
        <w:t>were licit</w:t>
      </w:r>
      <w:r w:rsidR="00FC0143">
        <w:t xml:space="preserve"> from those that</w:t>
      </w:r>
      <w:r w:rsidRPr="001939E7">
        <w:t xml:space="preserve"> were illicit.</w:t>
      </w:r>
      <w:r w:rsidRPr="001939E7">
        <w:rPr>
          <w:rStyle w:val="FootnoteReference"/>
        </w:rPr>
        <w:footnoteReference w:id="307"/>
      </w:r>
      <w:r w:rsidRPr="00326D12">
        <w:t xml:space="preserve"> Within the ninth chapter, dedicated to astrological interrogations,</w:t>
      </w:r>
      <w:r w:rsidRPr="001939E7">
        <w:t xml:space="preserve"> </w:t>
      </w:r>
      <w:r w:rsidRPr="002E4FC0">
        <w:t xml:space="preserve">the </w:t>
      </w:r>
      <w:r w:rsidRPr="002E4FC0">
        <w:rPr>
          <w:i/>
          <w:iCs/>
        </w:rPr>
        <w:t>Speculum Astronomiae</w:t>
      </w:r>
      <w:r w:rsidRPr="002E4FC0">
        <w:t xml:space="preserve"> </w:t>
      </w:r>
      <w:r w:rsidR="002C0114">
        <w:t>discusses</w:t>
      </w:r>
      <w:r w:rsidRPr="002E4FC0">
        <w:t xml:space="preserve"> how “to make judgements concerning that thing about which the interrogation has been made with a radical intention (</w:t>
      </w:r>
      <w:r w:rsidRPr="002E4FC0">
        <w:rPr>
          <w:i/>
          <w:iCs/>
        </w:rPr>
        <w:t>cum intentione radicali</w:t>
      </w:r>
      <w:r w:rsidRPr="002E4FC0">
        <w:t xml:space="preserve">) – </w:t>
      </w:r>
      <w:r w:rsidR="006B61F7">
        <w:t>&lt;</w:t>
      </w:r>
      <w:r w:rsidRPr="002E4FC0">
        <w:t>to know</w:t>
      </w:r>
      <w:r w:rsidR="006B61F7">
        <w:t>&gt;</w:t>
      </w:r>
      <w:r w:rsidRPr="002E4FC0">
        <w:t xml:space="preserve"> namely, whether it will come to pass or not.</w:t>
      </w:r>
      <w:r>
        <w:t>”</w:t>
      </w:r>
      <w:r w:rsidRPr="002E4FC0">
        <w:rPr>
          <w:rStyle w:val="FootnoteReference"/>
        </w:rPr>
        <w:footnoteReference w:id="308"/>
      </w:r>
      <w:r w:rsidRPr="002E4FC0">
        <w:t xml:space="preserve"> </w:t>
      </w:r>
      <w:r w:rsidRPr="00046636">
        <w:t>In congruence with the sources it draws from, the text furnishes the reader with methodologies revolving around the consideration of</w:t>
      </w:r>
      <w:r>
        <w:t xml:space="preserve"> </w:t>
      </w:r>
      <w:r w:rsidRPr="002E4FC0">
        <w:t>the lord of the interrogation,</w:t>
      </w:r>
      <w:r w:rsidRPr="00046636">
        <w:t xml:space="preserve"> signifying the ruling planet governing the ascendant sign</w:t>
      </w:r>
      <w:r w:rsidRPr="002E4FC0">
        <w:t>.</w:t>
      </w:r>
      <w:r w:rsidRPr="00CB7BD9">
        <w:rPr>
          <w:color w:val="7030A0"/>
        </w:rPr>
        <w:t xml:space="preserve"> </w:t>
      </w:r>
      <w:r w:rsidRPr="002D107E">
        <w:t xml:space="preserve">In line </w:t>
      </w:r>
      <w:r w:rsidRPr="002D107E">
        <w:lastRenderedPageBreak/>
        <w:t xml:space="preserve">with this, the </w:t>
      </w:r>
      <w:r w:rsidRPr="002D107E">
        <w:rPr>
          <w:i/>
          <w:iCs/>
        </w:rPr>
        <w:t>Speculum Astronomiae</w:t>
      </w:r>
      <w:r w:rsidRPr="002D107E">
        <w:t xml:space="preserve"> further advances the notion that astrological interrogations hold the potential to unveil the </w:t>
      </w:r>
      <w:r>
        <w:t>cogitations</w:t>
      </w:r>
      <w:r w:rsidRPr="002D107E">
        <w:t xml:space="preserve"> of the inquirer, rooted in the conviction that the alignment of the zodiacal circle during the inquiry synchroni</w:t>
      </w:r>
      <w:r>
        <w:t>s</w:t>
      </w:r>
      <w:r w:rsidRPr="002D107E">
        <w:t>es with the inquirer</w:t>
      </w:r>
      <w:r>
        <w:t>’</w:t>
      </w:r>
      <w:r w:rsidRPr="002D107E">
        <w:t xml:space="preserve">s </w:t>
      </w:r>
      <w:r w:rsidR="00DA77EF" w:rsidRPr="002D107E">
        <w:t xml:space="preserve">intention </w:t>
      </w:r>
      <w:r w:rsidR="00DA77EF">
        <w:t>(</w:t>
      </w:r>
      <w:r w:rsidRPr="00C63F3C">
        <w:rPr>
          <w:i/>
          <w:iCs/>
        </w:rPr>
        <w:t>circulus sit secundum intentionem interrogantis in eadem hora</w:t>
      </w:r>
      <w:r w:rsidRPr="00C63F3C">
        <w:t>).</w:t>
      </w:r>
      <w:r w:rsidRPr="00C63F3C">
        <w:rPr>
          <w:rStyle w:val="FootnoteReference"/>
        </w:rPr>
        <w:footnoteReference w:id="309"/>
      </w:r>
      <w:r w:rsidRPr="002D107E">
        <w:t xml:space="preserve"> </w:t>
      </w:r>
      <w:r>
        <w:t>T</w:t>
      </w:r>
      <w:r w:rsidRPr="002D107E">
        <w:t>his concise yet pivotal chapter encapsulates two cardinal</w:t>
      </w:r>
      <w:r>
        <w:t xml:space="preserve"> doctrines</w:t>
      </w:r>
      <w:r w:rsidRPr="002D107E">
        <w:t>. The first underscores the significance of the inquirer</w:t>
      </w:r>
      <w:r>
        <w:t>’</w:t>
      </w:r>
      <w:r w:rsidRPr="002D107E">
        <w:t xml:space="preserve">s </w:t>
      </w:r>
      <w:r w:rsidR="00074EF6" w:rsidRPr="00074EF6">
        <w:t>mental</w:t>
      </w:r>
      <w:r w:rsidRPr="00074EF6">
        <w:t xml:space="preserve"> disposition</w:t>
      </w:r>
      <w:r w:rsidRPr="002D107E">
        <w:t xml:space="preserve"> when consulting the astrologer. As emphasi</w:t>
      </w:r>
      <w:r w:rsidR="00074EF6">
        <w:t>s</w:t>
      </w:r>
      <w:r w:rsidRPr="002D107E">
        <w:t xml:space="preserve">ed in the </w:t>
      </w:r>
      <w:r w:rsidRPr="002D107E">
        <w:rPr>
          <w:i/>
          <w:iCs/>
        </w:rPr>
        <w:t>Liber de occultis</w:t>
      </w:r>
      <w:r w:rsidRPr="002D107E">
        <w:t>, the astrologer</w:t>
      </w:r>
      <w:r>
        <w:t>’</w:t>
      </w:r>
      <w:r w:rsidRPr="002D107E">
        <w:t>s susceptibility to err is exacerbated when confronted by an individual grappling with nebulous queries. To safeguard the authenticity of the inquiry, the examined texts assert that the query must have undergone a period of internal incubation within the inquirer</w:t>
      </w:r>
      <w:r>
        <w:t>’</w:t>
      </w:r>
      <w:r w:rsidRPr="002D107E">
        <w:t xml:space="preserve">s </w:t>
      </w:r>
      <w:r w:rsidR="00074EF6" w:rsidRPr="00074EF6">
        <w:t>soul</w:t>
      </w:r>
      <w:r w:rsidRPr="002D107E">
        <w:t xml:space="preserve">, spanning at least a full day and night. Echoing this paradigm, the </w:t>
      </w:r>
      <w:r w:rsidRPr="005D1470">
        <w:rPr>
          <w:i/>
          <w:iCs/>
        </w:rPr>
        <w:t>Speculum Astronomiae</w:t>
      </w:r>
      <w:r w:rsidRPr="002D107E">
        <w:t xml:space="preserve"> admonishes the inquirer to approach the astrologer with a resolute </w:t>
      </w:r>
      <w:r>
        <w:t>‘radical intention’ (</w:t>
      </w:r>
      <w:r w:rsidRPr="005D6661">
        <w:rPr>
          <w:i/>
          <w:iCs/>
        </w:rPr>
        <w:t>cum intentione radicali</w:t>
      </w:r>
      <w:r>
        <w:t>).</w:t>
      </w:r>
      <w:r w:rsidRPr="006706DB">
        <w:t xml:space="preserve"> </w:t>
      </w:r>
      <w:r w:rsidRPr="005D1470">
        <w:t xml:space="preserve">The second </w:t>
      </w:r>
      <w:r>
        <w:t>doctrine</w:t>
      </w:r>
      <w:r w:rsidRPr="005D1470">
        <w:t xml:space="preserve"> pertains to the alignment between the intention conceived within the inquirer</w:t>
      </w:r>
      <w:r>
        <w:t>’</w:t>
      </w:r>
      <w:r w:rsidRPr="005D1470">
        <w:t>s heart and the celestial configuration during the moment of inquiry</w:t>
      </w:r>
      <w:r>
        <w:t xml:space="preserve"> – a</w:t>
      </w:r>
      <w:r w:rsidRPr="005D1470">
        <w:t xml:space="preserve"> concept also expounded in Māshā’allāh's </w:t>
      </w:r>
      <w:r>
        <w:t>works</w:t>
      </w:r>
      <w:r w:rsidRPr="005D1470">
        <w:t>.</w:t>
      </w:r>
      <w:r>
        <w:t xml:space="preserve"> </w:t>
      </w:r>
      <w:r w:rsidRPr="005D1470">
        <w:t>Analogous to the geomantic discourse inspected</w:t>
      </w:r>
      <w:r>
        <w:t xml:space="preserve"> previously in this </w:t>
      </w:r>
      <w:r w:rsidRPr="005D1470">
        <w:t xml:space="preserve">chapter, the </w:t>
      </w:r>
      <w:r w:rsidRPr="005D1470">
        <w:rPr>
          <w:i/>
          <w:iCs/>
        </w:rPr>
        <w:t>Speculum Astronomiae</w:t>
      </w:r>
      <w:r w:rsidRPr="005D1470">
        <w:t xml:space="preserve"> </w:t>
      </w:r>
      <w:r>
        <w:t>highlights</w:t>
      </w:r>
      <w:r w:rsidRPr="005D1470">
        <w:t xml:space="preserve"> the profound nexus between astral causality and human intentions, suggesting that celestial constellations possess the capacity to provoke queries or desires within the human </w:t>
      </w:r>
      <w:r w:rsidR="00057713" w:rsidRPr="00057713">
        <w:t>soul</w:t>
      </w:r>
      <w:r w:rsidRPr="00057713">
        <w:t>.</w:t>
      </w:r>
    </w:p>
    <w:p w14:paraId="5A76BEC1" w14:textId="77777777" w:rsidR="00244FB6" w:rsidRPr="008421C4" w:rsidRDefault="00244FB6" w:rsidP="00244FB6">
      <w:r>
        <w:t xml:space="preserve">An additional </w:t>
      </w:r>
      <w:r w:rsidRPr="008421C4">
        <w:t xml:space="preserve">text </w:t>
      </w:r>
      <w:r>
        <w:t>grappling</w:t>
      </w:r>
      <w:r w:rsidRPr="008421C4">
        <w:t xml:space="preserve"> with similar </w:t>
      </w:r>
      <w:r>
        <w:t>themes</w:t>
      </w:r>
      <w:r w:rsidRPr="008421C4">
        <w:t xml:space="preserve"> is the </w:t>
      </w:r>
      <w:r w:rsidRPr="008421C4">
        <w:rPr>
          <w:i/>
          <w:iCs/>
        </w:rPr>
        <w:t>Epistola Argafalau ad Alexandrum</w:t>
      </w:r>
      <w:r w:rsidRPr="008421C4">
        <w:t xml:space="preserve">, belonging to the tenth-century </w:t>
      </w:r>
      <w:r w:rsidRPr="008421C4">
        <w:rPr>
          <w:i/>
          <w:iCs/>
        </w:rPr>
        <w:t>Alchandreana Corpus</w:t>
      </w:r>
      <w:r>
        <w:t>,</w:t>
      </w:r>
      <w:r w:rsidRPr="004A7907">
        <w:t xml:space="preserve"> an early collection of Latin astrological works informed by Arabic sources</w:t>
      </w:r>
      <w:r w:rsidRPr="008421C4">
        <w:t>.</w:t>
      </w:r>
      <w:r w:rsidRPr="008421C4">
        <w:rPr>
          <w:rStyle w:val="FootnoteReference"/>
        </w:rPr>
        <w:footnoteReference w:id="310"/>
      </w:r>
      <w:r w:rsidRPr="008421C4">
        <w:t xml:space="preserve"> </w:t>
      </w:r>
      <w:r w:rsidRPr="004A7907">
        <w:t>Commencing with an epistolary salutation, the missive is directed</w:t>
      </w:r>
      <w:r>
        <w:t>:</w:t>
      </w:r>
    </w:p>
    <w:p w14:paraId="1880E3EF" w14:textId="77777777" w:rsidR="00244FB6" w:rsidRPr="00CB7BD9" w:rsidRDefault="00244FB6" w:rsidP="00244FB6">
      <w:pPr>
        <w:rPr>
          <w:color w:val="7030A0"/>
        </w:rPr>
      </w:pPr>
    </w:p>
    <w:p w14:paraId="23B4F7EE" w14:textId="1E3B0559" w:rsidR="00244FB6" w:rsidRDefault="00C77D14" w:rsidP="004F1A27">
      <w:pPr>
        <w:ind w:left="567" w:firstLine="0"/>
        <w:rPr>
          <w:sz w:val="20"/>
          <w:szCs w:val="20"/>
        </w:rPr>
      </w:pPr>
      <w:r w:rsidRPr="00A044DB">
        <w:rPr>
          <w:sz w:val="20"/>
          <w:szCs w:val="20"/>
        </w:rPr>
        <w:lastRenderedPageBreak/>
        <w:t xml:space="preserve">To the King of </w:t>
      </w:r>
      <w:r>
        <w:rPr>
          <w:sz w:val="20"/>
          <w:szCs w:val="20"/>
        </w:rPr>
        <w:t xml:space="preserve">the </w:t>
      </w:r>
      <w:r w:rsidRPr="00A044DB">
        <w:rPr>
          <w:sz w:val="20"/>
          <w:szCs w:val="20"/>
        </w:rPr>
        <w:t>Macedon</w:t>
      </w:r>
      <w:r>
        <w:rPr>
          <w:sz w:val="20"/>
          <w:szCs w:val="20"/>
        </w:rPr>
        <w:t>ians</w:t>
      </w:r>
      <w:r w:rsidRPr="00A044DB">
        <w:rPr>
          <w:sz w:val="20"/>
          <w:szCs w:val="20"/>
        </w:rPr>
        <w:t xml:space="preserve">, Alexander, the astronomer and the most </w:t>
      </w:r>
      <w:r>
        <w:rPr>
          <w:sz w:val="20"/>
          <w:szCs w:val="20"/>
        </w:rPr>
        <w:t>accomplished in</w:t>
      </w:r>
      <w:r w:rsidRPr="00A044DB">
        <w:rPr>
          <w:sz w:val="20"/>
          <w:szCs w:val="20"/>
        </w:rPr>
        <w:t xml:space="preserve"> all philosophy, Argafalau, </w:t>
      </w:r>
      <w:r>
        <w:rPr>
          <w:sz w:val="20"/>
          <w:szCs w:val="20"/>
        </w:rPr>
        <w:t>by condition his</w:t>
      </w:r>
      <w:r w:rsidRPr="00A044DB">
        <w:rPr>
          <w:sz w:val="20"/>
          <w:szCs w:val="20"/>
        </w:rPr>
        <w:t xml:space="preserve"> slave</w:t>
      </w:r>
      <w:r>
        <w:rPr>
          <w:sz w:val="20"/>
          <w:szCs w:val="20"/>
        </w:rPr>
        <w:t>, by nation a</w:t>
      </w:r>
      <w:r w:rsidRPr="00A044DB">
        <w:rPr>
          <w:sz w:val="20"/>
          <w:szCs w:val="20"/>
        </w:rPr>
        <w:t xml:space="preserve"> freeborn C</w:t>
      </w:r>
      <w:r>
        <w:rPr>
          <w:sz w:val="20"/>
          <w:szCs w:val="20"/>
        </w:rPr>
        <w:t>h</w:t>
      </w:r>
      <w:r w:rsidRPr="00A044DB">
        <w:rPr>
          <w:sz w:val="20"/>
          <w:szCs w:val="20"/>
        </w:rPr>
        <w:t xml:space="preserve">aldean, </w:t>
      </w:r>
      <w:r>
        <w:rPr>
          <w:sz w:val="20"/>
          <w:szCs w:val="20"/>
        </w:rPr>
        <w:t xml:space="preserve">by profession an astrologer, </w:t>
      </w:r>
      <w:r w:rsidRPr="00A044DB">
        <w:rPr>
          <w:sz w:val="20"/>
          <w:szCs w:val="20"/>
        </w:rPr>
        <w:t>second only to hi</w:t>
      </w:r>
      <w:r>
        <w:rPr>
          <w:sz w:val="20"/>
          <w:szCs w:val="20"/>
        </w:rPr>
        <w:t>m</w:t>
      </w:r>
      <w:r w:rsidRPr="00A044DB">
        <w:rPr>
          <w:sz w:val="20"/>
          <w:szCs w:val="20"/>
        </w:rPr>
        <w:t xml:space="preserve"> </w:t>
      </w:r>
      <w:r>
        <w:rPr>
          <w:sz w:val="20"/>
          <w:szCs w:val="20"/>
        </w:rPr>
        <w:t>(Alexander)</w:t>
      </w:r>
      <w:r w:rsidRPr="00A044DB">
        <w:rPr>
          <w:sz w:val="20"/>
          <w:szCs w:val="20"/>
        </w:rPr>
        <w:t xml:space="preserve">, </w:t>
      </w:r>
      <w:r>
        <w:rPr>
          <w:sz w:val="20"/>
          <w:szCs w:val="20"/>
        </w:rPr>
        <w:t xml:space="preserve">(gives) </w:t>
      </w:r>
      <w:r w:rsidRPr="00A044DB">
        <w:rPr>
          <w:sz w:val="20"/>
          <w:szCs w:val="20"/>
        </w:rPr>
        <w:t>his art</w:t>
      </w:r>
      <w:r>
        <w:rPr>
          <w:sz w:val="20"/>
          <w:szCs w:val="20"/>
        </w:rPr>
        <w:t>,</w:t>
      </w:r>
      <w:r w:rsidRPr="00A044DB">
        <w:rPr>
          <w:sz w:val="20"/>
          <w:szCs w:val="20"/>
        </w:rPr>
        <w:t xml:space="preserve"> </w:t>
      </w:r>
      <w:r>
        <w:rPr>
          <w:sz w:val="20"/>
          <w:szCs w:val="20"/>
        </w:rPr>
        <w:t xml:space="preserve">(than) which he has nothing </w:t>
      </w:r>
      <w:r w:rsidRPr="00A044DB">
        <w:rPr>
          <w:sz w:val="20"/>
          <w:szCs w:val="20"/>
        </w:rPr>
        <w:t xml:space="preserve">more precious. You say that you read in a certain work of the philosopher Plato, which is entitled </w:t>
      </w:r>
      <w:r>
        <w:rPr>
          <w:sz w:val="20"/>
          <w:szCs w:val="20"/>
        </w:rPr>
        <w:t>‘T</w:t>
      </w:r>
      <w:r w:rsidRPr="00A044DB">
        <w:rPr>
          <w:sz w:val="20"/>
          <w:szCs w:val="20"/>
        </w:rPr>
        <w:t xml:space="preserve">he </w:t>
      </w:r>
      <w:r>
        <w:rPr>
          <w:sz w:val="20"/>
          <w:szCs w:val="20"/>
        </w:rPr>
        <w:t>completion of the whole work’</w:t>
      </w:r>
      <w:r w:rsidRPr="00A044DB">
        <w:rPr>
          <w:sz w:val="20"/>
          <w:szCs w:val="20"/>
        </w:rPr>
        <w:t xml:space="preserve">, that the philosopher himself was </w:t>
      </w:r>
      <w:r w:rsidRPr="00C11E48">
        <w:rPr>
          <w:sz w:val="20"/>
          <w:szCs w:val="20"/>
        </w:rPr>
        <w:t>able to respond to the unspoken thought of men;</w:t>
      </w:r>
      <w:r>
        <w:rPr>
          <w:sz w:val="20"/>
          <w:szCs w:val="20"/>
        </w:rPr>
        <w:t xml:space="preserve"> and you, about this point, that is, </w:t>
      </w:r>
      <w:r w:rsidRPr="00C11E48">
        <w:rPr>
          <w:sz w:val="20"/>
          <w:szCs w:val="20"/>
        </w:rPr>
        <w:t>how a human being can know the latent and up to now unexperienced thoughts,</w:t>
      </w:r>
      <w:r>
        <w:rPr>
          <w:sz w:val="20"/>
          <w:szCs w:val="20"/>
        </w:rPr>
        <w:t xml:space="preserve"> were smitten with great admiration ... t</w:t>
      </w:r>
      <w:r w:rsidRPr="00774E86">
        <w:rPr>
          <w:sz w:val="20"/>
          <w:szCs w:val="20"/>
        </w:rPr>
        <w:t xml:space="preserve">his is the greatest advantage of this art: to </w:t>
      </w:r>
      <w:r w:rsidRPr="00C11E48">
        <w:rPr>
          <w:sz w:val="20"/>
          <w:szCs w:val="20"/>
        </w:rPr>
        <w:t>foreknow what is hidden</w:t>
      </w:r>
      <w:r w:rsidRPr="00774E86">
        <w:rPr>
          <w:sz w:val="20"/>
          <w:szCs w:val="20"/>
        </w:rPr>
        <w:t xml:space="preserve"> and to predict </w:t>
      </w:r>
      <w:r>
        <w:rPr>
          <w:sz w:val="20"/>
          <w:szCs w:val="20"/>
        </w:rPr>
        <w:t>what is to come</w:t>
      </w:r>
      <w:r w:rsidRPr="00774E86">
        <w:rPr>
          <w:sz w:val="20"/>
          <w:szCs w:val="20"/>
        </w:rPr>
        <w:t xml:space="preserve">. However, </w:t>
      </w:r>
      <w:r>
        <w:rPr>
          <w:sz w:val="20"/>
          <w:szCs w:val="20"/>
        </w:rPr>
        <w:t>following your order</w:t>
      </w:r>
      <w:r w:rsidRPr="00774E86">
        <w:rPr>
          <w:sz w:val="20"/>
          <w:szCs w:val="20"/>
        </w:rPr>
        <w:t xml:space="preserve">, I will faithfully describe what I think about this, </w:t>
      </w:r>
      <w:r>
        <w:rPr>
          <w:sz w:val="20"/>
          <w:szCs w:val="20"/>
        </w:rPr>
        <w:t xml:space="preserve">but </w:t>
      </w:r>
      <w:r w:rsidRPr="00774E86">
        <w:rPr>
          <w:sz w:val="20"/>
          <w:szCs w:val="20"/>
        </w:rPr>
        <w:t>the truth will be vindicated by your judgment</w:t>
      </w:r>
      <w:r w:rsidR="00244FB6" w:rsidRPr="00774E86">
        <w:rPr>
          <w:sz w:val="20"/>
          <w:szCs w:val="20"/>
        </w:rPr>
        <w:t>.</w:t>
      </w:r>
      <w:r w:rsidR="00244FB6">
        <w:rPr>
          <w:rStyle w:val="FootnoteReference"/>
          <w:sz w:val="20"/>
          <w:szCs w:val="20"/>
        </w:rPr>
        <w:footnoteReference w:id="311"/>
      </w:r>
    </w:p>
    <w:p w14:paraId="70983076" w14:textId="77777777" w:rsidR="00244FB6" w:rsidRPr="00CB7BD9" w:rsidRDefault="00244FB6" w:rsidP="00244FB6">
      <w:pPr>
        <w:rPr>
          <w:color w:val="7030A0"/>
          <w:sz w:val="20"/>
          <w:szCs w:val="20"/>
        </w:rPr>
      </w:pPr>
    </w:p>
    <w:p w14:paraId="19881841" w14:textId="4652B6CA" w:rsidR="00244FB6" w:rsidRPr="00087497" w:rsidRDefault="00244FB6" w:rsidP="00244FB6">
      <w:pPr>
        <w:ind w:firstLine="0"/>
      </w:pPr>
      <w:r w:rsidRPr="004A7907">
        <w:t>Subsequently, a comprehensive elucidation ensues concerning the methodology for apprehending both the nature of the inquirer</w:t>
      </w:r>
      <w:r>
        <w:t>’</w:t>
      </w:r>
      <w:r w:rsidRPr="004A7907">
        <w:t xml:space="preserve">s </w:t>
      </w:r>
      <w:r>
        <w:t>question</w:t>
      </w:r>
      <w:r w:rsidRPr="004A7907">
        <w:t xml:space="preserve"> and the </w:t>
      </w:r>
      <w:r>
        <w:t>unknown</w:t>
      </w:r>
      <w:r w:rsidRPr="004A7907">
        <w:t xml:space="preserve"> object concealed in their hand, rooted in the observation of the planetary hour coinciding with the interrogation.</w:t>
      </w:r>
      <w:r w:rsidRPr="00087497">
        <w:t xml:space="preserve"> Before</w:t>
      </w:r>
      <w:r>
        <w:t xml:space="preserve"> giving</w:t>
      </w:r>
      <w:r w:rsidRPr="00087497">
        <w:t xml:space="preserve"> the account </w:t>
      </w:r>
      <w:r>
        <w:t>on</w:t>
      </w:r>
      <w:r w:rsidRPr="00087497">
        <w:t xml:space="preserve"> each planetary hour, the text </w:t>
      </w:r>
      <w:r>
        <w:t>highlights</w:t>
      </w:r>
      <w:r w:rsidRPr="00087497">
        <w:t xml:space="preserve"> the dependence of the sublunary world on the </w:t>
      </w:r>
      <w:r>
        <w:t>celestial motion</w:t>
      </w:r>
      <w:r w:rsidRPr="00087497">
        <w:t xml:space="preserve">: </w:t>
      </w:r>
      <w:r>
        <w:t>“</w:t>
      </w:r>
      <w:r w:rsidRPr="00087497">
        <w:t>The whole present time, therefore, according to the arrangement of the supreme God, who made all things in number and measure, is arranged by the motion (literally the ‘agreement’) of the seven planets, so that one hour is always given to one, another to another, and thus until the seventh, and also in the same way, the eighth returns to the first.</w:t>
      </w:r>
      <w:r>
        <w:t>”</w:t>
      </w:r>
      <w:r w:rsidRPr="00087497">
        <w:rPr>
          <w:rStyle w:val="FootnoteReference"/>
        </w:rPr>
        <w:footnoteReference w:id="312"/>
      </w:r>
      <w:r w:rsidRPr="00087497">
        <w:t xml:space="preserve"> This is </w:t>
      </w:r>
      <w:r>
        <w:t>possibly</w:t>
      </w:r>
      <w:r w:rsidRPr="00087497">
        <w:t xml:space="preserve"> the text that</w:t>
      </w:r>
      <w:r>
        <w:t>,</w:t>
      </w:r>
      <w:r w:rsidRPr="00087497">
        <w:t xml:space="preserve"> among those analysed here</w:t>
      </w:r>
      <w:r>
        <w:t>,</w:t>
      </w:r>
      <w:r w:rsidRPr="00087497">
        <w:t xml:space="preserve"> mostly resembles </w:t>
      </w:r>
      <w:r>
        <w:t>the content of</w:t>
      </w:r>
      <w:r w:rsidRPr="00087497">
        <w:t xml:space="preserve"> the </w:t>
      </w:r>
      <w:r w:rsidRPr="00087497">
        <w:rPr>
          <w:i/>
          <w:iCs/>
        </w:rPr>
        <w:t>Liber arenalis scientiae</w:t>
      </w:r>
      <w:r w:rsidRPr="00E134CD">
        <w:t>. Its fundamental premise converges on the astrologer</w:t>
      </w:r>
      <w:r>
        <w:t>’</w:t>
      </w:r>
      <w:r w:rsidRPr="00E134CD">
        <w:t>s</w:t>
      </w:r>
      <w:r>
        <w:t xml:space="preserve"> – </w:t>
      </w:r>
      <w:r w:rsidRPr="00E134CD">
        <w:t>much like the geomancer</w:t>
      </w:r>
      <w:r>
        <w:t>’</w:t>
      </w:r>
      <w:r w:rsidRPr="00E134CD">
        <w:t>s</w:t>
      </w:r>
      <w:r>
        <w:t xml:space="preserve"> –</w:t>
      </w:r>
      <w:r w:rsidRPr="00E134CD">
        <w:t xml:space="preserve"> role in unearthing the querent</w:t>
      </w:r>
      <w:r>
        <w:t>’</w:t>
      </w:r>
      <w:r w:rsidRPr="00E134CD">
        <w:t xml:space="preserve">s innermost </w:t>
      </w:r>
      <w:r>
        <w:t>cogitations</w:t>
      </w:r>
      <w:r w:rsidRPr="00E134CD">
        <w:t xml:space="preserve">, </w:t>
      </w:r>
      <w:r>
        <w:t>concealed</w:t>
      </w:r>
      <w:r w:rsidRPr="00E134CD">
        <w:t xml:space="preserve"> within the recesses of their thoughts, </w:t>
      </w:r>
      <w:r>
        <w:t xml:space="preserve">and </w:t>
      </w:r>
      <w:r w:rsidRPr="00E134CD">
        <w:t>unarticulated aloud</w:t>
      </w:r>
      <w:r w:rsidRPr="00087497">
        <w:t xml:space="preserve">: </w:t>
      </w:r>
      <w:r>
        <w:t>“</w:t>
      </w:r>
      <w:r w:rsidRPr="00087497">
        <w:t xml:space="preserve">And </w:t>
      </w:r>
      <w:r w:rsidRPr="00087497">
        <w:lastRenderedPageBreak/>
        <w:t>therefore, if someone comes to you for the purpose of investigating something like this, not yet being questioned (i.e., the question is not explicitly asked), according to the planet of the hour in which he approaches, you will respond to the unspoken human thought.</w:t>
      </w:r>
      <w:r>
        <w:t>”</w:t>
      </w:r>
      <w:r w:rsidRPr="00087497">
        <w:rPr>
          <w:rStyle w:val="FootnoteReference"/>
        </w:rPr>
        <w:footnoteReference w:id="313"/>
      </w:r>
      <w:r w:rsidRPr="00087497">
        <w:t xml:space="preserve"> </w:t>
      </w:r>
      <w:r w:rsidRPr="00E134CD">
        <w:t xml:space="preserve">The practitioner, through astute analysis of the celestial arrangement </w:t>
      </w:r>
      <w:r>
        <w:t>– as with the</w:t>
      </w:r>
      <w:r w:rsidRPr="00E134CD">
        <w:t xml:space="preserve"> geomantic </w:t>
      </w:r>
      <w:r>
        <w:t>figures –</w:t>
      </w:r>
      <w:r w:rsidRPr="00E134CD">
        <w:t xml:space="preserve"> becomes adept at </w:t>
      </w:r>
      <w:r>
        <w:t>revealing</w:t>
      </w:r>
      <w:r w:rsidRPr="00E134CD">
        <w:t xml:space="preserve"> the latent intention of the inquirer, thereby unravelling both the concealed impetus and the impending outcome of the query</w:t>
      </w:r>
      <w:r w:rsidRPr="00087497">
        <w:t xml:space="preserve">: </w:t>
      </w:r>
      <w:r>
        <w:t>“</w:t>
      </w:r>
      <w:r w:rsidRPr="00087497">
        <w:t>But if he should come at the beginning of the hour of the Moon, he will inquire about the infirmity of the eyes; in the hand, a fragrant herb. If in the other part &lt;of the hour&gt;, about a person who is traveling or something lost; in his hand, a dark stone. If at the end of the hour, on what has been lost; in the hand, golden pigment or something red</w:t>
      </w:r>
      <w:r>
        <w:t>.”</w:t>
      </w:r>
      <w:r w:rsidRPr="00087497">
        <w:rPr>
          <w:rStyle w:val="FootnoteReference"/>
        </w:rPr>
        <w:footnoteReference w:id="314"/>
      </w:r>
      <w:r w:rsidRPr="00087497">
        <w:t xml:space="preserve"> </w:t>
      </w:r>
      <w:r w:rsidRPr="00E134CD">
        <w:t>The schema presented further illustrates that the querent consistently arrives with a concealed object in hand</w:t>
      </w:r>
      <w:r>
        <w:t xml:space="preserve"> –</w:t>
      </w:r>
      <w:r w:rsidRPr="00E134CD">
        <w:t xml:space="preserve"> a testament to the astrologer</w:t>
      </w:r>
      <w:r>
        <w:t xml:space="preserve">’s </w:t>
      </w:r>
      <w:r w:rsidRPr="00087497">
        <w:t>skil</w:t>
      </w:r>
      <w:r>
        <w:t xml:space="preserve">ls. This practice serves as a </w:t>
      </w:r>
      <w:r w:rsidRPr="00E134CD">
        <w:t>test, indicating that the ability to decipher the concealed item parallels the capacity to decipher the inquirer</w:t>
      </w:r>
      <w:r>
        <w:t>’</w:t>
      </w:r>
      <w:r w:rsidRPr="00E134CD">
        <w:t>s concealed intent.</w:t>
      </w:r>
      <w:r w:rsidRPr="00087497">
        <w:t xml:space="preserve"> </w:t>
      </w:r>
    </w:p>
    <w:p w14:paraId="151732FC" w14:textId="6467E8EC" w:rsidR="00244FB6" w:rsidRDefault="00244FB6" w:rsidP="00244FB6">
      <w:pPr>
        <w:ind w:firstLine="0"/>
      </w:pPr>
      <w:r>
        <w:tab/>
        <w:t>The material analysed</w:t>
      </w:r>
      <w:r w:rsidRPr="00A95C66">
        <w:t xml:space="preserve"> in this section pertaining to astrological interrogations </w:t>
      </w:r>
      <w:r w:rsidR="004B6474">
        <w:t>reveals</w:t>
      </w:r>
      <w:r w:rsidRPr="00A95C66">
        <w:t xml:space="preserve"> a profound and compelling interrelation between this </w:t>
      </w:r>
      <w:r w:rsidR="000D38BA">
        <w:t>form</w:t>
      </w:r>
      <w:r w:rsidRPr="00A95C66">
        <w:t xml:space="preserve"> of judicial astrology and </w:t>
      </w:r>
      <w:r w:rsidR="000D38BA">
        <w:t>geomancy</w:t>
      </w:r>
      <w:r>
        <w:t>. This symmetry is distinctly expressed</w:t>
      </w:r>
      <w:r w:rsidRPr="00A95C66">
        <w:t xml:space="preserve"> in their mutual validation of a harmonious correspondence between the </w:t>
      </w:r>
      <w:r>
        <w:t xml:space="preserve">individual as a </w:t>
      </w:r>
      <w:r w:rsidRPr="00A95C66">
        <w:t xml:space="preserve">microcosm and the </w:t>
      </w:r>
      <w:r>
        <w:t>universe seen as a</w:t>
      </w:r>
      <w:r w:rsidRPr="00A95C66">
        <w:t xml:space="preserve"> macrocosm.</w:t>
      </w:r>
      <w:r w:rsidRPr="00AE3E26">
        <w:t xml:space="preserve"> </w:t>
      </w:r>
      <w:r>
        <w:t>T</w:t>
      </w:r>
      <w:r w:rsidRPr="00AE3E26">
        <w:t xml:space="preserve">he astral influences exerting their agency upon human existence extend beyond a mere inaugural impetus that singularly configures complexion, temperament, and physiological attributes at the moment of </w:t>
      </w:r>
      <w:r>
        <w:t>birth</w:t>
      </w:r>
      <w:r w:rsidRPr="00AE3E26">
        <w:t>. Rather, the celestial motions</w:t>
      </w:r>
      <w:r w:rsidR="000943CA">
        <w:t xml:space="preserve"> </w:t>
      </w:r>
      <w:r w:rsidR="00DA77EF">
        <w:t>influence</w:t>
      </w:r>
      <w:r w:rsidR="000943CA">
        <w:t xml:space="preserve"> the motions of the human soul and body. The stars</w:t>
      </w:r>
      <w:r w:rsidRPr="00AE3E26">
        <w:t xml:space="preserve"> intricately interlac</w:t>
      </w:r>
      <w:r w:rsidR="000943CA">
        <w:t>e</w:t>
      </w:r>
      <w:r w:rsidRPr="00AE3E26">
        <w:t xml:space="preserve"> with human lives, unfolding their impact ceaselessly from the </w:t>
      </w:r>
      <w:r>
        <w:t>moment of conception</w:t>
      </w:r>
      <w:r w:rsidRPr="00AE3E26">
        <w:t xml:space="preserve"> </w:t>
      </w:r>
      <w:r>
        <w:t>until death</w:t>
      </w:r>
      <w:r w:rsidRPr="00AE3E26">
        <w:t>.</w:t>
      </w:r>
      <w:r>
        <w:t xml:space="preserve"> </w:t>
      </w:r>
      <w:r w:rsidRPr="00AE3E26">
        <w:t xml:space="preserve">Furthermore, </w:t>
      </w:r>
      <w:r w:rsidRPr="00AE3E26">
        <w:lastRenderedPageBreak/>
        <w:t xml:space="preserve">both the disciplines of geomancy and astrological interrogations transcend the mere prognostication of forthcoming events, delving resolutely into the recesses of the human </w:t>
      </w:r>
      <w:r w:rsidR="000943CA">
        <w:t>soul</w:t>
      </w:r>
      <w:r w:rsidRPr="00AE3E26">
        <w:t xml:space="preserve">. These </w:t>
      </w:r>
      <w:r>
        <w:t>techniques</w:t>
      </w:r>
      <w:r w:rsidRPr="00AE3E26">
        <w:t xml:space="preserve"> forge a nexus of causal threads, interweaving the astrological or geomantic chart cast at the moment of inquiry, the celestial configurations concurrent in the firmament, and the volitions and cogitations germinating within the hearts of individuals. This intricate </w:t>
      </w:r>
      <w:r>
        <w:t xml:space="preserve">interplay </w:t>
      </w:r>
      <w:r w:rsidRPr="00AE3E26">
        <w:t>serves to bind the terrestrial sphere ever more intimately with the celestial realm, underscoring their profound symbiosis.</w:t>
      </w:r>
      <w:r>
        <w:t xml:space="preserve"> All the sources analysed in this chapter, both on geomancy and astrology – with the exception of the </w:t>
      </w:r>
      <w:r w:rsidRPr="00D63996">
        <w:rPr>
          <w:i/>
          <w:iCs/>
        </w:rPr>
        <w:t xml:space="preserve">Speculum astronomiae </w:t>
      </w:r>
      <w:r>
        <w:t xml:space="preserve">and the </w:t>
      </w:r>
      <w:r w:rsidRPr="00D63996">
        <w:rPr>
          <w:i/>
          <w:iCs/>
        </w:rPr>
        <w:t xml:space="preserve">Geomantia </w:t>
      </w:r>
      <w:r w:rsidRPr="0054646A">
        <w:t>of Moerbeke,</w:t>
      </w:r>
      <w:r>
        <w:t xml:space="preserve"> which are later compilations – are most likely all translations of Arabic originals into Latin. </w:t>
      </w:r>
      <w:r w:rsidR="00DA77EF">
        <w:t>Thus,</w:t>
      </w:r>
      <w:r>
        <w:t xml:space="preserve"> it is probable that the same language that was used in Arabic geomantic texts to denote the inquiry into the querent’s innermost </w:t>
      </w:r>
      <w:r w:rsidR="002F7C0C">
        <w:t xml:space="preserve">thoughts </w:t>
      </w:r>
      <w:r>
        <w:t xml:space="preserve">would have been used in texts pertaining to judicial astrology. </w:t>
      </w:r>
      <w:r w:rsidR="00DA77EF">
        <w:t>Certainly,</w:t>
      </w:r>
      <w:r>
        <w:t xml:space="preserve"> the terminology used within these texts to denote the secret wishes and cogitations of individuals once more recalls the signification of the Arabic term </w:t>
      </w:r>
      <w:r w:rsidRPr="00243D18">
        <w:rPr>
          <w:i/>
          <w:iCs/>
        </w:rPr>
        <w:t>ḍamīr</w:t>
      </w:r>
      <w:r>
        <w:t>.</w:t>
      </w:r>
    </w:p>
    <w:p w14:paraId="360B97F5" w14:textId="77777777" w:rsidR="00244FB6" w:rsidRDefault="00244FB6" w:rsidP="00244FB6">
      <w:pPr>
        <w:ind w:firstLine="0"/>
      </w:pPr>
    </w:p>
    <w:p w14:paraId="7BD5F8AD" w14:textId="5A2106E8" w:rsidR="00111BC4" w:rsidRDefault="00244FB6" w:rsidP="00111BC4">
      <w:r w:rsidRPr="00086F79">
        <w:t>The inquiry undertaken within this chapter elucidates yet another intersection between the disciplines of geomancy and astrology</w:t>
      </w:r>
      <w:r>
        <w:t xml:space="preserve">. </w:t>
      </w:r>
      <w:r w:rsidRPr="00C30022">
        <w:t xml:space="preserve">Nonetheless, </w:t>
      </w:r>
      <w:r>
        <w:t xml:space="preserve">despite the manifold endeavours of </w:t>
      </w:r>
      <w:r w:rsidR="001930ED">
        <w:t>authors</w:t>
      </w:r>
      <w:r>
        <w:t xml:space="preserve"> and practitioners of geomancy </w:t>
      </w:r>
      <w:r w:rsidRPr="00C30022">
        <w:t xml:space="preserve">to engender its assimilation and validation as a variant of astrological praxis, such </w:t>
      </w:r>
      <w:r w:rsidR="001930ED">
        <w:t>efforts</w:t>
      </w:r>
      <w:r w:rsidRPr="00C30022">
        <w:t xml:space="preserve"> remained partially reali</w:t>
      </w:r>
      <w:r>
        <w:t>s</w:t>
      </w:r>
      <w:r w:rsidRPr="00C30022">
        <w:t>ed at best</w:t>
      </w:r>
      <w:r>
        <w:t xml:space="preserve">, and as seen in the first chapter of this thesis, </w:t>
      </w:r>
      <w:r w:rsidRPr="00871E8B">
        <w:t>geomancy faced controversy due to its perceived associations with illicit practices</w:t>
      </w:r>
      <w:r>
        <w:t xml:space="preserve"> throughout the late medieval and the early modern eras.</w:t>
      </w:r>
      <w:r w:rsidRPr="00C30022">
        <w:t xml:space="preserve"> The revelation of the inquirer</w:t>
      </w:r>
      <w:r>
        <w:t>’</w:t>
      </w:r>
      <w:r w:rsidRPr="00C30022">
        <w:t xml:space="preserve">s </w:t>
      </w:r>
      <w:r>
        <w:t>intention</w:t>
      </w:r>
      <w:r w:rsidRPr="00C30022">
        <w:t xml:space="preserve">, although akin to the conventions of astrological interrogations, when situated within the framework of geomantic practice, further </w:t>
      </w:r>
      <w:r w:rsidR="006A6A7A" w:rsidRPr="00C30022">
        <w:t>deepened</w:t>
      </w:r>
      <w:r w:rsidRPr="00C30022">
        <w:t xml:space="preserve"> the equivocal </w:t>
      </w:r>
      <w:r w:rsidR="006A6A7A">
        <w:t>nature</w:t>
      </w:r>
      <w:r w:rsidRPr="00C30022">
        <w:t xml:space="preserve"> characteri</w:t>
      </w:r>
      <w:r>
        <w:t>s</w:t>
      </w:r>
      <w:r w:rsidRPr="00C30022">
        <w:t xml:space="preserve">ing this </w:t>
      </w:r>
      <w:r>
        <w:t>discipline</w:t>
      </w:r>
      <w:r w:rsidRPr="00C30022">
        <w:t>.</w:t>
      </w:r>
      <w:r>
        <w:t xml:space="preserve"> </w:t>
      </w:r>
      <w:r w:rsidRPr="00B569B6">
        <w:t>While astrological in</w:t>
      </w:r>
      <w:r>
        <w:t>terrogations</w:t>
      </w:r>
      <w:r w:rsidRPr="00B569B6">
        <w:t xml:space="preserve"> primarily cause</w:t>
      </w:r>
      <w:r>
        <w:t>d</w:t>
      </w:r>
      <w:r w:rsidRPr="00B569B6">
        <w:t xml:space="preserve"> tension concerning the interplay between human agency and </w:t>
      </w:r>
      <w:r>
        <w:t>astral</w:t>
      </w:r>
      <w:r w:rsidRPr="00B569B6">
        <w:t xml:space="preserve"> determinism, </w:t>
      </w:r>
      <w:r>
        <w:t xml:space="preserve">geomantic </w:t>
      </w:r>
      <w:r>
        <w:lastRenderedPageBreak/>
        <w:t xml:space="preserve">predictions assumed ritual facets </w:t>
      </w:r>
      <w:r w:rsidRPr="00B569B6">
        <w:t>that amplifie</w:t>
      </w:r>
      <w:r>
        <w:t>d</w:t>
      </w:r>
      <w:r w:rsidRPr="00B569B6">
        <w:t xml:space="preserve"> its contentious nature and accentuate</w:t>
      </w:r>
      <w:r>
        <w:t>d</w:t>
      </w:r>
      <w:r w:rsidRPr="00B569B6">
        <w:t xml:space="preserve"> inquiries pertaining to the epistemological foundations underpinning the geomancer</w:t>
      </w:r>
      <w:r>
        <w:t>’</w:t>
      </w:r>
      <w:r w:rsidRPr="00B569B6">
        <w:t>s prognosticative faculties.</w:t>
      </w:r>
      <w:r>
        <w:t xml:space="preserve"> </w:t>
      </w:r>
      <w:r w:rsidRPr="00396911">
        <w:t>For instance, some geomantic texts prescribed that the inquirer should whisper their intention to the instrument used by the geomancer,</w:t>
      </w:r>
      <w:r>
        <w:rPr>
          <w:rStyle w:val="FootnoteReference"/>
        </w:rPr>
        <w:footnoteReference w:id="315"/>
      </w:r>
      <w:r w:rsidRPr="00396911">
        <w:t xml:space="preserve"> a practice reminiscent of contemporary West African geomancy, while in the </w:t>
      </w:r>
      <w:r w:rsidRPr="00EA7DB2">
        <w:rPr>
          <w:i/>
          <w:iCs/>
        </w:rPr>
        <w:t>Liber arenalis scientiae</w:t>
      </w:r>
      <w:r w:rsidRPr="00396911">
        <w:t xml:space="preserve"> it is the geomancer that bringing a pinch of sand to his lips pronounces an invocation to God. The use of spoken words in this context may have raised suspicions of potential communication with spiritual entities. Moreover, geomancers often engaged in purification rituals, such as fasting, and the employment immaculate sand for their predictions. The preference for conducting geomancy at night, during the hours when others were asleep, further contributed to its enigmatic character. Leaving behind the elements that propounded a relationship between geomancy and astrology, the next chapter will discuss the place of geomancy within the realm of occult sciences. This exposition shall underscore the </w:t>
      </w:r>
      <w:r w:rsidR="006A6A7A">
        <w:t>elements</w:t>
      </w:r>
      <w:r w:rsidRPr="00396911">
        <w:t xml:space="preserve"> that situates geomancy as a variant of divination</w:t>
      </w:r>
      <w:r w:rsidR="006A6A7A">
        <w:t xml:space="preserve"> as </w:t>
      </w:r>
      <w:r w:rsidRPr="00396911">
        <w:t>distinct from the category of natural prediction</w:t>
      </w:r>
      <w:r w:rsidRPr="004751BF">
        <w:t>.</w:t>
      </w:r>
    </w:p>
    <w:p w14:paraId="4457F1EE" w14:textId="4CDBF351" w:rsidR="00244FB6" w:rsidRDefault="00111BC4" w:rsidP="00111BC4">
      <w:r>
        <w:br w:type="page"/>
      </w:r>
    </w:p>
    <w:p w14:paraId="17642E83" w14:textId="4F25D8C1" w:rsidR="00244FB6" w:rsidRPr="00A443F5" w:rsidRDefault="00244FB6" w:rsidP="00A443F5">
      <w:pPr>
        <w:pStyle w:val="Heading1"/>
        <w:ind w:firstLine="0"/>
        <w:rPr>
          <w:rFonts w:asciiTheme="majorBidi" w:hAnsiTheme="majorBidi"/>
          <w:color w:val="auto"/>
          <w:sz w:val="24"/>
          <w:szCs w:val="24"/>
        </w:rPr>
      </w:pPr>
      <w:bookmarkStart w:id="94" w:name="_Toc165108661"/>
      <w:r w:rsidRPr="00A443F5">
        <w:rPr>
          <w:rFonts w:asciiTheme="majorBidi" w:hAnsiTheme="majorBidi"/>
          <w:color w:val="auto"/>
          <w:sz w:val="24"/>
          <w:szCs w:val="24"/>
        </w:rPr>
        <w:lastRenderedPageBreak/>
        <w:t>V. GEOMANCY AND THE OCCULT SCIENCES</w:t>
      </w:r>
      <w:r w:rsidR="00800F7F">
        <w:rPr>
          <w:rStyle w:val="FootnoteReference"/>
          <w:rFonts w:asciiTheme="majorBidi" w:hAnsiTheme="majorBidi"/>
          <w:color w:val="auto"/>
          <w:sz w:val="24"/>
          <w:szCs w:val="24"/>
        </w:rPr>
        <w:footnoteReference w:id="316"/>
      </w:r>
      <w:bookmarkEnd w:id="94"/>
    </w:p>
    <w:p w14:paraId="79590884" w14:textId="77777777" w:rsidR="00244FB6" w:rsidRDefault="00244FB6" w:rsidP="00244FB6">
      <w:pPr>
        <w:ind w:firstLine="0"/>
      </w:pPr>
    </w:p>
    <w:p w14:paraId="67A8A13E" w14:textId="6030ABC5" w:rsidR="00244FB6" w:rsidRDefault="00244FB6" w:rsidP="00244FB6">
      <w:r>
        <w:t>The preceding chapters of this thesis have elucidated the intricate and multifaceted nature of medieval geomancy, thereby underscoring the inherent challenges associated with categorising geomancy as a distinct discipline. On one hand, this form of forecast bore close resemblances to astrology</w:t>
      </w:r>
      <w:r w:rsidR="00DD6AD0">
        <w:t>:</w:t>
      </w:r>
      <w:r>
        <w:t xml:space="preserve"> In geomancy, the sixteen geomantic figures were perceived as transmissions from the celestial spheres, a</w:t>
      </w:r>
      <w:r w:rsidR="00DD6AD0">
        <w:t>nd representing specific</w:t>
      </w:r>
      <w:r>
        <w:t xml:space="preserve"> constellations</w:t>
      </w:r>
      <w:r w:rsidR="00DD6AD0">
        <w:t>. Consequently, g</w:t>
      </w:r>
      <w:r>
        <w:t xml:space="preserve">eomancers, similarly to astrologers, </w:t>
      </w:r>
      <w:r w:rsidR="00DD6AD0">
        <w:t>based their forecast on the observation of</w:t>
      </w:r>
      <w:r>
        <w:t xml:space="preserve"> a set of astral configurations, albeit ones manifesting on Earth, as mirrored reflections of the celestial realm within geomantic charts. Nonetheless, in emphasising the causal link between celestial motions and geomantic figures, many of these texts concurrently asserted that geomancy was intrinsically associated with prophetic knowledge, </w:t>
      </w:r>
      <w:r w:rsidR="00DD6AD0">
        <w:t>suggesting</w:t>
      </w:r>
      <w:r>
        <w:t xml:space="preserve"> that the geomantic figures </w:t>
      </w:r>
      <w:r w:rsidR="00DD6AD0">
        <w:t>were</w:t>
      </w:r>
      <w:r>
        <w:t xml:space="preserve"> formed as through a vision, or in a state similar to oneiric experience. This connection was reinforced by the inclusion of legendary figures such as prophets and even Hermes Trismegistus in the genealogy of geomantic transmission</w:t>
      </w:r>
      <w:r w:rsidR="006F2CA6">
        <w:t>. These facets are</w:t>
      </w:r>
      <w:r>
        <w:t xml:space="preserve"> exemplified by the following passages from the </w:t>
      </w:r>
      <w:r w:rsidRPr="002764C1">
        <w:rPr>
          <w:i/>
          <w:iCs/>
        </w:rPr>
        <w:t>Liber arenalis scientiae</w:t>
      </w:r>
      <w:r>
        <w:t xml:space="preserve">, the </w:t>
      </w:r>
      <w:r w:rsidRPr="002764C1">
        <w:rPr>
          <w:i/>
          <w:iCs/>
        </w:rPr>
        <w:t>Estimaverunt Indi</w:t>
      </w:r>
      <w:r>
        <w:t xml:space="preserve"> and the </w:t>
      </w:r>
      <w:r w:rsidRPr="002764C1">
        <w:rPr>
          <w:i/>
          <w:iCs/>
        </w:rPr>
        <w:t>Lectura Geomantiae</w:t>
      </w:r>
      <w:r>
        <w:t>:</w:t>
      </w:r>
    </w:p>
    <w:p w14:paraId="4B3EB9F0" w14:textId="77777777" w:rsidR="00244FB6" w:rsidRDefault="00244FB6" w:rsidP="00244FB6">
      <w:pPr>
        <w:ind w:firstLine="0"/>
      </w:pPr>
    </w:p>
    <w:p w14:paraId="4070140A" w14:textId="0E7823B7" w:rsidR="00244FB6" w:rsidRDefault="003E0149" w:rsidP="003E0149">
      <w:pPr>
        <w:ind w:left="567" w:firstLine="0"/>
        <w:rPr>
          <w:sz w:val="20"/>
          <w:szCs w:val="20"/>
        </w:rPr>
      </w:pPr>
      <w:r w:rsidRPr="003E0149">
        <w:rPr>
          <w:sz w:val="20"/>
          <w:szCs w:val="20"/>
        </w:rPr>
        <w:t>Here begins the Book of the Science of the</w:t>
      </w:r>
      <w:r>
        <w:rPr>
          <w:sz w:val="20"/>
          <w:szCs w:val="20"/>
        </w:rPr>
        <w:t xml:space="preserve"> Sand</w:t>
      </w:r>
      <w:r w:rsidRPr="003E0149">
        <w:rPr>
          <w:sz w:val="20"/>
          <w:szCs w:val="20"/>
        </w:rPr>
        <w:t xml:space="preserve">, composed by Alfarinus Abizarch and translated from Arabic into Latin by Plato of Tivoli. In the name of the merciful and pious Lord, it is shown that the science transmitted by God the Creator to one of the prophets is contained in lines. Whoever, therefore, </w:t>
      </w:r>
      <w:r w:rsidRPr="003E0149">
        <w:rPr>
          <w:sz w:val="20"/>
          <w:szCs w:val="20"/>
        </w:rPr>
        <w:lastRenderedPageBreak/>
        <w:t xml:space="preserve">through </w:t>
      </w:r>
      <w:r>
        <w:rPr>
          <w:sz w:val="20"/>
          <w:szCs w:val="20"/>
        </w:rPr>
        <w:t>its</w:t>
      </w:r>
      <w:r w:rsidRPr="003E0149">
        <w:rPr>
          <w:sz w:val="20"/>
          <w:szCs w:val="20"/>
        </w:rPr>
        <w:t xml:space="preserve"> (the science’s)</w:t>
      </w:r>
      <w:r>
        <w:rPr>
          <w:sz w:val="20"/>
          <w:szCs w:val="20"/>
        </w:rPr>
        <w:t xml:space="preserve"> </w:t>
      </w:r>
      <w:r w:rsidRPr="003E0149">
        <w:rPr>
          <w:sz w:val="20"/>
          <w:szCs w:val="20"/>
        </w:rPr>
        <w:t>lines, arrives at any of the lines of this prophecy, will by no means deviate from the truth, and, as they say, the son of this prophet, Calidcinem, was sent by God to the barbarians</w:t>
      </w:r>
      <w:r w:rsidR="00244FB6" w:rsidRPr="004068DA">
        <w:rPr>
          <w:sz w:val="20"/>
          <w:szCs w:val="20"/>
        </w:rPr>
        <w:t>.</w:t>
      </w:r>
      <w:r w:rsidR="00244FB6">
        <w:rPr>
          <w:rStyle w:val="FootnoteReference"/>
          <w:sz w:val="20"/>
          <w:szCs w:val="20"/>
        </w:rPr>
        <w:footnoteReference w:id="317"/>
      </w:r>
    </w:p>
    <w:p w14:paraId="26BD9408" w14:textId="77777777" w:rsidR="00244FB6" w:rsidRDefault="00244FB6" w:rsidP="00244FB6">
      <w:pPr>
        <w:ind w:left="567" w:firstLine="0"/>
        <w:rPr>
          <w:sz w:val="20"/>
          <w:szCs w:val="20"/>
        </w:rPr>
      </w:pPr>
    </w:p>
    <w:p w14:paraId="51E4CCEC" w14:textId="77777777" w:rsidR="00244FB6" w:rsidRDefault="00244FB6" w:rsidP="00244FB6">
      <w:pPr>
        <w:ind w:left="567" w:firstLine="0"/>
        <w:rPr>
          <w:sz w:val="20"/>
          <w:szCs w:val="20"/>
        </w:rPr>
      </w:pPr>
    </w:p>
    <w:p w14:paraId="519667A7" w14:textId="1049B4AB" w:rsidR="00244FB6" w:rsidRDefault="00A8470C" w:rsidP="00244FB6">
      <w:pPr>
        <w:ind w:left="567" w:firstLine="0"/>
        <w:rPr>
          <w:sz w:val="20"/>
          <w:szCs w:val="20"/>
        </w:rPr>
      </w:pPr>
      <w:r w:rsidRPr="00C77337">
        <w:rPr>
          <w:sz w:val="20"/>
          <w:szCs w:val="20"/>
        </w:rPr>
        <w:t xml:space="preserve">And know that the figures are not formed according to what the </w:t>
      </w:r>
      <w:r>
        <w:rPr>
          <w:sz w:val="20"/>
          <w:szCs w:val="20"/>
        </w:rPr>
        <w:t>querent</w:t>
      </w:r>
      <w:r w:rsidRPr="00C77337">
        <w:rPr>
          <w:sz w:val="20"/>
          <w:szCs w:val="20"/>
        </w:rPr>
        <w:t xml:space="preserve"> intends, nor according to his question, and they are not formed in them except </w:t>
      </w:r>
      <w:r>
        <w:rPr>
          <w:sz w:val="20"/>
          <w:szCs w:val="20"/>
        </w:rPr>
        <w:t>by</w:t>
      </w:r>
      <w:r w:rsidRPr="00C77337">
        <w:rPr>
          <w:sz w:val="20"/>
          <w:szCs w:val="20"/>
        </w:rPr>
        <w:t xml:space="preserve"> him whose power </w:t>
      </w:r>
      <w:r>
        <w:rPr>
          <w:sz w:val="20"/>
          <w:szCs w:val="20"/>
        </w:rPr>
        <w:t>portends coming into existence</w:t>
      </w:r>
      <w:r w:rsidRPr="00C77337">
        <w:rPr>
          <w:sz w:val="20"/>
          <w:szCs w:val="20"/>
        </w:rPr>
        <w:t xml:space="preserve">, whether the </w:t>
      </w:r>
      <w:r>
        <w:rPr>
          <w:sz w:val="20"/>
          <w:szCs w:val="20"/>
        </w:rPr>
        <w:t>querent</w:t>
      </w:r>
      <w:r w:rsidRPr="00C77337">
        <w:rPr>
          <w:sz w:val="20"/>
          <w:szCs w:val="20"/>
        </w:rPr>
        <w:t xml:space="preserve"> </w:t>
      </w:r>
      <w:r>
        <w:rPr>
          <w:sz w:val="20"/>
          <w:szCs w:val="20"/>
        </w:rPr>
        <w:t>asks</w:t>
      </w:r>
      <w:r w:rsidRPr="00C77337">
        <w:rPr>
          <w:sz w:val="20"/>
          <w:szCs w:val="20"/>
        </w:rPr>
        <w:t xml:space="preserve"> about </w:t>
      </w:r>
      <w:r>
        <w:rPr>
          <w:sz w:val="20"/>
          <w:szCs w:val="20"/>
        </w:rPr>
        <w:t>it</w:t>
      </w:r>
      <w:r w:rsidRPr="00C77337">
        <w:rPr>
          <w:sz w:val="20"/>
          <w:szCs w:val="20"/>
        </w:rPr>
        <w:t xml:space="preserve"> or not, just as they are formed in a vision </w:t>
      </w:r>
      <w:r w:rsidR="00244FB6" w:rsidRPr="00C77337">
        <w:rPr>
          <w:sz w:val="20"/>
          <w:szCs w:val="20"/>
        </w:rPr>
        <w:t>[...].</w:t>
      </w:r>
      <w:r w:rsidR="00244FB6">
        <w:rPr>
          <w:rStyle w:val="FootnoteReference"/>
          <w:sz w:val="20"/>
          <w:szCs w:val="20"/>
        </w:rPr>
        <w:footnoteReference w:id="318"/>
      </w:r>
    </w:p>
    <w:p w14:paraId="12135D6B" w14:textId="77777777" w:rsidR="00244FB6" w:rsidRDefault="00244FB6" w:rsidP="00244FB6">
      <w:pPr>
        <w:ind w:left="567" w:firstLine="0"/>
        <w:rPr>
          <w:sz w:val="20"/>
          <w:szCs w:val="20"/>
        </w:rPr>
      </w:pPr>
    </w:p>
    <w:p w14:paraId="0BF38CFE" w14:textId="77777777" w:rsidR="00244FB6" w:rsidRDefault="00244FB6" w:rsidP="00244FB6">
      <w:pPr>
        <w:ind w:left="567" w:firstLine="0"/>
        <w:rPr>
          <w:sz w:val="20"/>
          <w:szCs w:val="20"/>
        </w:rPr>
      </w:pPr>
      <w:r w:rsidRPr="00EA13B8">
        <w:rPr>
          <w:sz w:val="20"/>
          <w:szCs w:val="20"/>
        </w:rPr>
        <w:t>Here begins the reading of geomancy according to Hermes, the first philosopher, inventor, and revealed by an angel called *** in a certain mountain called ***. [...] And there, it was revealed to him by the said angel [...].</w:t>
      </w:r>
      <w:r>
        <w:rPr>
          <w:rStyle w:val="FootnoteReference"/>
          <w:sz w:val="20"/>
          <w:szCs w:val="20"/>
        </w:rPr>
        <w:footnoteReference w:id="319"/>
      </w:r>
    </w:p>
    <w:p w14:paraId="1974ABD1" w14:textId="77777777" w:rsidR="00244FB6" w:rsidRDefault="00244FB6" w:rsidP="00244FB6">
      <w:pPr>
        <w:ind w:firstLine="0"/>
      </w:pPr>
    </w:p>
    <w:p w14:paraId="2BF0259A" w14:textId="05B6B53F" w:rsidR="00244FB6" w:rsidRDefault="00244FB6" w:rsidP="001461AA">
      <w:r>
        <w:t xml:space="preserve">The claim of geomancy’s proximity to prophecy and </w:t>
      </w:r>
      <w:r w:rsidR="00EE0D27">
        <w:t xml:space="preserve">its belonging to </w:t>
      </w:r>
      <w:r>
        <w:t xml:space="preserve">the </w:t>
      </w:r>
      <w:r w:rsidR="00A8470C">
        <w:t>H</w:t>
      </w:r>
      <w:r>
        <w:t xml:space="preserve">ermetic tradition thus corroborated the notion that geomancy, in contrast to astrology, was not merely a form of natural prediction. This perception </w:t>
      </w:r>
      <w:r w:rsidR="00737ACA">
        <w:t xml:space="preserve">was </w:t>
      </w:r>
      <w:r>
        <w:t xml:space="preserve">accentuated </w:t>
      </w:r>
      <w:r w:rsidR="00737ACA">
        <w:t xml:space="preserve">by </w:t>
      </w:r>
      <w:r>
        <w:t xml:space="preserve">the significance placed </w:t>
      </w:r>
      <w:r w:rsidR="00737ACA">
        <w:t xml:space="preserve">in geomantic practice </w:t>
      </w:r>
      <w:r>
        <w:t xml:space="preserve">on </w:t>
      </w:r>
      <w:r w:rsidR="00737ACA">
        <w:t>the discovery of</w:t>
      </w:r>
      <w:r>
        <w:t xml:space="preserve"> </w:t>
      </w:r>
      <w:r w:rsidR="00737ACA">
        <w:t>human innermost</w:t>
      </w:r>
      <w:r>
        <w:t xml:space="preserve"> thoughts, transcending the mere </w:t>
      </w:r>
      <w:r w:rsidR="00737ACA">
        <w:t xml:space="preserve">prediction of future events to obtain a form of knowledge traditionally </w:t>
      </w:r>
      <w:r w:rsidR="008E1659">
        <w:t>reserved to God</w:t>
      </w:r>
      <w:r>
        <w:t>. The inherent ambiguity surrounding the epistemic status of geomancy further contributed to its controversial reputation among the intellectual and ecclesiastical elites of the era. As previously expounded, this contentious character led to geomancy facing condemnations, most notably in the years 1277, 1290, 1306, and</w:t>
      </w:r>
      <w:r w:rsidR="00737ACA">
        <w:t xml:space="preserve"> later in</w:t>
      </w:r>
      <w:r>
        <w:t xml:space="preserve"> 1605, wherein it was categorised alongside other occult arts such as necromancy, astral magic, and auguries, raising questions </w:t>
      </w:r>
      <w:r>
        <w:lastRenderedPageBreak/>
        <w:t xml:space="preserve">about its moral and epistemic legitimacy in the eyes of the Church and intellectual authorities. In light of these </w:t>
      </w:r>
      <w:r w:rsidR="005C3A6B">
        <w:t>controversies surrounding the geomantic technique</w:t>
      </w:r>
      <w:r>
        <w:t>,</w:t>
      </w:r>
      <w:r w:rsidR="00D22590">
        <w:t xml:space="preserve"> the focus of this chapter shifts back to the figure of the geomancer and the question surrounding the kind of knowledge he draws from </w:t>
      </w:r>
      <w:r w:rsidR="00775B3C">
        <w:t>when</w:t>
      </w:r>
      <w:r w:rsidR="00D22590">
        <w:t xml:space="preserve"> making predictions.</w:t>
      </w:r>
      <w:r>
        <w:t xml:space="preserve"> </w:t>
      </w:r>
      <w:r w:rsidR="00D22590">
        <w:t>To shed light on this matter, this</w:t>
      </w:r>
      <w:r>
        <w:t xml:space="preserve"> chapter will </w:t>
      </w:r>
      <w:r w:rsidR="005C3A6B">
        <w:t>explore some</w:t>
      </w:r>
      <w:r>
        <w:t xml:space="preserve"> of the </w:t>
      </w:r>
      <w:r w:rsidR="00531245">
        <w:t>similarities</w:t>
      </w:r>
      <w:r>
        <w:t xml:space="preserve"> that geomancy </w:t>
      </w:r>
      <w:r w:rsidR="00531245">
        <w:t>shared</w:t>
      </w:r>
      <w:r>
        <w:t xml:space="preserve"> with other </w:t>
      </w:r>
      <w:r w:rsidR="00D22590">
        <w:t>disciplines</w:t>
      </w:r>
      <w:r w:rsidR="00C92C05">
        <w:t xml:space="preserve"> perceived as being at the crossroads between natural and supernatural knowledge</w:t>
      </w:r>
      <w:r>
        <w:t xml:space="preserve">. </w:t>
      </w:r>
      <w:r w:rsidR="00D22590">
        <w:t>It is beyond the scope of this chapter to present a comprehensive analysis of occult sciences</w:t>
      </w:r>
      <w:r w:rsidR="0018080C">
        <w:t>.</w:t>
      </w:r>
      <w:r w:rsidR="00D22590">
        <w:t xml:space="preserve"> Instead, this analysis will present two case studies of disciplines that share correspondences with geomancy. The first part of the chapter will discuss the intersections and parallels between geomancy and the art of making talismans, otherwise known as astrological images. This comparison focusses on the role of the practitioner</w:t>
      </w:r>
      <w:r w:rsidR="004D3E3C">
        <w:t xml:space="preserve"> that, in contrast with the astrologer, in these practices</w:t>
      </w:r>
      <w:r w:rsidR="00D22590">
        <w:t xml:space="preserve"> </w:t>
      </w:r>
      <w:r w:rsidR="004D3E3C">
        <w:t xml:space="preserve">acts </w:t>
      </w:r>
      <w:r w:rsidR="00D22590">
        <w:t>as the direct recipient of astral influences</w:t>
      </w:r>
      <w:r w:rsidR="00800F7F">
        <w:t xml:space="preserve">, and investigates the involvement of the human faculties of estimation and imagination in </w:t>
      </w:r>
      <w:r w:rsidR="00DF1579">
        <w:t>this</w:t>
      </w:r>
      <w:r w:rsidR="00800F7F">
        <w:t xml:space="preserve"> </w:t>
      </w:r>
      <w:r w:rsidR="00DF1579">
        <w:t xml:space="preserve">noetic </w:t>
      </w:r>
      <w:r w:rsidR="00800F7F">
        <w:t>process</w:t>
      </w:r>
      <w:r w:rsidR="004D3E3C">
        <w:t xml:space="preserve">. </w:t>
      </w:r>
      <w:r w:rsidR="00D22590">
        <w:rPr>
          <w:shd w:val="clear" w:color="auto" w:fill="FFFFFF"/>
        </w:rPr>
        <w:t xml:space="preserve">Following this analysis, the second part of this chapter will observe the parallels between geomancy and oneiromancy (i.e. dream interpretation), another discipline that brings into consciousness and </w:t>
      </w:r>
      <w:r w:rsidR="001461AA">
        <w:rPr>
          <w:shd w:val="clear" w:color="auto" w:fill="FFFFFF"/>
        </w:rPr>
        <w:t xml:space="preserve">interprets </w:t>
      </w:r>
      <w:r w:rsidR="00D22590">
        <w:rPr>
          <w:shd w:val="clear" w:color="auto" w:fill="FFFFFF"/>
        </w:rPr>
        <w:t xml:space="preserve">the latent thoughts that appear in the human soul during the oneiric experience, and to which geomancy is often juxtaposed. </w:t>
      </w:r>
      <w:r w:rsidR="00D4118F">
        <w:rPr>
          <w:shd w:val="clear" w:color="auto" w:fill="FFFFFF"/>
        </w:rPr>
        <w:t>This analysis brings forth a</w:t>
      </w:r>
      <w:r w:rsidR="00D22590">
        <w:rPr>
          <w:shd w:val="clear" w:color="auto" w:fill="FFFFFF"/>
        </w:rPr>
        <w:t xml:space="preserve"> reflection </w:t>
      </w:r>
      <w:r w:rsidR="00D4118F">
        <w:rPr>
          <w:shd w:val="clear" w:color="auto" w:fill="FFFFFF"/>
        </w:rPr>
        <w:t>on</w:t>
      </w:r>
      <w:r w:rsidR="00D22590">
        <w:rPr>
          <w:shd w:val="clear" w:color="auto" w:fill="FFFFFF"/>
        </w:rPr>
        <w:t xml:space="preserve"> the place that geomancy occupie</w:t>
      </w:r>
      <w:r w:rsidR="00730935">
        <w:rPr>
          <w:shd w:val="clear" w:color="auto" w:fill="FFFFFF"/>
        </w:rPr>
        <w:t>d</w:t>
      </w:r>
      <w:r w:rsidR="00D22590">
        <w:rPr>
          <w:shd w:val="clear" w:color="auto" w:fill="FFFFFF"/>
        </w:rPr>
        <w:t xml:space="preserve"> between natural forms of prescience and forms of divine inspiration in late medieval society</w:t>
      </w:r>
      <w:r w:rsidR="001461AA">
        <w:rPr>
          <w:shd w:val="clear" w:color="auto" w:fill="FFFFFF"/>
        </w:rPr>
        <w:t>, highlighting the complexities of categorising geomancy as a discipline.</w:t>
      </w:r>
    </w:p>
    <w:p w14:paraId="57F86CDB" w14:textId="77777777" w:rsidR="00244FB6" w:rsidRPr="000B493A" w:rsidRDefault="00244FB6" w:rsidP="00244FB6">
      <w:pPr>
        <w:ind w:firstLine="0"/>
        <w:rPr>
          <w:sz w:val="20"/>
          <w:szCs w:val="20"/>
        </w:rPr>
      </w:pPr>
    </w:p>
    <w:p w14:paraId="7074EDB0" w14:textId="5B98B257" w:rsidR="00244FB6" w:rsidRPr="00A443F5" w:rsidRDefault="00244FB6" w:rsidP="00A443F5">
      <w:pPr>
        <w:pStyle w:val="Heading2"/>
        <w:ind w:firstLine="0"/>
        <w:rPr>
          <w:rFonts w:asciiTheme="majorBidi" w:hAnsiTheme="majorBidi"/>
          <w:color w:val="auto"/>
          <w:sz w:val="20"/>
          <w:szCs w:val="20"/>
        </w:rPr>
      </w:pPr>
      <w:bookmarkStart w:id="95" w:name="_Toc165108662"/>
      <w:r w:rsidRPr="00A443F5">
        <w:rPr>
          <w:rFonts w:asciiTheme="majorBidi" w:hAnsiTheme="majorBidi"/>
          <w:color w:val="auto"/>
          <w:sz w:val="20"/>
          <w:szCs w:val="20"/>
        </w:rPr>
        <w:t>V.</w:t>
      </w:r>
      <w:r w:rsidR="001461AA">
        <w:rPr>
          <w:rFonts w:asciiTheme="majorBidi" w:hAnsiTheme="majorBidi"/>
          <w:color w:val="auto"/>
          <w:sz w:val="20"/>
          <w:szCs w:val="20"/>
        </w:rPr>
        <w:t>1</w:t>
      </w:r>
      <w:r w:rsidRPr="00A443F5">
        <w:rPr>
          <w:rFonts w:asciiTheme="majorBidi" w:hAnsiTheme="majorBidi"/>
          <w:color w:val="auto"/>
          <w:sz w:val="20"/>
          <w:szCs w:val="20"/>
        </w:rPr>
        <w:t xml:space="preserve"> ESTIMATION AND IMAGINATION IN GEOMANCY AND ASTROLOGICAL IMAGES</w:t>
      </w:r>
      <w:bookmarkEnd w:id="95"/>
    </w:p>
    <w:p w14:paraId="50CF7ADD" w14:textId="77777777" w:rsidR="00244FB6" w:rsidRDefault="00244FB6" w:rsidP="00244FB6">
      <w:pPr>
        <w:ind w:firstLine="0"/>
        <w:rPr>
          <w:sz w:val="20"/>
          <w:szCs w:val="20"/>
        </w:rPr>
      </w:pPr>
    </w:p>
    <w:p w14:paraId="42A948ED" w14:textId="63747FD4" w:rsidR="00244FB6" w:rsidRDefault="00244FB6" w:rsidP="00244FB6">
      <w:r w:rsidRPr="00BE2734">
        <w:t>As previously expounded, William of Moerbeke</w:t>
      </w:r>
      <w:r>
        <w:t>’</w:t>
      </w:r>
      <w:r w:rsidRPr="00BE2734">
        <w:t xml:space="preserve">s </w:t>
      </w:r>
      <w:r w:rsidRPr="00BE2734">
        <w:rPr>
          <w:i/>
          <w:iCs/>
        </w:rPr>
        <w:t>Geomantia</w:t>
      </w:r>
      <w:r w:rsidRPr="00BE2734">
        <w:t xml:space="preserve"> </w:t>
      </w:r>
      <w:r>
        <w:t xml:space="preserve">mentions </w:t>
      </w:r>
      <w:r w:rsidRPr="00BE2734">
        <w:t xml:space="preserve">the role of the </w:t>
      </w:r>
      <w:r w:rsidRPr="00BE2734">
        <w:rPr>
          <w:i/>
          <w:iCs/>
        </w:rPr>
        <w:t>vis aestimativa</w:t>
      </w:r>
      <w:r w:rsidRPr="00BE2734">
        <w:t xml:space="preserve"> in the knowledge acquisition process through geomantic practices. This reference to the estimative power is positioned in the opening chapter of the </w:t>
      </w:r>
      <w:r w:rsidRPr="00BE2734">
        <w:rPr>
          <w:i/>
          <w:iCs/>
        </w:rPr>
        <w:t>Geomantia</w:t>
      </w:r>
      <w:r w:rsidRPr="00BE2734">
        <w:t xml:space="preserve">, </w:t>
      </w:r>
      <w:r>
        <w:lastRenderedPageBreak/>
        <w:t>entitled</w:t>
      </w:r>
      <w:r w:rsidRPr="00BE2734">
        <w:t xml:space="preserve"> </w:t>
      </w:r>
      <w:r w:rsidRPr="00BE2734">
        <w:rPr>
          <w:i/>
          <w:iCs/>
        </w:rPr>
        <w:t>Prima distinctio. Super quo vel quibus fiat questio et qualiter</w:t>
      </w:r>
      <w:r w:rsidRPr="00BE2734">
        <w:t xml:space="preserve"> (The First Distinction: Regarding the Subject and Method of Inquiry).</w:t>
      </w:r>
      <w:r w:rsidRPr="00BE2734">
        <w:rPr>
          <w:rStyle w:val="FootnoteReference"/>
        </w:rPr>
        <w:t xml:space="preserve"> </w:t>
      </w:r>
      <w:r>
        <w:rPr>
          <w:rStyle w:val="FootnoteReference"/>
        </w:rPr>
        <w:footnoteReference w:id="320"/>
      </w:r>
      <w:r w:rsidRPr="00BE2734">
        <w:t xml:space="preserve"> This initial chapter commences with a brief etymological </w:t>
      </w:r>
      <w:r w:rsidR="00DC6842" w:rsidRPr="00BE2734">
        <w:t>interpretation</w:t>
      </w:r>
      <w:r w:rsidRPr="00BE2734">
        <w:t xml:space="preserve"> of</w:t>
      </w:r>
      <w:r w:rsidR="00D93906">
        <w:t xml:space="preserve"> the term</w:t>
      </w:r>
      <w:r w:rsidRPr="00BE2734">
        <w:t xml:space="preserve"> </w:t>
      </w:r>
      <w:r>
        <w:t>‘</w:t>
      </w:r>
      <w:r w:rsidRPr="00BE2734">
        <w:t>geo-mantia</w:t>
      </w:r>
      <w:r>
        <w:t>’</w:t>
      </w:r>
      <w:r w:rsidRPr="00BE2734">
        <w:t xml:space="preserve"> and its association with the use of earth within its practice.</w:t>
      </w:r>
      <w:r>
        <w:rPr>
          <w:rStyle w:val="FootnoteReference"/>
        </w:rPr>
        <w:footnoteReference w:id="321"/>
      </w:r>
      <w:r w:rsidRPr="00BE2734">
        <w:t xml:space="preserve"> Subsequently, it proceeds to elucidate the method of casting </w:t>
      </w:r>
      <w:r w:rsidR="002F2BE4">
        <w:t>points</w:t>
      </w:r>
      <w:r w:rsidRPr="00BE2734">
        <w:t xml:space="preserve"> into sand, emphasi</w:t>
      </w:r>
      <w:r>
        <w:t>s</w:t>
      </w:r>
      <w:r w:rsidRPr="00BE2734">
        <w:t>ing its dependence on the influence of celestial bodies on the terrestrial realm</w:t>
      </w:r>
      <w:r>
        <w:t>.</w:t>
      </w:r>
      <w:r>
        <w:rPr>
          <w:rStyle w:val="FootnoteReference"/>
        </w:rPr>
        <w:footnoteReference w:id="322"/>
      </w:r>
      <w:r>
        <w:t xml:space="preserve"> </w:t>
      </w:r>
      <w:r w:rsidRPr="00073A0C">
        <w:t xml:space="preserve">The subsequent passage explores alternative materials that can be employed in lieu of sand for geomantic divination. It states, </w:t>
      </w:r>
      <w:r>
        <w:t>“This can also be done in many other ways, for example on a table of chalk and wax, with a pen on paper, and stones and tiles, and generally with any object in which the estimative power may consider the parity and oddity of the numbers and of the figures.”</w:t>
      </w:r>
      <w:r>
        <w:rPr>
          <w:rStyle w:val="FootnoteReference"/>
        </w:rPr>
        <w:footnoteReference w:id="323"/>
      </w:r>
      <w:r w:rsidRPr="00073A0C">
        <w:t xml:space="preserve"> </w:t>
      </w:r>
      <w:r w:rsidR="002B6190">
        <w:t>A</w:t>
      </w:r>
      <w:r w:rsidRPr="00073A0C">
        <w:t>s previously mentioned, Avicenna (</w:t>
      </w:r>
      <w:r w:rsidR="00DD293B">
        <w:t>b.</w:t>
      </w:r>
      <w:r w:rsidRPr="00073A0C">
        <w:t>980-</w:t>
      </w:r>
      <w:r w:rsidR="00DD293B">
        <w:t>d.</w:t>
      </w:r>
      <w:r w:rsidRPr="00073A0C">
        <w:t xml:space="preserve">1037) posited the estimative faculty as the internal sense apprehending </w:t>
      </w:r>
      <w:r w:rsidR="000028D0">
        <w:t>meanings</w:t>
      </w:r>
      <w:r w:rsidRPr="00073A0C">
        <w:t xml:space="preserve"> (</w:t>
      </w:r>
      <w:r w:rsidRPr="00073A0C">
        <w:rPr>
          <w:i/>
          <w:iCs/>
        </w:rPr>
        <w:t>maʿānin</w:t>
      </w:r>
      <w:r w:rsidRPr="00073A0C">
        <w:t>). According to Avicennian psychology, this faculty played a role, along with the imagination, in both prophetic and non-prophetic veridical dreams and visions</w:t>
      </w:r>
      <w:r>
        <w:t>.</w:t>
      </w:r>
      <w:r>
        <w:rPr>
          <w:rStyle w:val="FootnoteReference"/>
        </w:rPr>
        <w:footnoteReference w:id="324"/>
      </w:r>
      <w:r>
        <w:t xml:space="preserve"> </w:t>
      </w:r>
    </w:p>
    <w:p w14:paraId="735F815D" w14:textId="70DAD80F" w:rsidR="00244FB6" w:rsidRDefault="00244FB6" w:rsidP="00244FB6">
      <w:r w:rsidRPr="005241C1">
        <w:t xml:space="preserve">Avicenna delineated two distinct sources of supernatural knowledge. The first pertained to intelligible universal concepts, eternally contemplated by the active intellect (the tenth intellect). The second category encompassed forms of particulars, </w:t>
      </w:r>
      <w:r w:rsidR="002D1133">
        <w:t>including</w:t>
      </w:r>
      <w:r w:rsidRPr="005241C1">
        <w:t xml:space="preserve"> past, present, and future terrestrial events. These were generated and contemplated by the souls residing within the celestial spheres. In his work </w:t>
      </w:r>
      <w:r w:rsidRPr="005241C1">
        <w:rPr>
          <w:i/>
          <w:iCs/>
        </w:rPr>
        <w:t>al-Mabda’ wa-l-Ma‘ād</w:t>
      </w:r>
      <w:r>
        <w:t xml:space="preserve"> (Provenance and Destination), </w:t>
      </w:r>
      <w:r w:rsidRPr="005241C1">
        <w:t>Avicenna expounded on the acquisition of superior knowledge as follows:</w:t>
      </w:r>
    </w:p>
    <w:p w14:paraId="31F2C1C0" w14:textId="77777777" w:rsidR="00244FB6" w:rsidRDefault="00244FB6" w:rsidP="00244FB6">
      <w:pPr>
        <w:ind w:firstLine="0"/>
      </w:pPr>
    </w:p>
    <w:p w14:paraId="48FFAB0E" w14:textId="77777777" w:rsidR="00244FB6" w:rsidRDefault="00244FB6" w:rsidP="00244FB6">
      <w:pPr>
        <w:ind w:left="567" w:firstLine="0"/>
      </w:pPr>
      <w:r w:rsidRPr="00786EE8">
        <w:rPr>
          <w:sz w:val="20"/>
          <w:szCs w:val="20"/>
        </w:rPr>
        <w:t xml:space="preserve">As for the reason for the knowledge of </w:t>
      </w:r>
      <w:r>
        <w:rPr>
          <w:sz w:val="20"/>
          <w:szCs w:val="20"/>
        </w:rPr>
        <w:t>&lt;</w:t>
      </w:r>
      <w:r w:rsidRPr="00786EE8">
        <w:rPr>
          <w:sz w:val="20"/>
          <w:szCs w:val="20"/>
        </w:rPr>
        <w:t>future</w:t>
      </w:r>
      <w:r>
        <w:rPr>
          <w:sz w:val="20"/>
          <w:szCs w:val="20"/>
        </w:rPr>
        <w:t>&gt;</w:t>
      </w:r>
      <w:r w:rsidRPr="00786EE8">
        <w:rPr>
          <w:sz w:val="20"/>
          <w:szCs w:val="20"/>
        </w:rPr>
        <w:t xml:space="preserve"> events, it is the contact of the human soul with the souls of the celestial bodies which</w:t>
      </w:r>
      <w:r>
        <w:rPr>
          <w:sz w:val="20"/>
          <w:szCs w:val="20"/>
        </w:rPr>
        <w:t xml:space="preserve"> [</w:t>
      </w:r>
      <w:r w:rsidRPr="00786EE8">
        <w:rPr>
          <w:sz w:val="20"/>
          <w:szCs w:val="20"/>
        </w:rPr>
        <w:t>...</w:t>
      </w:r>
      <w:r>
        <w:rPr>
          <w:sz w:val="20"/>
          <w:szCs w:val="20"/>
        </w:rPr>
        <w:t xml:space="preserve">] </w:t>
      </w:r>
      <w:r w:rsidRPr="00786EE8">
        <w:rPr>
          <w:sz w:val="20"/>
          <w:szCs w:val="20"/>
        </w:rPr>
        <w:t xml:space="preserve">know what happens in the world of the elements </w:t>
      </w:r>
      <w:r>
        <w:rPr>
          <w:sz w:val="20"/>
          <w:szCs w:val="20"/>
        </w:rPr>
        <w:t>[</w:t>
      </w:r>
      <w:r w:rsidRPr="00786EE8">
        <w:rPr>
          <w:sz w:val="20"/>
          <w:szCs w:val="20"/>
        </w:rPr>
        <w:t>...</w:t>
      </w:r>
      <w:r>
        <w:rPr>
          <w:sz w:val="20"/>
          <w:szCs w:val="20"/>
        </w:rPr>
        <w:t>].</w:t>
      </w:r>
      <w:r w:rsidRPr="00786EE8">
        <w:rPr>
          <w:sz w:val="20"/>
          <w:szCs w:val="20"/>
        </w:rPr>
        <w:t xml:space="preserve"> This contact comes about on the part of the estimation and imagination and through their use, and concerns particular things, whereas contact by means of the intellect is something else, which is not our subject here</w:t>
      </w:r>
      <w:r>
        <w:t>.</w:t>
      </w:r>
      <w:r>
        <w:rPr>
          <w:rStyle w:val="FootnoteReference"/>
        </w:rPr>
        <w:footnoteReference w:id="325"/>
      </w:r>
    </w:p>
    <w:p w14:paraId="13521CCB" w14:textId="77777777" w:rsidR="00244FB6" w:rsidRDefault="00244FB6" w:rsidP="00244FB6">
      <w:pPr>
        <w:ind w:firstLine="0"/>
      </w:pPr>
    </w:p>
    <w:p w14:paraId="50275004" w14:textId="0B543C21" w:rsidR="00244FB6" w:rsidRDefault="00244FB6" w:rsidP="00244FB6">
      <w:pPr>
        <w:ind w:firstLine="0"/>
      </w:pPr>
      <w:r>
        <w:t>As elucidated by Dimitri Gutas, the connection between the animating souls of celestial spheres and the human faculties of imagination and estimation cannot be direct, as the celestial spheres possess immaterial attributes while the internal senses are intrinsic to the animal soul and hence material.</w:t>
      </w:r>
      <w:r>
        <w:rPr>
          <w:rStyle w:val="FootnoteReference"/>
        </w:rPr>
        <w:footnoteReference w:id="326"/>
      </w:r>
      <w:r>
        <w:t xml:space="preserve"> It is the practical intellect that serves as the intermediary, fostering this noetic link between the human soul and the celestial souls. In this capacity, the </w:t>
      </w:r>
      <w:r w:rsidR="000028D0">
        <w:t>estimative</w:t>
      </w:r>
      <w:r>
        <w:t xml:space="preserve"> and </w:t>
      </w:r>
      <w:r w:rsidR="000028D0">
        <w:t>imaginative</w:t>
      </w:r>
      <w:r>
        <w:t xml:space="preserve"> faculties play an instrumental role in assisting the practical intellect in its undertaking.</w:t>
      </w:r>
      <w:r w:rsidRPr="001634C1">
        <w:rPr>
          <w:rStyle w:val="FootnoteReference"/>
        </w:rPr>
        <w:t xml:space="preserve"> </w:t>
      </w:r>
      <w:r>
        <w:rPr>
          <w:rStyle w:val="FootnoteReference"/>
        </w:rPr>
        <w:footnoteReference w:id="327"/>
      </w:r>
    </w:p>
    <w:p w14:paraId="0F35931B" w14:textId="6000A3F4" w:rsidR="00244FB6" w:rsidRPr="0020468F" w:rsidRDefault="00244FB6" w:rsidP="00750A8B">
      <w:r>
        <w:t xml:space="preserve">In his study on </w:t>
      </w:r>
      <w:r w:rsidRPr="0020468F">
        <w:t>al-Rāzī’s account of the practice of talisman-making among the Sabians,</w:t>
      </w:r>
      <w:r>
        <w:t xml:space="preserve"> </w:t>
      </w:r>
      <w:r w:rsidRPr="002F5354">
        <w:t>Michael Noble has delved into the significance of the estimative faculty in the acquisition of occult or supernatural knowledge</w:t>
      </w:r>
      <w:r w:rsidRPr="0020468F">
        <w:t>.</w:t>
      </w:r>
      <w:r w:rsidRPr="0020468F">
        <w:rPr>
          <w:rStyle w:val="FootnoteReference"/>
        </w:rPr>
        <w:footnoteReference w:id="328"/>
      </w:r>
      <w:r w:rsidRPr="0020468F">
        <w:t xml:space="preserve"> </w:t>
      </w:r>
      <w:r w:rsidRPr="002F5354">
        <w:t xml:space="preserve">The ensuing analysis endeavours to draw a comparative perspective between </w:t>
      </w:r>
      <w:r w:rsidR="00DE1546">
        <w:t xml:space="preserve">geomancy </w:t>
      </w:r>
      <w:r w:rsidRPr="002F5354">
        <w:t>and the art of talisman production among the Sabians. This comparison serves to elucidate the mechanisms by which a geomancer can gain insights into the thoughts and desires of their</w:t>
      </w:r>
      <w:r>
        <w:t xml:space="preserve"> client through the operations of his estimative </w:t>
      </w:r>
      <w:r>
        <w:lastRenderedPageBreak/>
        <w:t>power.</w:t>
      </w:r>
      <w:r w:rsidRPr="002F5354">
        <w:t xml:space="preserve"> </w:t>
      </w:r>
      <w:r>
        <w:t>T</w:t>
      </w:r>
      <w:r w:rsidRPr="002F5354">
        <w:t xml:space="preserve">he Sabians, an astrolatrous pagan group from the Syrian city of Ḥarrān, maintained their distinct religious practices and beliefs even after the arrival of Muslim Arabs in the seventh century, allowing them to coalesce under the appellation </w:t>
      </w:r>
      <w:r>
        <w:t>‘</w:t>
      </w:r>
      <w:r w:rsidRPr="002F5354">
        <w:t>Sabian</w:t>
      </w:r>
      <w:r>
        <w:t>’</w:t>
      </w:r>
      <w:r w:rsidRPr="002F5354">
        <w:t xml:space="preserve"> (Arabic: </w:t>
      </w:r>
      <w:r w:rsidRPr="002F5354">
        <w:rPr>
          <w:i/>
          <w:iCs/>
        </w:rPr>
        <w:t>Ṣābi’a</w:t>
      </w:r>
      <w:r w:rsidRPr="002F5354">
        <w:t>) as recogni</w:t>
      </w:r>
      <w:r>
        <w:t>s</w:t>
      </w:r>
      <w:r w:rsidRPr="002F5354">
        <w:t>ed in the Quran as one of the legitimate religious groups deserving protection. This afforded them the freedom to continue their religious rituals while also enabling their active participation in intellectual circles, particularly within the caliphal court. Foremost among these intellectuals was Thābit ibn Qurra (</w:t>
      </w:r>
      <w:r w:rsidR="00750A8B">
        <w:t>b.</w:t>
      </w:r>
      <w:r w:rsidRPr="002F5354">
        <w:t>836</w:t>
      </w:r>
      <w:r w:rsidR="00750A8B">
        <w:t xml:space="preserve"> </w:t>
      </w:r>
      <w:r w:rsidRPr="002F5354">
        <w:t>-</w:t>
      </w:r>
      <w:r w:rsidR="00750A8B">
        <w:t xml:space="preserve"> d.</w:t>
      </w:r>
      <w:r w:rsidRPr="002F5354">
        <w:t>901), who settled in Baghdad during the reign of Caliph al-Mu‘taḍid, where he achieved eminence as a mathematician, astronomer, and translator</w:t>
      </w:r>
      <w:r w:rsidRPr="0020468F">
        <w:t>.</w:t>
      </w:r>
      <w:r w:rsidRPr="0020468F">
        <w:rPr>
          <w:rStyle w:val="FootnoteReference"/>
        </w:rPr>
        <w:footnoteReference w:id="329"/>
      </w:r>
      <w:r>
        <w:t xml:space="preserve"> </w:t>
      </w:r>
      <w:r w:rsidRPr="00BE45D1">
        <w:t>Despite the Sabian religious tradition persisting until the eleventh century, there remains a scarcity of knowledge regarding the specifics of the astrolatrous rituals they practiced</w:t>
      </w:r>
      <w:r w:rsidRPr="0020468F">
        <w:t>.</w:t>
      </w:r>
      <w:r>
        <w:rPr>
          <w:rStyle w:val="FootnoteReference"/>
        </w:rPr>
        <w:footnoteReference w:id="330"/>
      </w:r>
    </w:p>
    <w:p w14:paraId="15592AA2" w14:textId="2E1C5CD6" w:rsidR="00244FB6" w:rsidRPr="009125A6" w:rsidRDefault="00244FB6" w:rsidP="00244FB6">
      <w:r w:rsidRPr="009125A6">
        <w:t>Fakhr al-Dīn al-Rāzī (</w:t>
      </w:r>
      <w:r w:rsidR="00DD097B">
        <w:t>b.</w:t>
      </w:r>
      <w:r w:rsidRPr="009125A6">
        <w:t>1149-</w:t>
      </w:r>
      <w:r w:rsidR="00DD097B">
        <w:t>d.</w:t>
      </w:r>
      <w:r w:rsidRPr="009125A6">
        <w:t xml:space="preserve">1210) was a Persian </w:t>
      </w:r>
      <w:r>
        <w:t>polymath</w:t>
      </w:r>
      <w:r w:rsidRPr="009125A6">
        <w:t xml:space="preserve"> and theologian</w:t>
      </w:r>
      <w:r>
        <w:t xml:space="preserve"> </w:t>
      </w:r>
      <w:r w:rsidRPr="000C3B5D">
        <w:t>whose works span a diverse array of disciplines, encompassing history, astronomy, physics, medicine, and jurisprudence</w:t>
      </w:r>
      <w:r w:rsidRPr="009125A6">
        <w:t>.</w:t>
      </w:r>
      <w:r w:rsidRPr="009125A6">
        <w:rPr>
          <w:rStyle w:val="FootnoteReference"/>
        </w:rPr>
        <w:footnoteReference w:id="331"/>
      </w:r>
      <w:r w:rsidRPr="009125A6">
        <w:t xml:space="preserve"> </w:t>
      </w:r>
      <w:r>
        <w:t>Within</w:t>
      </w:r>
      <w:r w:rsidRPr="009125A6">
        <w:t xml:space="preserve"> his treatise</w:t>
      </w:r>
      <w:r>
        <w:t xml:space="preserve"> known as</w:t>
      </w:r>
      <w:r w:rsidRPr="009125A6">
        <w:t xml:space="preserve"> </w:t>
      </w:r>
      <w:r w:rsidRPr="009125A6">
        <w:rPr>
          <w:i/>
          <w:iCs/>
        </w:rPr>
        <w:t>Sirr al maktūm</w:t>
      </w:r>
      <w:r w:rsidRPr="009125A6">
        <w:t xml:space="preserve"> (The Hidden Secret),</w:t>
      </w:r>
      <w:r w:rsidRPr="000C3B5D">
        <w:t xml:space="preserve"> he undertook the ambitious task of reimagining the foundational principles underpinning the Sabian religion. He accomplished this by adapting their tradition to the framework of Avicennian cosmology and psychology.</w:t>
      </w:r>
      <w:r>
        <w:t xml:space="preserve"> </w:t>
      </w:r>
      <w:r w:rsidRPr="000C3B5D">
        <w:t xml:space="preserve">A central element of his discourse within this work was the formulation of a comprehensive theory pertaining to the craft of talisman-making, wherein the interplay of human agency and the interaction between the human soul and the </w:t>
      </w:r>
      <w:r>
        <w:t xml:space="preserve">souls of the </w:t>
      </w:r>
      <w:r w:rsidRPr="000C3B5D">
        <w:t xml:space="preserve">celestial spheres assumed </w:t>
      </w:r>
      <w:r>
        <w:t>crucial</w:t>
      </w:r>
      <w:r w:rsidRPr="000C3B5D">
        <w:t xml:space="preserve"> importance for the efficacy </w:t>
      </w:r>
      <w:r w:rsidRPr="000C3B5D">
        <w:lastRenderedPageBreak/>
        <w:t>of such practice</w:t>
      </w:r>
      <w:r w:rsidRPr="009125A6">
        <w:t>.</w:t>
      </w:r>
      <w:r w:rsidRPr="009125A6">
        <w:rPr>
          <w:rStyle w:val="FootnoteReference"/>
        </w:rPr>
        <w:footnoteReference w:id="332"/>
      </w:r>
      <w:r>
        <w:t xml:space="preserve"> </w:t>
      </w:r>
      <w:r w:rsidRPr="000C3B5D">
        <w:t>Al-Rāzī</w:t>
      </w:r>
      <w:r>
        <w:t>’</w:t>
      </w:r>
      <w:r w:rsidRPr="000C3B5D">
        <w:t xml:space="preserve">s account of the Sabian ritual involved in the creation of talismans rested upon a fundamental belief that all terrestrial events were intricately linked to the movements of the celestial spheres, each of which was inhabited by a multitude of spirits. Consequently, the world inhabited by humans was perceived as a vast nexus of celestial-sublunary connections. In this context, talismanic rituals were devised to harness the powers of these celestial spirits, thereby engendering transformative changes on </w:t>
      </w:r>
      <w:r w:rsidR="00030C27">
        <w:t>Earth</w:t>
      </w:r>
      <w:r w:rsidRPr="000C3B5D">
        <w:t>. By establishing a noetic, non-physical connection between the celestial spheres and the practitioner</w:t>
      </w:r>
      <w:r>
        <w:t>’</w:t>
      </w:r>
      <w:r w:rsidRPr="000C3B5D">
        <w:t>s own soul, the talisman-maker acquired the ability to fathom the enigmas of the cosmos, predict forthcoming events, and channel the astral powers into the creation of talismans. This noetic connection between the human soul and the celestial souls was actuali</w:t>
      </w:r>
      <w:r>
        <w:t>s</w:t>
      </w:r>
      <w:r w:rsidRPr="000C3B5D">
        <w:t>ed through the intermediation of the estimative faculty, a</w:t>
      </w:r>
      <w:r>
        <w:t xml:space="preserve"> faculty</w:t>
      </w:r>
      <w:r w:rsidRPr="000C3B5D">
        <w:t xml:space="preserve"> that functioned as the bridge between the material and the immaterial</w:t>
      </w:r>
      <w:r w:rsidRPr="009125A6">
        <w:t>.</w:t>
      </w:r>
      <w:r w:rsidRPr="009125A6">
        <w:rPr>
          <w:rStyle w:val="FootnoteReference"/>
        </w:rPr>
        <w:footnoteReference w:id="333"/>
      </w:r>
      <w:r>
        <w:t xml:space="preserve"> </w:t>
      </w:r>
      <w:r w:rsidRPr="00726732">
        <w:t>While certain conditions conducive to the acquisition of occult powers were deemed innate, stemming from astrological conditions at the time of one</w:t>
      </w:r>
      <w:r>
        <w:t>’</w:t>
      </w:r>
      <w:r w:rsidRPr="00726732">
        <w:t>s birth, al-Rāzī also highlighted the significance of proactive efforts. These efforts pertained to the meticulous management of both body and soul, involving the removal of all distractions that might impede the soul from attaining focused alignment and thus establish a connection with the celestial spirits</w:t>
      </w:r>
      <w:r w:rsidRPr="009125A6">
        <w:t>.</w:t>
      </w:r>
      <w:r w:rsidRPr="009125A6">
        <w:rPr>
          <w:rStyle w:val="FootnoteReference"/>
        </w:rPr>
        <w:footnoteReference w:id="334"/>
      </w:r>
    </w:p>
    <w:p w14:paraId="18C548B1" w14:textId="4FA58607" w:rsidR="00244FB6" w:rsidRPr="009125A6" w:rsidRDefault="00244FB6" w:rsidP="00244FB6">
      <w:r>
        <w:t>M</w:t>
      </w:r>
      <w:r w:rsidRPr="00726732">
        <w:t>edieval geomantic literature occasionally advanced the notion that not everyone possessed the inherent potential to become a proficient geomancer. Such texts delineated a specific set of prerequisites and characteristics deemed essential for a geomancer, reminiscent of the medieval descriptions of the physical attributes and predispositions required of a magician, encompassing considerations related to one</w:t>
      </w:r>
      <w:r w:rsidR="006B2139">
        <w:t>’</w:t>
      </w:r>
      <w:r w:rsidRPr="00726732">
        <w:t xml:space="preserve">s constitution, birth horoscope, and humoral disposition. Furthermore, a prescribed code of conduct was outlined to adequately </w:t>
      </w:r>
      <w:r w:rsidRPr="00726732">
        <w:lastRenderedPageBreak/>
        <w:t xml:space="preserve">prepare the geomancer for the practice of their art. This entailed observing specific rituals, such as performing geomancy at a designated time, typically during </w:t>
      </w:r>
      <w:r>
        <w:t xml:space="preserve">the night or </w:t>
      </w:r>
      <w:r w:rsidRPr="00726732">
        <w:t>the break of dawn, observing fasting,</w:t>
      </w:r>
      <w:r w:rsidR="003E5CFC">
        <w:t xml:space="preserve"> </w:t>
      </w:r>
      <w:r w:rsidRPr="00726732">
        <w:t xml:space="preserve">using </w:t>
      </w:r>
      <w:r>
        <w:t>immaculate</w:t>
      </w:r>
      <w:r w:rsidRPr="00726732">
        <w:t xml:space="preserve"> sand that had not been trodden </w:t>
      </w:r>
      <w:r w:rsidRPr="003E5CFC">
        <w:t>upon</w:t>
      </w:r>
      <w:r w:rsidR="003E5CFC" w:rsidRPr="003E5CFC">
        <w:t>,</w:t>
      </w:r>
      <w:r w:rsidR="00345BD5" w:rsidRPr="003E5CFC">
        <w:t xml:space="preserve"> and whispering </w:t>
      </w:r>
      <w:r w:rsidR="003E5CFC" w:rsidRPr="003E5CFC">
        <w:t>invocations to the divine</w:t>
      </w:r>
      <w:r w:rsidRPr="003E5CFC">
        <w:t>.</w:t>
      </w:r>
      <w:r w:rsidRPr="009125A6">
        <w:t xml:space="preserve"> </w:t>
      </w:r>
      <w:r w:rsidR="00345BD5">
        <w:t xml:space="preserve">For Instance, </w:t>
      </w:r>
      <w:r w:rsidR="00345BD5" w:rsidRPr="003E5CFC">
        <w:t xml:space="preserve">a passage from the </w:t>
      </w:r>
      <w:r w:rsidR="00345BD5" w:rsidRPr="003E5CFC">
        <w:rPr>
          <w:i/>
          <w:iCs/>
        </w:rPr>
        <w:t>Ars geomantiae</w:t>
      </w:r>
      <w:r w:rsidR="00345BD5" w:rsidRPr="003E5CFC">
        <w:t xml:space="preserve"> of Hugo Sanctalliensis </w:t>
      </w:r>
      <w:r w:rsidR="00E47E20" w:rsidRPr="003E5CFC">
        <w:t>tells</w:t>
      </w:r>
      <w:r w:rsidR="00345BD5" w:rsidRPr="003E5CFC">
        <w:t xml:space="preserve"> the practitioner to use: “the most clear sand, trampled upon by no one and taken from the depths before sunrise, and in the same place it must be passed from above through the most clear and fresh cloth</w:t>
      </w:r>
      <w:r w:rsidR="00E12841">
        <w:t>.</w:t>
      </w:r>
      <w:r w:rsidR="00345BD5" w:rsidRPr="003E5CFC">
        <w:t>”</w:t>
      </w:r>
      <w:r w:rsidR="00345BD5" w:rsidRPr="003E5CFC">
        <w:rPr>
          <w:rStyle w:val="FootnoteReference"/>
        </w:rPr>
        <w:footnoteReference w:id="335"/>
      </w:r>
      <w:r w:rsidR="00345BD5" w:rsidRPr="003E5CFC">
        <w:t xml:space="preserve"> </w:t>
      </w:r>
      <w:r w:rsidR="00E12841">
        <w:t>F</w:t>
      </w:r>
      <w:r w:rsidR="00345BD5" w:rsidRPr="003E5CFC">
        <w:t xml:space="preserve">urthermore, the </w:t>
      </w:r>
      <w:r w:rsidR="00345BD5" w:rsidRPr="003E5CFC">
        <w:rPr>
          <w:i/>
          <w:iCs/>
        </w:rPr>
        <w:t>Liber arenalis scientiae</w:t>
      </w:r>
      <w:r w:rsidR="00345BD5" w:rsidRPr="003E5CFC">
        <w:t xml:space="preserve"> instructs: “with the tip of the fingers of the right hand, take a small amount of the same sand, saying </w:t>
      </w:r>
      <w:r w:rsidR="009C48DC">
        <w:t>‘i</w:t>
      </w:r>
      <w:r w:rsidR="00345BD5" w:rsidRPr="003E5CFC">
        <w:t>n the name of God, in whose supreme and invaluable knowledge I trust.’ Then, holding the fingers with the taken sand around your lips, contemplate in your mind what you desire to know.”</w:t>
      </w:r>
      <w:r w:rsidR="00925F50" w:rsidRPr="003E5CFC">
        <w:rPr>
          <w:rStyle w:val="FootnoteReference"/>
        </w:rPr>
        <w:footnoteReference w:id="336"/>
      </w:r>
      <w:r w:rsidR="00345BD5" w:rsidRPr="003E5CFC">
        <w:t xml:space="preserve"> </w:t>
      </w:r>
      <w:r w:rsidRPr="005C65FE">
        <w:t xml:space="preserve">Similar forms of spiritual asceticism are discernible in the talismanic rituals </w:t>
      </w:r>
      <w:r>
        <w:t>described</w:t>
      </w:r>
      <w:r w:rsidRPr="005C65FE">
        <w:t xml:space="preserve"> by al-Rāzī. Numerous parallels can be drawn between these talismanic practices and the process of casting geomantic charts. In both instances, the practitioners engaged in ascetic practices and harnessed techniques involving intense mental concentration and spiritual self-discipline to establish a profound connection between their own soul and the celestial spheres. This connection was sought after to gain esoteric knowledge and to channel the influences emanating from the celestial realms.</w:t>
      </w:r>
      <w:r>
        <w:t xml:space="preserve"> </w:t>
      </w:r>
      <w:r w:rsidR="00F4378C">
        <w:t>Moreover, another parallel emerges</w:t>
      </w:r>
      <w:r w:rsidRPr="001F6A82">
        <w:t xml:space="preserve"> in the way these influences were managed: the talisman-maker </w:t>
      </w:r>
      <w:r w:rsidR="00F4378C">
        <w:t>receives the astral power into himself and utilises it for</w:t>
      </w:r>
      <w:r w:rsidRPr="001F6A82">
        <w:t xml:space="preserve"> the creation of a talisman, thereby endowing it with specific </w:t>
      </w:r>
      <w:r w:rsidR="00F4378C">
        <w:t xml:space="preserve">astral </w:t>
      </w:r>
      <w:r w:rsidRPr="001F6A82">
        <w:t>powers</w:t>
      </w:r>
      <w:r w:rsidR="00F4378C">
        <w:t>. Similarly,</w:t>
      </w:r>
      <w:r w:rsidRPr="001F6A82">
        <w:t xml:space="preserve"> the geomancer </w:t>
      </w:r>
      <w:r w:rsidR="00F4378C" w:rsidRPr="001F6A82">
        <w:t>channels</w:t>
      </w:r>
      <w:r w:rsidRPr="001F6A82">
        <w:t xml:space="preserve"> the celestial influences into </w:t>
      </w:r>
      <w:r>
        <w:t>himself</w:t>
      </w:r>
      <w:r w:rsidR="00F4378C">
        <w:t xml:space="preserve"> and is moved by the virtue of the spheres while drawing the geomantic figures</w:t>
      </w:r>
      <w:r w:rsidRPr="001F6A82">
        <w:t xml:space="preserve">. </w:t>
      </w:r>
      <w:r w:rsidR="00F4378C">
        <w:t>Th</w:t>
      </w:r>
      <w:r w:rsidR="00B866BB">
        <w:t xml:space="preserve">e geomantic technique </w:t>
      </w:r>
      <w:r w:rsidRPr="001F6A82">
        <w:t xml:space="preserve">could metaphorically </w:t>
      </w:r>
      <w:r w:rsidR="00F4378C">
        <w:t>be described as a process in which</w:t>
      </w:r>
      <w:r w:rsidRPr="001F6A82">
        <w:t xml:space="preserve"> the geomancer </w:t>
      </w:r>
      <w:r w:rsidR="00F4378C">
        <w:lastRenderedPageBreak/>
        <w:t xml:space="preserve">is </w:t>
      </w:r>
      <w:r w:rsidRPr="001F6A82">
        <w:t xml:space="preserve">transformed into a living talisman, acting in accordance with the celestial movements, and the geomantic chart constructed </w:t>
      </w:r>
      <w:r w:rsidR="00F4378C">
        <w:t>is</w:t>
      </w:r>
      <w:r w:rsidRPr="001F6A82">
        <w:t xml:space="preserve"> the resultant effect stemming from this ritualistic endeavour.</w:t>
      </w:r>
      <w:r w:rsidRPr="009125A6">
        <w:rPr>
          <w:rStyle w:val="FootnoteReference"/>
        </w:rPr>
        <w:footnoteReference w:id="337"/>
      </w:r>
      <w:r w:rsidRPr="009125A6">
        <w:t xml:space="preserve"> </w:t>
      </w:r>
      <w:r w:rsidRPr="001F6A82">
        <w:t>Michael Noble similarly expounds upon the concept of the practitioner assuming the role of a talisman in this process</w:t>
      </w:r>
      <w:r>
        <w:t>:</w:t>
      </w:r>
    </w:p>
    <w:p w14:paraId="63827ED9" w14:textId="77777777" w:rsidR="00244FB6" w:rsidRPr="009125A6" w:rsidRDefault="00244FB6" w:rsidP="00244FB6"/>
    <w:p w14:paraId="20492ECA" w14:textId="51E08DEC" w:rsidR="00244FB6" w:rsidRPr="009125A6" w:rsidRDefault="00244FB6" w:rsidP="00244FB6">
      <w:pPr>
        <w:ind w:left="567" w:firstLine="0"/>
        <w:rPr>
          <w:sz w:val="20"/>
          <w:szCs w:val="20"/>
        </w:rPr>
      </w:pPr>
      <w:r w:rsidRPr="009125A6">
        <w:rPr>
          <w:sz w:val="20"/>
          <w:szCs w:val="20"/>
        </w:rPr>
        <w:t>During the ritual of planetary ascent, the elemental forces which passively receive the dynamically active celestial forces are internal faculties of the aspirant’s soul; the active earthly psychic force which is involved in the process is the aspirant’s rational soul which willingly submits to the transformation. It is in this sense that he himself becomes a “talisman”. With the completion of the ritual [...] he gains knowledge of and power over all that the celestial spheres hold sway. It is a process of ‘self-talismanisation’.</w:t>
      </w:r>
      <w:r w:rsidRPr="009125A6">
        <w:rPr>
          <w:rStyle w:val="FootnoteReference"/>
          <w:sz w:val="20"/>
          <w:szCs w:val="20"/>
        </w:rPr>
        <w:footnoteReference w:id="338"/>
      </w:r>
    </w:p>
    <w:p w14:paraId="3294BAB3" w14:textId="77777777" w:rsidR="00244FB6" w:rsidRPr="00CB7BD9" w:rsidRDefault="00244FB6" w:rsidP="00244FB6">
      <w:pPr>
        <w:rPr>
          <w:color w:val="7030A0"/>
        </w:rPr>
      </w:pPr>
    </w:p>
    <w:p w14:paraId="0ECB2B2A" w14:textId="7321E43D" w:rsidR="00244FB6" w:rsidRDefault="00B81CDB" w:rsidP="00244FB6">
      <w:pPr>
        <w:ind w:firstLine="567"/>
      </w:pPr>
      <w:r>
        <w:t>From this analysis emerges that in</w:t>
      </w:r>
      <w:r w:rsidR="00244FB6" w:rsidRPr="001F6A82">
        <w:t xml:space="preserve"> the realms of both geomancy and talismanic craft, practitioners follow</w:t>
      </w:r>
      <w:r w:rsidR="009A434A">
        <w:t>ed</w:t>
      </w:r>
      <w:r w:rsidR="00244FB6" w:rsidRPr="001F6A82">
        <w:t xml:space="preserve"> a specific regimen of actions and behaviours designed to purify their soul and body, transforming them into vessels capable of receiving the celestial influences. In doing so, they momentarily relinquish</w:t>
      </w:r>
      <w:r w:rsidR="009A434A">
        <w:t>ed</w:t>
      </w:r>
      <w:r w:rsidR="00244FB6" w:rsidRPr="001F6A82">
        <w:t xml:space="preserve"> their personal agency and bec</w:t>
      </w:r>
      <w:r w:rsidR="009A434A">
        <w:t>a</w:t>
      </w:r>
      <w:r w:rsidR="00244FB6" w:rsidRPr="001F6A82">
        <w:t>me conduits for the influences of heavenly bodies. These practices empower</w:t>
      </w:r>
      <w:r w:rsidR="009A434A">
        <w:t>ed</w:t>
      </w:r>
      <w:r w:rsidR="00244FB6" w:rsidRPr="001F6A82">
        <w:t xml:space="preserve"> them to attain hidden knowledge regarding past, present, and future events</w:t>
      </w:r>
      <w:r w:rsidR="009A434A">
        <w:t xml:space="preserve"> and to gain insight into the human soul</w:t>
      </w:r>
      <w:r w:rsidR="00244FB6">
        <w:t xml:space="preserve"> – in the case of geomancy –</w:t>
      </w:r>
      <w:r w:rsidR="00244FB6" w:rsidRPr="001F6A82">
        <w:t xml:space="preserve"> and to invest natural objects with specific</w:t>
      </w:r>
      <w:r w:rsidR="00244FB6">
        <w:t xml:space="preserve"> </w:t>
      </w:r>
      <w:r w:rsidR="00244FB6" w:rsidRPr="001F6A82">
        <w:t>powers</w:t>
      </w:r>
      <w:r w:rsidR="00244FB6">
        <w:t xml:space="preserve"> – in talisman making</w:t>
      </w:r>
      <w:r w:rsidR="00244FB6" w:rsidRPr="001F6A82">
        <w:t xml:space="preserve">. This </w:t>
      </w:r>
      <w:r w:rsidR="009A434A">
        <w:t xml:space="preserve">aspect </w:t>
      </w:r>
      <w:r w:rsidR="00244FB6" w:rsidRPr="001F6A82">
        <w:t>distinguishes geomancy from other forms of divination, where practitioners</w:t>
      </w:r>
      <w:r w:rsidR="009A434A">
        <w:t xml:space="preserve"> obtained knowledge by</w:t>
      </w:r>
      <w:r w:rsidR="00244FB6" w:rsidRPr="001F6A82">
        <w:t xml:space="preserve"> interpret</w:t>
      </w:r>
      <w:r w:rsidR="009A434A">
        <w:t>ing</w:t>
      </w:r>
      <w:r w:rsidR="00244FB6" w:rsidRPr="001F6A82">
        <w:t xml:space="preserve"> external signs such as stars or natural elements. </w:t>
      </w:r>
      <w:r w:rsidR="00244FB6" w:rsidRPr="00425A3D">
        <w:t>As mentioned earlier, the geomancer</w:t>
      </w:r>
      <w:r w:rsidR="00244FB6">
        <w:t>’</w:t>
      </w:r>
      <w:r w:rsidR="00244FB6" w:rsidRPr="00425A3D">
        <w:t xml:space="preserve">s role in </w:t>
      </w:r>
      <w:r w:rsidR="009A434A">
        <w:t>his</w:t>
      </w:r>
      <w:r w:rsidR="00244FB6" w:rsidRPr="00425A3D">
        <w:t xml:space="preserve"> </w:t>
      </w:r>
      <w:r w:rsidR="009A434A">
        <w:t xml:space="preserve">practice </w:t>
      </w:r>
      <w:r w:rsidR="00244FB6" w:rsidRPr="00425A3D">
        <w:t xml:space="preserve">is dual: initially, they act without conscious </w:t>
      </w:r>
      <w:r w:rsidR="00244FB6" w:rsidRPr="00425A3D">
        <w:lastRenderedPageBreak/>
        <w:t>rational deliberation, allowing themselves to be conduits for celestial influence, which they then inscribe upon the sand. Subsequently, they assume the role of interpreter</w:t>
      </w:r>
      <w:r w:rsidR="0049445C">
        <w:t>s</w:t>
      </w:r>
      <w:r w:rsidR="00244FB6" w:rsidRPr="00425A3D">
        <w:t>, deciphering the geomantic chart to extract insights into future events and uncover hidden desires and thoughts within their client</w:t>
      </w:r>
      <w:r w:rsidR="00244FB6">
        <w:t>’</w:t>
      </w:r>
      <w:r w:rsidR="00244FB6" w:rsidRPr="00425A3D">
        <w:t>s soul.</w:t>
      </w:r>
    </w:p>
    <w:p w14:paraId="741E05EE" w14:textId="457DB5EE" w:rsidR="00244FB6" w:rsidRDefault="00244FB6" w:rsidP="00A443F5">
      <w:pPr>
        <w:ind w:firstLine="567"/>
      </w:pPr>
      <w:r w:rsidRPr="00DD33E1">
        <w:t>The hint provided by William of Moerbeke</w:t>
      </w:r>
      <w:r w:rsidR="0031183A">
        <w:t>’</w:t>
      </w:r>
      <w:r w:rsidRPr="00DD33E1">
        <w:t xml:space="preserve">s </w:t>
      </w:r>
      <w:r w:rsidRPr="009100F0">
        <w:rPr>
          <w:i/>
          <w:iCs/>
        </w:rPr>
        <w:t>Geomantia</w:t>
      </w:r>
      <w:r w:rsidRPr="00DD33E1">
        <w:t xml:space="preserve"> regarding the possible involvement of the estimative faculty in geomantic prediction</w:t>
      </w:r>
      <w:r w:rsidR="0049445C">
        <w:t>s</w:t>
      </w:r>
      <w:r w:rsidRPr="00DD33E1">
        <w:t xml:space="preserve"> contributes to </w:t>
      </w:r>
      <w:r w:rsidR="0049445C">
        <w:t xml:space="preserve">shedding light </w:t>
      </w:r>
      <w:r w:rsidRPr="00DD33E1">
        <w:t xml:space="preserve">the epistemological framework of this divinatory practice. </w:t>
      </w:r>
      <w:r w:rsidR="0049445C">
        <w:t xml:space="preserve">While there is no mention of the </w:t>
      </w:r>
      <w:r w:rsidR="0049445C" w:rsidRPr="008E2CF3">
        <w:rPr>
          <w:i/>
          <w:iCs/>
        </w:rPr>
        <w:t>vis aestimativa</w:t>
      </w:r>
      <w:r w:rsidR="0049445C">
        <w:t xml:space="preserve"> in early Latin translations of Arabic geomantic text, the use of this context in Moerbeke’s explanation of the powers of the geomancer contributes to shedding light on how this discipline was perceived in </w:t>
      </w:r>
      <w:r w:rsidR="0087252B">
        <w:t>Europe</w:t>
      </w:r>
      <w:r w:rsidR="0049445C">
        <w:t xml:space="preserve"> and represents an attempt to systematis</w:t>
      </w:r>
      <w:r w:rsidR="0049445C" w:rsidRPr="00DD33E1">
        <w:t>e</w:t>
      </w:r>
      <w:r w:rsidRPr="00DD33E1">
        <w:t xml:space="preserve"> </w:t>
      </w:r>
      <w:r w:rsidR="0049445C">
        <w:t xml:space="preserve">geomancy and to explain the noetic processes hidden beneath the formation of the geomantic figures. The </w:t>
      </w:r>
      <w:r w:rsidRPr="00DD33E1">
        <w:t>comparative analysis between geomancy and the art of crafting talismans serves primarily as an explanatory tool, elucidating the cosmological context within which the practitioner operates. However, it</w:t>
      </w:r>
      <w:r w:rsidR="003B369A">
        <w:t>’</w:t>
      </w:r>
      <w:r w:rsidRPr="00DD33E1">
        <w:t>s noteworthy that the presence of a common legendary figure, Ṭumṭum al-Hindī (Ṭumṭum the Indian), in the genealogy of both geomancy and Sabian rituals may not be coincidental</w:t>
      </w:r>
      <w:r w:rsidRPr="00404020">
        <w:t>.</w:t>
      </w:r>
      <w:r>
        <w:t xml:space="preserve"> </w:t>
      </w:r>
      <w:r w:rsidRPr="00DD33E1">
        <w:t>Ṭumṭum al-Hindī is referenced in both the transmission of geomantic practices and by al-Rāzī as an authority on occult powers.</w:t>
      </w:r>
      <w:r w:rsidRPr="00404020">
        <w:rPr>
          <w:rStyle w:val="FootnoteReference"/>
        </w:rPr>
        <w:footnoteReference w:id="339"/>
      </w:r>
      <w:r w:rsidRPr="00DD33E1">
        <w:t xml:space="preserve"> While the elucidation of geomantic predictions within the cosmological framework of Sabian rituals remains speculative, this analysis underscores the intricate theoretical underpinnings within which geomancy is situated.</w:t>
      </w:r>
      <w:r w:rsidRPr="00404020">
        <w:t xml:space="preserve"> </w:t>
      </w:r>
    </w:p>
    <w:p w14:paraId="443B7A3F" w14:textId="77777777" w:rsidR="00A443F5" w:rsidRDefault="00A443F5" w:rsidP="00A443F5">
      <w:pPr>
        <w:ind w:firstLine="567"/>
      </w:pPr>
    </w:p>
    <w:p w14:paraId="3ED6809C" w14:textId="4C3CB2CC" w:rsidR="00244FB6" w:rsidRPr="00A443F5" w:rsidRDefault="00244FB6" w:rsidP="00A443F5">
      <w:pPr>
        <w:pStyle w:val="Heading2"/>
        <w:ind w:firstLine="0"/>
        <w:rPr>
          <w:rFonts w:asciiTheme="majorBidi" w:hAnsiTheme="majorBidi"/>
          <w:color w:val="auto"/>
          <w:sz w:val="20"/>
          <w:szCs w:val="20"/>
        </w:rPr>
      </w:pPr>
      <w:bookmarkStart w:id="98" w:name="_Toc165108663"/>
      <w:r w:rsidRPr="00A443F5">
        <w:rPr>
          <w:rFonts w:asciiTheme="majorBidi" w:hAnsiTheme="majorBidi"/>
          <w:color w:val="auto"/>
          <w:sz w:val="20"/>
          <w:szCs w:val="20"/>
        </w:rPr>
        <w:t>V.</w:t>
      </w:r>
      <w:r w:rsidR="002E14B4">
        <w:rPr>
          <w:rFonts w:asciiTheme="majorBidi" w:hAnsiTheme="majorBidi"/>
          <w:color w:val="auto"/>
          <w:sz w:val="20"/>
          <w:szCs w:val="20"/>
        </w:rPr>
        <w:t>2</w:t>
      </w:r>
      <w:r w:rsidRPr="00A443F5">
        <w:rPr>
          <w:rFonts w:asciiTheme="majorBidi" w:hAnsiTheme="majorBidi"/>
          <w:i/>
          <w:iCs/>
          <w:color w:val="auto"/>
          <w:sz w:val="20"/>
          <w:szCs w:val="20"/>
        </w:rPr>
        <w:t xml:space="preserve"> </w:t>
      </w:r>
      <w:r w:rsidRPr="00A443F5">
        <w:rPr>
          <w:rFonts w:asciiTheme="majorBidi" w:hAnsiTheme="majorBidi"/>
          <w:color w:val="auto"/>
          <w:sz w:val="20"/>
          <w:szCs w:val="20"/>
        </w:rPr>
        <w:t>GEOMANCY AND ONEIROMANCY: NATURAL PERCEPTION OR DIVINE INSPIRATION?</w:t>
      </w:r>
      <w:bookmarkEnd w:id="98"/>
    </w:p>
    <w:p w14:paraId="4610B1F8" w14:textId="77777777" w:rsidR="00244FB6" w:rsidRPr="00733309" w:rsidRDefault="00244FB6" w:rsidP="00244FB6">
      <w:pPr>
        <w:ind w:firstLine="0"/>
        <w:rPr>
          <w:i/>
          <w:iCs/>
          <w:sz w:val="20"/>
          <w:szCs w:val="20"/>
        </w:rPr>
      </w:pPr>
    </w:p>
    <w:p w14:paraId="09885402" w14:textId="304FAF9D" w:rsidR="00244FB6" w:rsidRDefault="00244FB6" w:rsidP="00244FB6">
      <w:r>
        <w:t>Several</w:t>
      </w:r>
      <w:r w:rsidRPr="002C67D8">
        <w:t xml:space="preserve"> parallels</w:t>
      </w:r>
      <w:r>
        <w:t xml:space="preserve"> can be drawn</w:t>
      </w:r>
      <w:r w:rsidRPr="002C67D8">
        <w:t xml:space="preserve"> between geomancy and oneiromancy (dream interpretation), evident in various sources. Two examples are Ibn Khaldūn</w:t>
      </w:r>
      <w:r>
        <w:t>’</w:t>
      </w:r>
      <w:r w:rsidRPr="002C67D8">
        <w:t xml:space="preserve">s </w:t>
      </w:r>
      <w:r w:rsidRPr="002C67D8">
        <w:rPr>
          <w:i/>
          <w:iCs/>
        </w:rPr>
        <w:t>Muqaddima</w:t>
      </w:r>
      <w:r w:rsidRPr="002C67D8">
        <w:t xml:space="preserve"> and </w:t>
      </w:r>
      <w:r w:rsidRPr="002C67D8">
        <w:lastRenderedPageBreak/>
        <w:t>the descriptions of dreams in Dante Alighieri</w:t>
      </w:r>
      <w:r>
        <w:t>’</w:t>
      </w:r>
      <w:r w:rsidRPr="002C67D8">
        <w:t xml:space="preserve">s </w:t>
      </w:r>
      <w:r w:rsidRPr="002C67D8">
        <w:rPr>
          <w:i/>
          <w:iCs/>
        </w:rPr>
        <w:t>Divina Commedia</w:t>
      </w:r>
      <w:r w:rsidRPr="002C67D8">
        <w:t>. In both cases, the mental state of the practitioner</w:t>
      </w:r>
      <w:r>
        <w:t xml:space="preserve"> and of the dreamer</w:t>
      </w:r>
      <w:r w:rsidRPr="002C67D8">
        <w:t xml:space="preserve"> holds</w:t>
      </w:r>
      <w:r>
        <w:t xml:space="preserve"> a precise</w:t>
      </w:r>
      <w:r w:rsidRPr="002C67D8">
        <w:t xml:space="preserve"> significance. They are required to free their souls from the distractions of sensory inputs and bodily passions, allowing their soul to establish a connection with </w:t>
      </w:r>
      <w:r>
        <w:t>the celestial spheres</w:t>
      </w:r>
      <w:r w:rsidRPr="002C67D8">
        <w:t>, which facilitates accurate predictions in the case of geomancy and veridical dreams in the case of oneiromancy. Furthermore, both disciplines emphasi</w:t>
      </w:r>
      <w:r>
        <w:t>s</w:t>
      </w:r>
      <w:r w:rsidRPr="002C67D8">
        <w:t>e the optimal timing for obtaining truthful forecasts, with dawn being a favoured time</w:t>
      </w:r>
      <w:r>
        <w:t>.</w:t>
      </w:r>
      <w:r w:rsidRPr="00AE220D">
        <w:rPr>
          <w:rStyle w:val="FootnoteReference"/>
        </w:rPr>
        <w:t xml:space="preserve"> </w:t>
      </w:r>
      <w:r w:rsidRPr="00733309">
        <w:rPr>
          <w:rStyle w:val="FootnoteReference"/>
        </w:rPr>
        <w:footnoteReference w:id="340"/>
      </w:r>
      <w:r>
        <w:t xml:space="preserve"> </w:t>
      </w:r>
      <w:r w:rsidRPr="002C67D8">
        <w:t>A common question that arises for both disciplines is whether they represent forms of natural prediction or rely on supernatural knowledge. This is the subject of investigation in the final section of this chapter. To tackle this issue, th</w:t>
      </w:r>
      <w:r>
        <w:t xml:space="preserve">is section </w:t>
      </w:r>
      <w:r w:rsidRPr="002C67D8">
        <w:t>initially examines the interrelation</w:t>
      </w:r>
      <w:r w:rsidR="009133F7">
        <w:t>s</w:t>
      </w:r>
      <w:r w:rsidRPr="002C67D8">
        <w:t xml:space="preserve"> between geomancy and oneiromancy. Subsequently, a brief summary is provided, charting the historical evolution and transformations within the realm of dream interpretation, spanning from antiquity to the late medieval period. Through this analysis, the transition from divinely-inspired divination to natural prediction that divinatory arts undergo towards the end of the medieval era is observed. Within this context, the debate concerning the epistemic status of geomancy in the </w:t>
      </w:r>
      <w:r w:rsidR="004674C5">
        <w:t>European</w:t>
      </w:r>
      <w:r w:rsidRPr="002C67D8">
        <w:t xml:space="preserve"> context is discussed.</w:t>
      </w:r>
    </w:p>
    <w:p w14:paraId="4E0B8D31" w14:textId="3FE7AD4F" w:rsidR="00244FB6" w:rsidRDefault="00244FB6" w:rsidP="00244FB6">
      <w:r w:rsidRPr="00114A4E">
        <w:t xml:space="preserve">Geomantic </w:t>
      </w:r>
      <w:r>
        <w:t>predictions</w:t>
      </w:r>
      <w:r w:rsidRPr="00114A4E">
        <w:t xml:space="preserve"> and the interpretation of dreams are explored within the same segment of Ibn </w:t>
      </w:r>
      <w:r w:rsidR="00B95CDD" w:rsidRPr="00114A4E">
        <w:t>Khald</w:t>
      </w:r>
      <w:r w:rsidR="00B95CDD">
        <w:t>ū</w:t>
      </w:r>
      <w:r w:rsidR="00B95CDD" w:rsidRPr="00114A4E">
        <w:t>n</w:t>
      </w:r>
      <w:r>
        <w:t>’</w:t>
      </w:r>
      <w:r w:rsidRPr="00114A4E">
        <w:t xml:space="preserve">s </w:t>
      </w:r>
      <w:r w:rsidRPr="00114A4E">
        <w:rPr>
          <w:i/>
          <w:iCs/>
        </w:rPr>
        <w:t>Muqaddima</w:t>
      </w:r>
      <w:r>
        <w:t>, where t</w:t>
      </w:r>
      <w:r w:rsidRPr="00114A4E">
        <w:t>he section on dream visions immediately precedes the discussion on geomancy.</w:t>
      </w:r>
      <w:r>
        <w:t xml:space="preserve"> </w:t>
      </w:r>
      <w:r w:rsidRPr="00E102CD">
        <w:t xml:space="preserve">These topics are situated in the first chapter of the </w:t>
      </w:r>
      <w:r w:rsidRPr="00E102CD">
        <w:rPr>
          <w:i/>
          <w:iCs/>
        </w:rPr>
        <w:t>Muqaddima</w:t>
      </w:r>
      <w:r w:rsidRPr="00E102CD">
        <w:t xml:space="preserve">, titled </w:t>
      </w:r>
      <w:r>
        <w:t>‘</w:t>
      </w:r>
      <w:r w:rsidRPr="00E102CD">
        <w:t>Human Civili</w:t>
      </w:r>
      <w:r>
        <w:t>s</w:t>
      </w:r>
      <w:r w:rsidRPr="00E102CD">
        <w:t>ation in General,</w:t>
      </w:r>
      <w:r>
        <w:t>’</w:t>
      </w:r>
      <w:r w:rsidRPr="00E102CD">
        <w:t xml:space="preserve"> specifically in its sixth section, named </w:t>
      </w:r>
      <w:r>
        <w:t xml:space="preserve">‘The various types of human beings who have supernatural perception either through natural </w:t>
      </w:r>
      <w:r>
        <w:lastRenderedPageBreak/>
        <w:t>disposition or through exercise, preceded by a discussion of inspiration and dream vision.’</w:t>
      </w:r>
      <w:r>
        <w:rPr>
          <w:rStyle w:val="FootnoteReference"/>
        </w:rPr>
        <w:footnoteReference w:id="341"/>
      </w:r>
      <w:r>
        <w:t xml:space="preserve"> </w:t>
      </w:r>
      <w:r w:rsidRPr="00E102CD">
        <w:t>The author</w:t>
      </w:r>
      <w:r>
        <w:t>’</w:t>
      </w:r>
      <w:r w:rsidRPr="00E102CD">
        <w:t>s discourse on divination and dream visions is intricately connected to his broader thesis on human knowledge and the position occupied by humans within the hierarchy of beings. In this hierarchical framework, minerals, plants, and animals are situated below humans, while celestial beings, including planets, stars, angels, and ultimately God, are positioned above</w:t>
      </w:r>
      <w:r>
        <w:t xml:space="preserve">. </w:t>
      </w:r>
      <w:r w:rsidRPr="00E102CD">
        <w:t xml:space="preserve">What sets Ibn </w:t>
      </w:r>
      <w:r w:rsidR="00B95CDD">
        <w:t>Khaldūn</w:t>
      </w:r>
      <w:r>
        <w:t>’</w:t>
      </w:r>
      <w:r w:rsidRPr="00E102CD">
        <w:t xml:space="preserve">s theory apart is the recognition of the interconnection between these different levels of existence, such that </w:t>
      </w:r>
      <w:r>
        <w:t>“the last stage of each group is fully prepared to become the first stage of the next group.”</w:t>
      </w:r>
      <w:r>
        <w:rPr>
          <w:rStyle w:val="FootnoteReference"/>
        </w:rPr>
        <w:footnoteReference w:id="342"/>
      </w:r>
      <w:r>
        <w:t xml:space="preserve"> </w:t>
      </w:r>
      <w:r w:rsidRPr="00850433">
        <w:t>Within this hierarchy, humans hold a unique position as intermediaries, chained to the terrestrial world through their physical bodies and to the celestial realm through their souls</w:t>
      </w:r>
      <w:r>
        <w:t xml:space="preserve">. </w:t>
      </w:r>
      <w:r w:rsidRPr="00850433">
        <w:t>They represent the nexus where these two dimensions converge</w:t>
      </w:r>
      <w:r>
        <w:t>.</w:t>
      </w:r>
      <w:r>
        <w:rPr>
          <w:rStyle w:val="FootnoteReference"/>
        </w:rPr>
        <w:footnoteReference w:id="343"/>
      </w:r>
      <w:r>
        <w:t xml:space="preserve"> </w:t>
      </w:r>
      <w:r w:rsidRPr="00850433">
        <w:t xml:space="preserve">The classification of human souls in Ibn </w:t>
      </w:r>
      <w:r w:rsidR="00B95CDD">
        <w:t>Khaldūn</w:t>
      </w:r>
      <w:r>
        <w:t>’</w:t>
      </w:r>
      <w:r w:rsidRPr="00850433">
        <w:t xml:space="preserve">s framework is grounded </w:t>
      </w:r>
      <w:r>
        <w:t>in</w:t>
      </w:r>
      <w:r w:rsidRPr="00850433">
        <w:t xml:space="preserve"> their capacity to ascend the hierarchical ladder of existence, upon which their ability to acquire knowledge depends.</w:t>
      </w:r>
      <w:r>
        <w:rPr>
          <w:rStyle w:val="FootnoteReference"/>
        </w:rPr>
        <w:footnoteReference w:id="344"/>
      </w:r>
      <w:r>
        <w:t xml:space="preserve"> </w:t>
      </w:r>
      <w:r w:rsidRPr="00BB0D35">
        <w:t xml:space="preserve">In the </w:t>
      </w:r>
      <w:r w:rsidRPr="00BB0D35">
        <w:rPr>
          <w:i/>
          <w:iCs/>
        </w:rPr>
        <w:t>Muqaddima</w:t>
      </w:r>
      <w:r w:rsidRPr="00BB0D35">
        <w:t xml:space="preserve">, three categories of souls are delineated: those naturally unable to transcend sensory perception, those capable of acquiring spiritual knowledge through </w:t>
      </w:r>
      <w:r>
        <w:t>‘</w:t>
      </w:r>
      <w:r w:rsidRPr="00BB0D35">
        <w:t>internal observations,</w:t>
      </w:r>
      <w:r>
        <w:t>’</w:t>
      </w:r>
      <w:r w:rsidRPr="00BB0D35">
        <w:t xml:space="preserve"> including saints and scholars, and finally, the most perfect souls, which belong to the realm of the prophets</w:t>
      </w:r>
      <w:r>
        <w:t>. They are “by nature suited to exchange humanity altogether, both corporeal and spiritual humanity, for angelicality of the highest stage, so that it (the soul) may actually become an angel in the flash of a moment, glimpse the [...] celestial sphere, and listen to [...] divine address during that moment.”</w:t>
      </w:r>
      <w:r>
        <w:rPr>
          <w:rStyle w:val="FootnoteReference"/>
        </w:rPr>
        <w:footnoteReference w:id="345"/>
      </w:r>
      <w:r>
        <w:t xml:space="preserve"> Geomancers and diviners fall within the second category of souls. They endeavour to momentarily lift the veil of sensory perception, redirecting the soul inward. This redirection can be achieved through various practices, such as divination, the casting of </w:t>
      </w:r>
      <w:r>
        <w:lastRenderedPageBreak/>
        <w:t>pebbles, Sufi exercises, and, notably, geomancy.</w:t>
      </w:r>
      <w:r>
        <w:rPr>
          <w:rStyle w:val="FootnoteReference"/>
        </w:rPr>
        <w:footnoteReference w:id="346"/>
      </w:r>
      <w:r>
        <w:t xml:space="preserve"> Another means by which individuals can redirect their rational souls toward inner perception, rooted in the soul’s intrinsic essence, is through the act of sleep.</w:t>
      </w:r>
    </w:p>
    <w:p w14:paraId="2C34810B" w14:textId="35A564FA" w:rsidR="00244FB6" w:rsidRDefault="00244FB6" w:rsidP="00244FB6">
      <w:r w:rsidRPr="00244FF5">
        <w:t xml:space="preserve">Ibn </w:t>
      </w:r>
      <w:r w:rsidR="00B95CDD">
        <w:t>Khaldūn</w:t>
      </w:r>
      <w:r w:rsidRPr="00244FF5">
        <w:t xml:space="preserve"> provide</w:t>
      </w:r>
      <w:r>
        <w:t>s</w:t>
      </w:r>
      <w:r w:rsidRPr="00244FF5">
        <w:t xml:space="preserve"> a comprehensive description of dream visions as</w:t>
      </w:r>
      <w:r>
        <w:t xml:space="preserve"> “an awareness on the part of the rational soul in its spiritual essence, of glimpse(s) of the forms of events</w:t>
      </w:r>
      <w:r w:rsidR="0039725E">
        <w:t>.</w:t>
      </w:r>
      <w:r>
        <w:t>”</w:t>
      </w:r>
      <w:r w:rsidR="005F63F5">
        <w:rPr>
          <w:rStyle w:val="FootnoteReference"/>
        </w:rPr>
        <w:footnoteReference w:id="347"/>
      </w:r>
      <w:r w:rsidRPr="00244FF5">
        <w:t xml:space="preserve"> </w:t>
      </w:r>
      <w:r w:rsidR="0039725E">
        <w:t>T</w:t>
      </w:r>
      <w:r w:rsidRPr="00244FF5">
        <w:t>his spiritual state of the soul is attained when it is liberated from corporeal perceptions.</w:t>
      </w:r>
      <w:r>
        <w:t xml:space="preserve"> According to Ibn </w:t>
      </w:r>
      <w:r w:rsidR="00B95CDD">
        <w:t>Khaldūn</w:t>
      </w:r>
      <w:r>
        <w:t xml:space="preserve">, </w:t>
      </w:r>
      <w:r w:rsidRPr="00244FF5">
        <w:t xml:space="preserve">this detachment of the soul from the body can be achieved </w:t>
      </w:r>
      <w:r>
        <w:t>through</w:t>
      </w:r>
      <w:r w:rsidRPr="00244FF5">
        <w:t xml:space="preserve"> sleep, during which the sensory veil is lifted. </w:t>
      </w:r>
      <w:r>
        <w:t>T</w:t>
      </w:r>
      <w:r w:rsidRPr="00244FF5">
        <w:t xml:space="preserve">he perceptions and actions of the rational soul are instigated by the corporeal animal spirit. Drawing from Galenic anatomy, Ibn </w:t>
      </w:r>
      <w:r w:rsidR="00B95CDD">
        <w:t>Khaldūn</w:t>
      </w:r>
      <w:r w:rsidRPr="00244FF5">
        <w:t xml:space="preserve"> characteri</w:t>
      </w:r>
      <w:r>
        <w:t>s</w:t>
      </w:r>
      <w:r w:rsidRPr="00244FF5">
        <w:t xml:space="preserve">ed this animal spirit as a </w:t>
      </w:r>
      <w:r>
        <w:t>‘</w:t>
      </w:r>
      <w:r w:rsidRPr="00244FF5">
        <w:t>fine vapor</w:t>
      </w:r>
      <w:r>
        <w:t>’</w:t>
      </w:r>
      <w:r w:rsidRPr="00244FF5">
        <w:t xml:space="preserve"> situated within the left cavity of the heart</w:t>
      </w:r>
      <w:r>
        <w:t>.</w:t>
      </w:r>
      <w:r>
        <w:rPr>
          <w:rStyle w:val="FootnoteReference"/>
        </w:rPr>
        <w:footnoteReference w:id="348"/>
      </w:r>
      <w:r>
        <w:t xml:space="preserve"> </w:t>
      </w:r>
      <w:r w:rsidRPr="00874BF2">
        <w:t>This spirit circulates through the veins and arteries, enabling sensory perception, bodily movement, and other corporeal functions. The finest portion of the animal spirit is directed to the brain, where it governs the functions of the powers located within the brain</w:t>
      </w:r>
      <w:r>
        <w:t>’</w:t>
      </w:r>
      <w:r w:rsidRPr="00874BF2">
        <w:t>s cavities, specifically the internal senses. Furthermore, it is through this fine vapor that the rational soul can access and influence the body. During sleep, facilitated by the nocturnal coolness, the animal spirit withdraws from the external senses, returning to the internal ones. This withdrawal liberates the soul from the constraints of sensory perception. In this state, the forms stored within the power of memory are moulded into imaginary images, subsequently conveyed to the power of the common sense. The sou</w:t>
      </w:r>
      <w:r w:rsidR="00DC2D4A">
        <w:t>l</w:t>
      </w:r>
      <w:r>
        <w:t>’</w:t>
      </w:r>
      <w:r w:rsidRPr="00874BF2">
        <w:t>s innate capacity for spiritual perception is actuali</w:t>
      </w:r>
      <w:r>
        <w:t>s</w:t>
      </w:r>
      <w:r w:rsidRPr="00874BF2">
        <w:t>ed when it turns to its spiritual essence. In this condition, the soul is presented with allegorical or realistic images generated by the imagination. Allegorical images require interpretation, and these are the dream visions categori</w:t>
      </w:r>
      <w:r w:rsidR="0013136C">
        <w:t>s</w:t>
      </w:r>
      <w:r w:rsidRPr="00874BF2">
        <w:t xml:space="preserve">ed by Ibn </w:t>
      </w:r>
      <w:r w:rsidR="00B95CDD">
        <w:t>Khaldūn</w:t>
      </w:r>
      <w:r w:rsidRPr="00874BF2">
        <w:t xml:space="preserve"> </w:t>
      </w:r>
      <w:r w:rsidRPr="00874BF2">
        <w:lastRenderedPageBreak/>
        <w:t>into three groups: clear dream visions are divine in origin, allegorical visions are sent by angels, and confused dreams are influenced by malevolent forces, such as Satan.</w:t>
      </w:r>
      <w:r>
        <w:t xml:space="preserve"> </w:t>
      </w:r>
      <w:r w:rsidRPr="00874BF2">
        <w:t xml:space="preserve">Ibn </w:t>
      </w:r>
      <w:r w:rsidR="00B95CDD">
        <w:t>Khaldūn</w:t>
      </w:r>
      <w:r w:rsidRPr="00874BF2">
        <w:t xml:space="preserve"> concluded his exposition on dream visions by asserting that this quality of the human soul is a shared trait among all individuals, with almost everyone having experienced dreams that later proved to be true. Moreover, he acknowledged that since the soul can attain supernatural perception during sleep, it is not implausible that it might do so under other circumstances. While Ibn </w:t>
      </w:r>
      <w:r w:rsidR="00B95CDD">
        <w:t>Khaldūn</w:t>
      </w:r>
      <w:r w:rsidRPr="00874BF2">
        <w:t xml:space="preserve"> expressed disapproval of geomancy, along with other forms of divination, his stance on oneiromancy is more lenient. Dreams, being a natural phenomenon inherent to all human beings, were viewed by him as a common and less actively induced means through which individuals could connect with superior beings.</w:t>
      </w:r>
      <w:r>
        <w:t xml:space="preserve"> Thus, in this sense, both geomancy and oneiromancy were considered by Ibn </w:t>
      </w:r>
      <w:r w:rsidR="00B95CDD">
        <w:t>Khaldūn</w:t>
      </w:r>
      <w:r>
        <w:t xml:space="preserve"> as legitimate forms of divination, that could theoretically involve a degree of divine participation.</w:t>
      </w:r>
    </w:p>
    <w:p w14:paraId="786B331E" w14:textId="3842F78C" w:rsidR="00244FB6" w:rsidRDefault="00062121" w:rsidP="00793B2A">
      <w:r>
        <w:t>As previously demonstrated, the</w:t>
      </w:r>
      <w:r w:rsidR="00244FB6" w:rsidRPr="00E050C8">
        <w:t xml:space="preserve"> intersection of geomancy and oneiromancy is also apparent in Dante</w:t>
      </w:r>
      <w:r w:rsidR="00244FB6">
        <w:t>’</w:t>
      </w:r>
      <w:r w:rsidR="00244FB6" w:rsidRPr="00E050C8">
        <w:t xml:space="preserve">s </w:t>
      </w:r>
      <w:r w:rsidR="00244FB6" w:rsidRPr="00E050C8">
        <w:rPr>
          <w:i/>
          <w:iCs/>
        </w:rPr>
        <w:t>Divina Commedia</w:t>
      </w:r>
      <w:r w:rsidR="00413AAF">
        <w:t>, and</w:t>
      </w:r>
      <w:r w:rsidR="00244FB6" w:rsidRPr="00E050C8">
        <w:t xml:space="preserve"> </w:t>
      </w:r>
      <w:r w:rsidR="00413AAF">
        <w:t>t</w:t>
      </w:r>
      <w:r w:rsidR="00244FB6" w:rsidRPr="00E050C8">
        <w:t>his is not the sole example in which literary and poetic works have assimilated divinatory sciences, rendering them open to interpretation through a divinatory lens</w:t>
      </w:r>
      <w:r w:rsidR="00244FB6" w:rsidRPr="00733309">
        <w:t>.</w:t>
      </w:r>
      <w:r w:rsidR="00244FB6" w:rsidRPr="00733309">
        <w:rPr>
          <w:rStyle w:val="FootnoteReference"/>
        </w:rPr>
        <w:footnoteReference w:id="349"/>
      </w:r>
      <w:r w:rsidR="00244FB6">
        <w:t xml:space="preserve"> </w:t>
      </w:r>
      <w:r w:rsidR="00244FB6" w:rsidRPr="00E050C8">
        <w:t>In Dante</w:t>
      </w:r>
      <w:r w:rsidR="00244FB6">
        <w:t>’</w:t>
      </w:r>
      <w:r w:rsidR="00244FB6" w:rsidRPr="00E050C8">
        <w:t xml:space="preserve">s </w:t>
      </w:r>
      <w:r w:rsidR="00244FB6" w:rsidRPr="00E050C8">
        <w:rPr>
          <w:i/>
          <w:iCs/>
        </w:rPr>
        <w:t>Purgatorio</w:t>
      </w:r>
      <w:r w:rsidR="00244FB6" w:rsidRPr="00E050C8">
        <w:t xml:space="preserve">, three prophetic dreams are described, each accompanied by specific astronomical-temporal indicators. </w:t>
      </w:r>
      <w:r w:rsidR="00244FB6" w:rsidRPr="00A45AF3">
        <w:t>Within the</w:t>
      </w:r>
      <w:r w:rsidR="00244FB6" w:rsidRPr="00E050C8">
        <w:rPr>
          <w:i/>
          <w:iCs/>
        </w:rPr>
        <w:t xml:space="preserve"> Divina Commedia</w:t>
      </w:r>
      <w:r w:rsidR="00244FB6" w:rsidRPr="00E050C8">
        <w:t>, dreams hold a profound significance as moments of ascension, wherein the dreamer envisions the journey they must undertake.</w:t>
      </w:r>
      <w:r w:rsidR="00244FB6" w:rsidRPr="00733309">
        <w:rPr>
          <w:rStyle w:val="FootnoteReference"/>
        </w:rPr>
        <w:footnoteReference w:id="350"/>
      </w:r>
      <w:r w:rsidR="00244FB6">
        <w:t xml:space="preserve"> </w:t>
      </w:r>
      <w:r w:rsidR="00244FB6" w:rsidRPr="00E050C8">
        <w:t>For instance, in Canto IX, the dream</w:t>
      </w:r>
      <w:r w:rsidR="00244FB6">
        <w:t>’</w:t>
      </w:r>
      <w:r w:rsidR="00244FB6" w:rsidRPr="00E050C8">
        <w:t>s astronomical context is dawn, a time as previously discussed, held in high regard as the optimal moment for authentic dreams</w:t>
      </w:r>
      <w:r w:rsidR="00244FB6" w:rsidRPr="00733309">
        <w:t>.</w:t>
      </w:r>
      <w:r w:rsidR="00244FB6" w:rsidRPr="00733309">
        <w:rPr>
          <w:rStyle w:val="FootnoteReference"/>
        </w:rPr>
        <w:footnoteReference w:id="351"/>
      </w:r>
      <w:r w:rsidR="00244FB6">
        <w:t xml:space="preserve"> </w:t>
      </w:r>
      <w:r w:rsidR="005E31A0">
        <w:t xml:space="preserve">As previously mentioned in the first chapter of this </w:t>
      </w:r>
      <w:r w:rsidR="005E31A0">
        <w:lastRenderedPageBreak/>
        <w:t xml:space="preserve">thesis, </w:t>
      </w:r>
      <w:r w:rsidR="00244FB6">
        <w:t>C</w:t>
      </w:r>
      <w:r w:rsidR="00244FB6" w:rsidRPr="00E050C8">
        <w:t xml:space="preserve">anto XIX introduces geomancy and geomancers as </w:t>
      </w:r>
      <w:r w:rsidR="00244FB6">
        <w:t xml:space="preserve">astronomical </w:t>
      </w:r>
      <w:r w:rsidR="00244FB6" w:rsidRPr="00E050C8">
        <w:t>points of reference</w:t>
      </w:r>
      <w:r w:rsidR="005E31A0">
        <w:t>.</w:t>
      </w:r>
      <w:r w:rsidR="00793B2A">
        <w:t xml:space="preserve"> </w:t>
      </w:r>
      <w:r w:rsidR="00244FB6" w:rsidRPr="00211967">
        <w:t xml:space="preserve">In this context, the geomantic figure </w:t>
      </w:r>
      <w:r w:rsidR="00244FB6" w:rsidRPr="00211967">
        <w:rPr>
          <w:i/>
          <w:iCs/>
        </w:rPr>
        <w:t>Fortuna maior</w:t>
      </w:r>
      <w:r w:rsidR="00244FB6" w:rsidRPr="00211967">
        <w:t xml:space="preserve"> serves a dual purpose, acting both as a temporal indicator for the moment of the dream and as a symbol of the dream</w:t>
      </w:r>
      <w:r w:rsidR="00244FB6">
        <w:t>’</w:t>
      </w:r>
      <w:r w:rsidR="00244FB6" w:rsidRPr="00211967">
        <w:t>s ambiguity and potential peril. Notably, it signifies the presence of the constellation of Aquarius in the night sky.</w:t>
      </w:r>
      <w:r w:rsidR="00793B2A">
        <w:t>T</w:t>
      </w:r>
      <w:r w:rsidR="00244FB6" w:rsidRPr="00211967">
        <w:t xml:space="preserve">he symbolic significance of </w:t>
      </w:r>
      <w:r w:rsidR="00244FB6" w:rsidRPr="00211967">
        <w:rPr>
          <w:i/>
          <w:iCs/>
        </w:rPr>
        <w:t>Fortuna maior</w:t>
      </w:r>
      <w:r w:rsidR="00244FB6" w:rsidRPr="00211967">
        <w:t xml:space="preserve"> is elucidated by Dante</w:t>
      </w:r>
      <w:r w:rsidR="00244FB6">
        <w:t>’</w:t>
      </w:r>
      <w:r w:rsidR="00244FB6" w:rsidRPr="00211967">
        <w:t>s son, Pietro Alighieri, who interprets its presence as an omen of the danger Dante will confront within the dream, manifesting itself in the form of a woman who subsequently transforms into a siren.</w:t>
      </w:r>
      <w:r w:rsidR="00244FB6" w:rsidRPr="00733309">
        <w:rPr>
          <w:rStyle w:val="FootnoteReference"/>
        </w:rPr>
        <w:footnoteReference w:id="352"/>
      </w:r>
      <w:r w:rsidR="00244FB6">
        <w:t xml:space="preserve"> </w:t>
      </w:r>
      <w:r w:rsidR="00244FB6" w:rsidRPr="00211967">
        <w:t>Moreover, in Canto XXVII, the indication for the third dream is marked by Venus radiating from the constellation of Pisces</w:t>
      </w:r>
      <w:r w:rsidR="00244FB6" w:rsidRPr="00FD4B07">
        <w:t>.</w:t>
      </w:r>
      <w:r w:rsidR="00244FB6" w:rsidRPr="00FD4B07">
        <w:rPr>
          <w:rStyle w:val="FootnoteReference"/>
        </w:rPr>
        <w:footnoteReference w:id="353"/>
      </w:r>
    </w:p>
    <w:p w14:paraId="4394F983" w14:textId="36CBAED6" w:rsidR="00244FB6" w:rsidRDefault="00244FB6" w:rsidP="00244FB6">
      <w:r>
        <w:t xml:space="preserve">A further point of convergence between geomantic and oneiromantic traditions is the figure of the prophet Daniel, who is acknowledged as an authority in both the science of geomancy and dream interpretation. To Daniel, known for his interpretation of the dreams of King Nebuchadnezzar II as portrayed in the Old Testament, is attributed the most renowned dream book of the medieval period, the </w:t>
      </w:r>
      <w:r w:rsidRPr="00FB6701">
        <w:rPr>
          <w:i/>
          <w:iCs/>
        </w:rPr>
        <w:t>Somniale Danielis</w:t>
      </w:r>
      <w:r>
        <w:t>. This text, translated into numerous languages, finds its earliest Latin exemplar dating back to the ninth century</w:t>
      </w:r>
      <w:r w:rsidRPr="00911B4E">
        <w:t>.</w:t>
      </w:r>
      <w:r w:rsidRPr="00911B4E">
        <w:rPr>
          <w:rStyle w:val="FootnoteReference"/>
        </w:rPr>
        <w:footnoteReference w:id="354"/>
      </w:r>
      <w:r>
        <w:t xml:space="preserve"> </w:t>
      </w:r>
      <w:r w:rsidRPr="00FB6701">
        <w:t>In addition to his prominence as a oneiromancer, the prophet Daniel is also credited with the invention of geomancy in various geomantic texts across Persian, Arabic, Syriac, Armenian, and Turkish literature</w:t>
      </w:r>
      <w:r w:rsidRPr="00911B4E">
        <w:t>.</w:t>
      </w:r>
      <w:r w:rsidRPr="00911B4E">
        <w:rPr>
          <w:rStyle w:val="FootnoteReference"/>
        </w:rPr>
        <w:footnoteReference w:id="355"/>
      </w:r>
      <w:r w:rsidRPr="00911B4E">
        <w:t xml:space="preserve"> </w:t>
      </w:r>
      <w:r w:rsidRPr="00FB6701">
        <w:t>Dreams occupied a significant place in Christian tradition as well as Islamic culture. However, despite the presence of figures</w:t>
      </w:r>
      <w:r>
        <w:t xml:space="preserve"> of oneiromancers</w:t>
      </w:r>
      <w:r w:rsidRPr="00FB6701">
        <w:t xml:space="preserve"> such as Daniel and Joseph in the Old Testament, the Bible contains warnings against this form of </w:t>
      </w:r>
      <w:r w:rsidRPr="00FB6701">
        <w:lastRenderedPageBreak/>
        <w:t>divination</w:t>
      </w:r>
      <w:r>
        <w:t>.</w:t>
      </w:r>
      <w:r w:rsidRPr="003702E7">
        <w:rPr>
          <w:rStyle w:val="FootnoteReference"/>
        </w:rPr>
        <w:footnoteReference w:id="356"/>
      </w:r>
      <w:r w:rsidRPr="003702E7">
        <w:t xml:space="preserve"> </w:t>
      </w:r>
      <w:r w:rsidRPr="008317D6">
        <w:t xml:space="preserve">While Ibn </w:t>
      </w:r>
      <w:r w:rsidR="00B95CDD">
        <w:t>Khaldūn</w:t>
      </w:r>
      <w:r>
        <w:t>’</w:t>
      </w:r>
      <w:r w:rsidRPr="008317D6">
        <w:t>s focus appears to centre on the supernatural aspect of dreams, the medieval period recogni</w:t>
      </w:r>
      <w:r>
        <w:t>s</w:t>
      </w:r>
      <w:r w:rsidRPr="008317D6">
        <w:t>ed that not all dreams were prophetic or influenced by malevolent forces like Satan; some could merely be expressions of imbalances</w:t>
      </w:r>
      <w:r>
        <w:t xml:space="preserve"> of</w:t>
      </w:r>
      <w:r w:rsidRPr="008317D6">
        <w:t xml:space="preserve"> bodily temperament.</w:t>
      </w:r>
    </w:p>
    <w:p w14:paraId="4534FAEB" w14:textId="72EE931A" w:rsidR="00244FB6" w:rsidRPr="003702E7" w:rsidRDefault="00244FB6" w:rsidP="00244FB6">
      <w:r w:rsidRPr="008317D6">
        <w:t xml:space="preserve">Two distinct disciplines emerged for the study of oneiric content: oneirocriticism, which delved into the theoretical and philosophical foundations of the nature of dreams, and oneiromancy, which dealt with the practical aspect of dream interpretation and the deciphering of their symbolic language. These two disciplines gave rise to two different genres of literature related to dreams in the medieval era. The </w:t>
      </w:r>
      <w:r>
        <w:t>‘</w:t>
      </w:r>
      <w:r w:rsidRPr="008317D6">
        <w:t>Books of Dreams</w:t>
      </w:r>
      <w:r>
        <w:t>’</w:t>
      </w:r>
      <w:r w:rsidRPr="008317D6">
        <w:t xml:space="preserve"> predominantly focused on the theoretical aspects, while texts known as </w:t>
      </w:r>
      <w:r>
        <w:t>‘</w:t>
      </w:r>
      <w:r w:rsidRPr="008317D6">
        <w:t>Keys of Dreams</w:t>
      </w:r>
      <w:r>
        <w:t>’</w:t>
      </w:r>
      <w:r w:rsidRPr="008317D6">
        <w:t xml:space="preserve"> delved into the practical principles of dream interpretation. The </w:t>
      </w:r>
      <w:r w:rsidRPr="008317D6">
        <w:rPr>
          <w:i/>
          <w:iCs/>
        </w:rPr>
        <w:t>Somniale Danielis</w:t>
      </w:r>
      <w:r w:rsidRPr="008317D6">
        <w:t xml:space="preserve"> belongs to the latter category</w:t>
      </w:r>
      <w:r w:rsidRPr="003702E7">
        <w:t>.</w:t>
      </w:r>
      <w:r w:rsidRPr="003702E7">
        <w:rPr>
          <w:rStyle w:val="FootnoteReference"/>
        </w:rPr>
        <w:footnoteReference w:id="357"/>
      </w:r>
      <w:r w:rsidRPr="003702E7">
        <w:t xml:space="preserve"> </w:t>
      </w:r>
      <w:r w:rsidRPr="008317D6">
        <w:t>Classical texts on oneirocriticism, such as Artemidorus of Daldi</w:t>
      </w:r>
      <w:r>
        <w:t>’</w:t>
      </w:r>
      <w:r w:rsidRPr="008317D6">
        <w:t xml:space="preserve">s </w:t>
      </w:r>
      <w:r>
        <w:t>‘</w:t>
      </w:r>
      <w:r w:rsidRPr="008317D6">
        <w:t>Book of Dreams</w:t>
      </w:r>
      <w:r>
        <w:t>’</w:t>
      </w:r>
      <w:r w:rsidRPr="008317D6">
        <w:t xml:space="preserve"> from the </w:t>
      </w:r>
      <w:r w:rsidR="006813C4">
        <w:t>second</w:t>
      </w:r>
      <w:r w:rsidRPr="008317D6">
        <w:t xml:space="preserve"> century AD, often provided catalog</w:t>
      </w:r>
      <w:r>
        <w:t>ue</w:t>
      </w:r>
      <w:r w:rsidRPr="008317D6">
        <w:t xml:space="preserve">s of distinct dream types. </w:t>
      </w:r>
      <w:r w:rsidRPr="003702E7">
        <w:t xml:space="preserve">Artemidorus </w:t>
      </w:r>
      <w:r>
        <w:t>characterised</w:t>
      </w:r>
      <w:r w:rsidRPr="003702E7">
        <w:t xml:space="preserve"> dreams as ‘multiform movement(s) or inventions of the soul, that indicate future goods or evils</w:t>
      </w:r>
      <w:r w:rsidR="009C7967">
        <w:t>.</w:t>
      </w:r>
      <w:r w:rsidRPr="003702E7">
        <w:t>’</w:t>
      </w:r>
      <w:r w:rsidRPr="003702E7">
        <w:rPr>
          <w:rStyle w:val="FootnoteReference"/>
        </w:rPr>
        <w:footnoteReference w:id="358"/>
      </w:r>
      <w:r w:rsidRPr="003702E7">
        <w:t xml:space="preserve"> He divided the dreams in</w:t>
      </w:r>
      <w:r>
        <w:t>to</w:t>
      </w:r>
      <w:r w:rsidRPr="003702E7">
        <w:t xml:space="preserve"> prophetic (</w:t>
      </w:r>
      <w:r w:rsidRPr="003702E7">
        <w:rPr>
          <w:i/>
          <w:iCs/>
        </w:rPr>
        <w:t>oneiroi</w:t>
      </w:r>
      <w:r w:rsidRPr="003702E7">
        <w:t>) and non-prophetic (</w:t>
      </w:r>
      <w:r w:rsidRPr="003702E7">
        <w:rPr>
          <w:i/>
          <w:iCs/>
        </w:rPr>
        <w:t>enypnia</w:t>
      </w:r>
      <w:r w:rsidRPr="003702E7">
        <w:t>), – these being caused by the passions of the soul in the body – and then subdivided the prophetic dreams in</w:t>
      </w:r>
      <w:r w:rsidRPr="008B5A68">
        <w:t xml:space="preserve">to </w:t>
      </w:r>
      <w:r w:rsidRPr="003702E7">
        <w:t>those which are direct, and those that are symbolic (allegoric).</w:t>
      </w:r>
      <w:r w:rsidRPr="003702E7">
        <w:rPr>
          <w:rStyle w:val="FootnoteReference"/>
        </w:rPr>
        <w:footnoteReference w:id="359"/>
      </w:r>
      <w:r w:rsidRPr="003702E7">
        <w:t xml:space="preserve"> </w:t>
      </w:r>
    </w:p>
    <w:p w14:paraId="1C8AEB88" w14:textId="1F6CA130" w:rsidR="00244FB6" w:rsidRDefault="00244FB6" w:rsidP="00244FB6">
      <w:r w:rsidRPr="00721884">
        <w:t xml:space="preserve">Together with Artemidorus’s </w:t>
      </w:r>
      <w:r w:rsidRPr="00721884">
        <w:rPr>
          <w:i/>
          <w:iCs/>
        </w:rPr>
        <w:t>Book of Dreams</w:t>
      </w:r>
      <w:r w:rsidRPr="00721884">
        <w:t>,</w:t>
      </w:r>
      <w:r w:rsidRPr="00644BDE">
        <w:t xml:space="preserve"> </w:t>
      </w:r>
      <w:r>
        <w:t>i</w:t>
      </w:r>
      <w:r w:rsidRPr="00644BDE">
        <w:t>n the early medieval understanding of dreams, two key texts played a significant role in shaping these conceptions:</w:t>
      </w:r>
      <w:r w:rsidRPr="00721884">
        <w:t xml:space="preserve"> the </w:t>
      </w:r>
      <w:r w:rsidR="00560228">
        <w:t>c</w:t>
      </w:r>
      <w:r w:rsidRPr="00721884">
        <w:t>omment</w:t>
      </w:r>
      <w:r>
        <w:t>ary</w:t>
      </w:r>
      <w:r w:rsidRPr="00721884">
        <w:t xml:space="preserve"> to Plato’s </w:t>
      </w:r>
      <w:r w:rsidRPr="00721884">
        <w:rPr>
          <w:i/>
          <w:iCs/>
        </w:rPr>
        <w:t>Timaeus</w:t>
      </w:r>
      <w:r w:rsidRPr="00721884">
        <w:t xml:space="preserve"> by Calcidius (IV c. AD) and the </w:t>
      </w:r>
      <w:r w:rsidR="00560228">
        <w:t>c</w:t>
      </w:r>
      <w:r w:rsidRPr="00721884">
        <w:t>omment</w:t>
      </w:r>
      <w:r>
        <w:t>ary</w:t>
      </w:r>
      <w:r w:rsidRPr="00721884">
        <w:t xml:space="preserve"> to the </w:t>
      </w:r>
      <w:r w:rsidRPr="00721884">
        <w:rPr>
          <w:i/>
          <w:iCs/>
        </w:rPr>
        <w:t>Somnium Scipionis</w:t>
      </w:r>
      <w:r w:rsidRPr="00721884">
        <w:t xml:space="preserve"> by Macrobius (V c. AD). In his work, Calcidius defended the divinatory value of dreams against </w:t>
      </w:r>
      <w:r w:rsidRPr="00721884">
        <w:lastRenderedPageBreak/>
        <w:t xml:space="preserve">Aristotle, who in the </w:t>
      </w:r>
      <w:r w:rsidRPr="00721884">
        <w:rPr>
          <w:i/>
          <w:iCs/>
        </w:rPr>
        <w:t>De divinatione per somnum</w:t>
      </w:r>
      <w:r w:rsidRPr="00721884">
        <w:t xml:space="preserve"> </w:t>
      </w:r>
      <w:r>
        <w:t>held</w:t>
      </w:r>
      <w:r w:rsidRPr="00721884">
        <w:t xml:space="preserve"> a sceptical view on the divinatory nature of dreams.</w:t>
      </w:r>
      <w:r w:rsidRPr="00721884">
        <w:rPr>
          <w:rStyle w:val="FootnoteReference"/>
        </w:rPr>
        <w:footnoteReference w:id="360"/>
      </w:r>
      <w:r w:rsidRPr="00721884">
        <w:t xml:space="preserve"> </w:t>
      </w:r>
      <w:r w:rsidRPr="00644BDE">
        <w:t>Macrobius, on the other hand, offered a comprehensive catalogue of various dream typologies that would become canonical.</w:t>
      </w:r>
      <w:r w:rsidRPr="00B26726">
        <w:t xml:space="preserve"> He introduced the categories of</w:t>
      </w:r>
      <w:r w:rsidRPr="00644BDE">
        <w:t xml:space="preserve"> </w:t>
      </w:r>
      <w:r w:rsidRPr="00721884">
        <w:rPr>
          <w:i/>
          <w:iCs/>
        </w:rPr>
        <w:t>somnium, visio, oraculum, insomnium, visum</w:t>
      </w:r>
      <w:r w:rsidRPr="00721884">
        <w:t xml:space="preserve">, with the last two – </w:t>
      </w:r>
      <w:r w:rsidRPr="00721884">
        <w:rPr>
          <w:i/>
          <w:iCs/>
        </w:rPr>
        <w:t>insom</w:t>
      </w:r>
      <w:r>
        <w:rPr>
          <w:i/>
          <w:iCs/>
        </w:rPr>
        <w:t>n</w:t>
      </w:r>
      <w:r w:rsidRPr="00721884">
        <w:rPr>
          <w:i/>
          <w:iCs/>
        </w:rPr>
        <w:t>ium</w:t>
      </w:r>
      <w:r w:rsidRPr="00721884">
        <w:t xml:space="preserve"> and </w:t>
      </w:r>
      <w:r w:rsidRPr="00721884">
        <w:rPr>
          <w:i/>
          <w:iCs/>
        </w:rPr>
        <w:t>visum</w:t>
      </w:r>
      <w:r w:rsidRPr="00721884">
        <w:t xml:space="preserve"> – not having any divinatory value.</w:t>
      </w:r>
      <w:r w:rsidRPr="00721884">
        <w:rPr>
          <w:rStyle w:val="FootnoteReference"/>
        </w:rPr>
        <w:footnoteReference w:id="361"/>
      </w:r>
      <w:r w:rsidRPr="00721884">
        <w:t xml:space="preserve"> </w:t>
      </w:r>
      <w:r w:rsidRPr="00B26726">
        <w:t>Early medieval perspectives on dreams recogni</w:t>
      </w:r>
      <w:r>
        <w:t>s</w:t>
      </w:r>
      <w:r w:rsidRPr="00B26726">
        <w:t>ed that dreams could originate from diverse sources. While it was acknowledged, as corroborated by the Scriptures, that in some instances dreams could serve as a means of communication from God, angels, or even the Devil to humanity, it was also understood that not all dreams had a divine origin. The human physiology and psychology played a central role in the creation of oneiric images.</w:t>
      </w:r>
      <w:r>
        <w:t xml:space="preserve"> </w:t>
      </w:r>
      <w:r w:rsidRPr="00B26726">
        <w:t>This dualism in the conceptuali</w:t>
      </w:r>
      <w:r>
        <w:t>s</w:t>
      </w:r>
      <w:r w:rsidRPr="00B26726">
        <w:t xml:space="preserve">ation of the oneiric experience mirrored a broader conception of the human being as a microcosm within a universe stretching from a perfect God to a fragmented material world. Human beings, like the universe, were viewed as beings torn between their higher and lower natures, simultaneously uniting these aspects within themselves as a single </w:t>
      </w:r>
      <w:r>
        <w:t>‘</w:t>
      </w:r>
      <w:r w:rsidRPr="00B26726">
        <w:t>middle being.</w:t>
      </w:r>
      <w:r>
        <w:t>’</w:t>
      </w:r>
      <w:r w:rsidRPr="00B26726">
        <w:rPr>
          <w:rStyle w:val="FootnoteReference"/>
        </w:rPr>
        <w:t xml:space="preserve"> </w:t>
      </w:r>
      <w:r w:rsidRPr="00721884">
        <w:rPr>
          <w:rStyle w:val="FootnoteReference"/>
        </w:rPr>
        <w:footnoteReference w:id="362"/>
      </w:r>
      <w:r w:rsidRPr="00B26726">
        <w:t xml:space="preserve"> As previously discussed, this notion is also evident in the </w:t>
      </w:r>
      <w:r w:rsidRPr="00B26726">
        <w:rPr>
          <w:i/>
          <w:iCs/>
        </w:rPr>
        <w:t>Muqaddima</w:t>
      </w:r>
      <w:r w:rsidRPr="00B26726">
        <w:t>, where human beings, due to their composite nature, function as the link bridging the terrestrial world and the celestial realm.</w:t>
      </w:r>
    </w:p>
    <w:p w14:paraId="187A71F0" w14:textId="06BEF480" w:rsidR="00244FB6" w:rsidRPr="005A5AF9" w:rsidRDefault="00244FB6" w:rsidP="00244FB6">
      <w:r w:rsidRPr="005A4D06">
        <w:t xml:space="preserve">As elucidated in the </w:t>
      </w:r>
      <w:r>
        <w:t>first</w:t>
      </w:r>
      <w:r w:rsidRPr="005A4D06">
        <w:t xml:space="preserve"> chapter of this thesis, the twelfth and thirteenth centuries marked a pivotal moment in </w:t>
      </w:r>
      <w:r w:rsidR="0087252B">
        <w:t>European</w:t>
      </w:r>
      <w:r w:rsidRPr="005A4D06">
        <w:t xml:space="preserve"> culture. The reacquaintance with Aristotle</w:t>
      </w:r>
      <w:r>
        <w:t>’</w:t>
      </w:r>
      <w:r w:rsidRPr="005A4D06">
        <w:t xml:space="preserve">s natural philosophy and the insights of his Arabic commentators led Latin authors to reconfigure their conception of the cosmos. This transformation extended to their perspective on the </w:t>
      </w:r>
      <w:r>
        <w:t>‘</w:t>
      </w:r>
      <w:r w:rsidRPr="005A4D06">
        <w:t>unconscious,</w:t>
      </w:r>
      <w:r>
        <w:t>’</w:t>
      </w:r>
      <w:r w:rsidRPr="005A4D06">
        <w:t xml:space="preserve"> encompassing dreams, signs, and symbols that reside within individuals and, </w:t>
      </w:r>
      <w:r w:rsidRPr="005A4D06">
        <w:lastRenderedPageBreak/>
        <w:t>in a way, mirror a cosmic and astrological order that invites human understanding</w:t>
      </w:r>
      <w:r w:rsidRPr="005A5AF9">
        <w:t>.</w:t>
      </w:r>
      <w:r w:rsidRPr="005A5AF9">
        <w:rPr>
          <w:rStyle w:val="FootnoteReference"/>
        </w:rPr>
        <w:footnoteReference w:id="363"/>
      </w:r>
      <w:r>
        <w:t xml:space="preserve"> I</w:t>
      </w:r>
      <w:r w:rsidRPr="005A4D06">
        <w:t xml:space="preserve">n this novel view </w:t>
      </w:r>
      <w:r w:rsidR="00632502">
        <w:t>of</w:t>
      </w:r>
      <w:r w:rsidRPr="005A4D06">
        <w:t xml:space="preserve"> nature, celestial causality assumed a central role as the foundational structure of reality. The influence of the celestial bodies on the sublunary world represented the agency of intelligences, whether identified with angels or not, that governed the movements of the celestial spheres.</w:t>
      </w:r>
      <w:r w:rsidRPr="005A5AF9">
        <w:rPr>
          <w:rStyle w:val="FootnoteReference"/>
        </w:rPr>
        <w:footnoteReference w:id="364"/>
      </w:r>
      <w:r>
        <w:t xml:space="preserve"> Within this cosmological framework, dreams were increasingly characterised as a form of natural knowledge, conveyed through symbolic and metaphoric representations, that could be interpreted using an art or methodology. In this revised perspective on nature, human existence was perpetually surrounded by signs, that could be natural phenomena like celestial movements or symbolic forms encountered in dreams. This context contributed to the widespread acceptance of conjectural sciences such as astrology, oneiromancy, and others during this period. The theory of dreams, within this larger discourse on divine and natural signs, urged individuals to comprehend and decode these signs</w:t>
      </w:r>
      <w:r w:rsidRPr="005A5AF9">
        <w:t>.</w:t>
      </w:r>
      <w:r w:rsidRPr="005A5AF9">
        <w:rPr>
          <w:rStyle w:val="FootnoteReference"/>
        </w:rPr>
        <w:footnoteReference w:id="365"/>
      </w:r>
      <w:r>
        <w:t xml:space="preserve"> </w:t>
      </w:r>
      <w:r w:rsidRPr="005A4D06">
        <w:t>Consequently, oneirocriticism evolved to attain greater precision and complexity, aiming to elucidate the internal and external conditions of the dreamer in order to better discern the meaning of the dream</w:t>
      </w:r>
      <w:r w:rsidRPr="005A5AF9">
        <w:t>.</w:t>
      </w:r>
      <w:r w:rsidRPr="005A5AF9">
        <w:rPr>
          <w:rStyle w:val="FootnoteReference"/>
        </w:rPr>
        <w:footnoteReference w:id="366"/>
      </w:r>
      <w:r w:rsidRPr="00E30A77">
        <w:t xml:space="preserve"> To contextuali</w:t>
      </w:r>
      <w:r>
        <w:t>s</w:t>
      </w:r>
      <w:r w:rsidRPr="00E30A77">
        <w:t>e the oneiric experience, heightened attention was accorded to astral conjunctions and temporal indicators. As a result, sciences such as astronomy, alchemy, and geomancy were integrated into the interpretation of dreams, dependent on the external conditions and circumstances of the dreamer. The intricacy of the oneiric phenomenon was underscored by the multitude of factors that oneiromancers had to consider to ascertain the dream</w:t>
      </w:r>
      <w:r>
        <w:t>’</w:t>
      </w:r>
      <w:r w:rsidRPr="00E30A77">
        <w:t>s origin and disentangle the ambiguity inherent in the language through which the dream conveyed its message</w:t>
      </w:r>
      <w:r w:rsidRPr="005A5AF9">
        <w:t>.</w:t>
      </w:r>
      <w:r w:rsidRPr="005A5AF9">
        <w:rPr>
          <w:rStyle w:val="FootnoteReference"/>
        </w:rPr>
        <w:footnoteReference w:id="367"/>
      </w:r>
      <w:r w:rsidRPr="005A5AF9">
        <w:t xml:space="preserve"> </w:t>
      </w:r>
      <w:r w:rsidRPr="00EB2C16">
        <w:t xml:space="preserve">Medieval oneirology maintained that astral conjunctions and the timing of a dream bore significant influence, ultimately </w:t>
      </w:r>
      <w:r w:rsidRPr="00EB2C16">
        <w:lastRenderedPageBreak/>
        <w:t>determining the nature of a dream. The condition of the stars, the visions experienced within dreams, the realms of astronomy, geomancy, and oneiromancy</w:t>
      </w:r>
      <w:r>
        <w:t xml:space="preserve"> – </w:t>
      </w:r>
      <w:r w:rsidRPr="00EB2C16">
        <w:t>all became tools for unveiling hidden truths and revealing the occult. They represented various means of unravelling the intricate connection binding the celestial and terrestrial realms, the macrocosm and the microcosm.</w:t>
      </w:r>
    </w:p>
    <w:p w14:paraId="2C71BA23" w14:textId="7B6D28CB" w:rsidR="00244FB6" w:rsidRPr="00E7060A" w:rsidRDefault="00244FB6" w:rsidP="00244FB6">
      <w:r w:rsidRPr="00296DDA">
        <w:t xml:space="preserve">An illustrative example of a twelfth-century text embodying this transformation is the </w:t>
      </w:r>
      <w:r w:rsidRPr="00296DDA">
        <w:rPr>
          <w:i/>
          <w:iCs/>
        </w:rPr>
        <w:t>Liber thesauri occulti</w:t>
      </w:r>
      <w:r w:rsidRPr="00296DDA">
        <w:t xml:space="preserve"> by Pascalis Romanus</w:t>
      </w:r>
      <w:r w:rsidR="00F70932">
        <w:t>, who lived in the twelfth century</w:t>
      </w:r>
      <w:r w:rsidRPr="00296DDA">
        <w:t xml:space="preserve">. According to Pascalis Romanus, a proficient oneiromancer should possess a multifaceted skill set, encompassing not only dream interpretation but also proficiency in medicine, </w:t>
      </w:r>
      <w:r>
        <w:t>wisdom</w:t>
      </w:r>
      <w:r w:rsidRPr="00296DDA">
        <w:t>, philosophy, and magic. He attributed significant importance to the discipline of dream interpretation and forged a connection between it and the medical tradition and the theory of temperaments. In his view, the meaning of a dream, both as a prognostic and diagnostic tool, was not solely determined by the dream</w:t>
      </w:r>
      <w:r>
        <w:t>’</w:t>
      </w:r>
      <w:r w:rsidRPr="00296DDA">
        <w:t>s typology or cause but also by the unique nature of the dreamer, which was subject to interpretation</w:t>
      </w:r>
      <w:r w:rsidRPr="00E7060A">
        <w:t>.</w:t>
      </w:r>
      <w:r w:rsidRPr="00E7060A">
        <w:rPr>
          <w:rStyle w:val="FootnoteReference"/>
        </w:rPr>
        <w:footnoteReference w:id="368"/>
      </w:r>
      <w:r>
        <w:t xml:space="preserve"> </w:t>
      </w:r>
      <w:r w:rsidRPr="00296DDA">
        <w:t xml:space="preserve">This </w:t>
      </w:r>
      <w:r>
        <w:t>‘</w:t>
      </w:r>
      <w:r w:rsidRPr="00296DDA">
        <w:t>naturali</w:t>
      </w:r>
      <w:r>
        <w:t>s</w:t>
      </w:r>
      <w:r w:rsidRPr="00296DDA">
        <w:t>ation</w:t>
      </w:r>
      <w:r>
        <w:t>’</w:t>
      </w:r>
      <w:r w:rsidRPr="00296DDA">
        <w:t xml:space="preserve"> of dreams was further solidified by the availability of texts like Aristotle</w:t>
      </w:r>
      <w:r>
        <w:t>’</w:t>
      </w:r>
      <w:r w:rsidRPr="00296DDA">
        <w:t xml:space="preserve">s </w:t>
      </w:r>
      <w:r w:rsidRPr="00296DDA">
        <w:rPr>
          <w:i/>
          <w:iCs/>
        </w:rPr>
        <w:t>De somno et vigilia</w:t>
      </w:r>
      <w:r w:rsidRPr="00296DDA">
        <w:t xml:space="preserve">, </w:t>
      </w:r>
      <w:r w:rsidRPr="00296DDA">
        <w:rPr>
          <w:i/>
          <w:iCs/>
        </w:rPr>
        <w:t>De somniis</w:t>
      </w:r>
      <w:r w:rsidRPr="00296DDA">
        <w:t xml:space="preserve">, and </w:t>
      </w:r>
      <w:r w:rsidRPr="00296DDA">
        <w:rPr>
          <w:i/>
          <w:iCs/>
        </w:rPr>
        <w:t>De divinatione per somnum</w:t>
      </w:r>
      <w:r w:rsidRPr="00296DDA">
        <w:t xml:space="preserve"> in the </w:t>
      </w:r>
      <w:r w:rsidR="00692801">
        <w:t>Latin</w:t>
      </w:r>
      <w:r w:rsidRPr="00296DDA">
        <w:t xml:space="preserve"> world. These texts were anonymously translated into Latin at the outset of the thirteenth century and contributed to a growing tendency to view dreams as somatic and psychological processes. While </w:t>
      </w:r>
      <w:r>
        <w:t>orthodox</w:t>
      </w:r>
      <w:r w:rsidRPr="00296DDA">
        <w:t xml:space="preserve"> Aristotelians like Boethius of Dacia (1240-1284 AD) categorically rejected the possibility of divine dreams, a more moderate stance was upheld by authors such as Albert the Great (c. 1200-1280 AD), Jean de la Rochelle (1190-1245 AD), and Vincent of Beauvais (c. 1184/1194-1264 AD). These moderate Aristotelian thinkers did not wholly dismiss the patristic theories regarding </w:t>
      </w:r>
      <w:r w:rsidRPr="00296DDA">
        <w:lastRenderedPageBreak/>
        <w:t>the significance of oneiric experiences</w:t>
      </w:r>
      <w:r w:rsidRPr="00E7060A">
        <w:t>.</w:t>
      </w:r>
      <w:r w:rsidRPr="00E7060A">
        <w:rPr>
          <w:rStyle w:val="FootnoteReference"/>
        </w:rPr>
        <w:footnoteReference w:id="369"/>
      </w:r>
      <w:r w:rsidRPr="00E7060A">
        <w:t xml:space="preserve"> </w:t>
      </w:r>
      <w:r>
        <w:t>As a result of these varying understandings of the nature of dreams, there was a shift in the comprehension of oneiromancy – from being viewed as a form of divination in the literal sense of the term to being seen as a form of natural prediction. It became a tool for gaining insight into hidden matters, which should be uncovered and expounded upon but were not beyond human knowledge. In this context, there emerged a terminological shift in how these forms of foreknowledge were described during this period.</w:t>
      </w:r>
    </w:p>
    <w:p w14:paraId="292963D4" w14:textId="12C19FEE" w:rsidR="00787D18" w:rsidRDefault="00244FB6" w:rsidP="00244FB6">
      <w:r w:rsidRPr="000E721D">
        <w:t xml:space="preserve">Originally, the term </w:t>
      </w:r>
      <w:r w:rsidRPr="000E721D">
        <w:rPr>
          <w:i/>
          <w:iCs/>
        </w:rPr>
        <w:t>divinatio</w:t>
      </w:r>
      <w:r w:rsidRPr="000E721D">
        <w:t xml:space="preserve">, as elucidated by Isidore of Seville (c. 560-636 AD) in his </w:t>
      </w:r>
      <w:r w:rsidRPr="000E721D">
        <w:rPr>
          <w:i/>
          <w:iCs/>
        </w:rPr>
        <w:t>Etymologiae</w:t>
      </w:r>
      <w:r w:rsidRPr="000E721D">
        <w:t>, denoted a mode of cognition that transcended mere human knowledge, encompassing, to some extent, participation in supernatural or divine knowledge</w:t>
      </w:r>
      <w:r w:rsidRPr="00B65D7F">
        <w:t>.</w:t>
      </w:r>
      <w:r w:rsidRPr="00B65D7F">
        <w:rPr>
          <w:rStyle w:val="FootnoteReference"/>
        </w:rPr>
        <w:footnoteReference w:id="370"/>
      </w:r>
      <w:r>
        <w:t xml:space="preserve"> </w:t>
      </w:r>
      <w:r w:rsidRPr="000E721D">
        <w:t xml:space="preserve">Isidore described </w:t>
      </w:r>
      <w:r>
        <w:t>‘</w:t>
      </w:r>
      <w:r w:rsidRPr="000E721D">
        <w:t>divinare</w:t>
      </w:r>
      <w:r>
        <w:t>’</w:t>
      </w:r>
      <w:r w:rsidRPr="000E721D">
        <w:t xml:space="preserve"> as an activity practiced by augurs and astrologers, in which God was perceived to be present within the thinking subject.</w:t>
      </w:r>
      <w:r w:rsidRPr="00B65D7F">
        <w:rPr>
          <w:rStyle w:val="FootnoteReference"/>
        </w:rPr>
        <w:footnoteReference w:id="371"/>
      </w:r>
      <w:r>
        <w:t xml:space="preserve"> According to this account, astrologers laid claim to a form of knowledge that partook in the knowledge of God, thus representing a knowledge superior to natural perception or human reason. Alexander Fidora, in his article ‘Divination and Scientific Prediction,’ provides an overview of the terminology related to astrology and the mantic arts, illustrating how the status of these disciplines underwent a transformation from the early to the late medieval period.</w:t>
      </w:r>
      <w:r w:rsidRPr="00B65D7F">
        <w:rPr>
          <w:rStyle w:val="FootnoteReference"/>
        </w:rPr>
        <w:footnoteReference w:id="372"/>
      </w:r>
      <w:r>
        <w:t xml:space="preserve"> Fidora identified a significant turning point that occurred during the twelfth century, resulting from the introduction of Arabic sciences to the </w:t>
      </w:r>
      <w:r w:rsidR="00692801">
        <w:t>Latin world</w:t>
      </w:r>
      <w:r>
        <w:t xml:space="preserve">. This led to a reassessment of the predictive arts and their scientific standing. </w:t>
      </w:r>
    </w:p>
    <w:p w14:paraId="21FEA22A" w14:textId="53E23C1F" w:rsidR="00244FB6" w:rsidRDefault="00244FB6" w:rsidP="00244FB6">
      <w:r>
        <w:lastRenderedPageBreak/>
        <w:t xml:space="preserve">A departure from the traditional notion of divination was put forth by Dominicus Gundissalinus (circa 1115-circa 1190 AD). In his work </w:t>
      </w:r>
      <w:r w:rsidRPr="00545EA4">
        <w:rPr>
          <w:i/>
          <w:iCs/>
        </w:rPr>
        <w:t>De divisione philosophie</w:t>
      </w:r>
      <w:r>
        <w:t>, composed around 1150 in Toledo, he characterised astrology and other predictive disciplines as opinion-based sciences, devoid of any divine presence</w:t>
      </w:r>
      <w:r w:rsidRPr="00B65D7F">
        <w:t>.</w:t>
      </w:r>
      <w:r w:rsidRPr="00B65D7F">
        <w:rPr>
          <w:rStyle w:val="FootnoteReference"/>
        </w:rPr>
        <w:footnoteReference w:id="373"/>
      </w:r>
      <w:r>
        <w:t xml:space="preserve"> </w:t>
      </w:r>
      <w:r w:rsidRPr="00545EA4">
        <w:t xml:space="preserve">This perspective continued to wield influence in the thirteenth century when other scholars further developed the idea that the predictive arts were merely natural forms of cognition, not supernatural. To capture the specific nature of cognition in these divinatory arts, the terms </w:t>
      </w:r>
      <w:r w:rsidRPr="00545EA4">
        <w:rPr>
          <w:i/>
          <w:iCs/>
        </w:rPr>
        <w:t>prognosticare</w:t>
      </w:r>
      <w:r>
        <w:t xml:space="preserve"> </w:t>
      </w:r>
      <w:r w:rsidRPr="00545EA4">
        <w:t xml:space="preserve">and </w:t>
      </w:r>
      <w:r w:rsidRPr="00545EA4">
        <w:rPr>
          <w:i/>
          <w:iCs/>
        </w:rPr>
        <w:t>prognosticatio</w:t>
      </w:r>
      <w:r w:rsidRPr="00545EA4">
        <w:t xml:space="preserve">, originally used in medicine, began to replace the term </w:t>
      </w:r>
      <w:r w:rsidRPr="00114BD5">
        <w:rPr>
          <w:i/>
          <w:iCs/>
        </w:rPr>
        <w:t>divinatio</w:t>
      </w:r>
      <w:r w:rsidRPr="00B65D7F">
        <w:t>.</w:t>
      </w:r>
      <w:r w:rsidRPr="00B65D7F">
        <w:rPr>
          <w:rStyle w:val="FootnoteReference"/>
        </w:rPr>
        <w:footnoteReference w:id="374"/>
      </w:r>
      <w:r>
        <w:t xml:space="preserve"> </w:t>
      </w:r>
      <w:r w:rsidRPr="00FB3501">
        <w:t>The epistemological connection between the predictive arts, including astrology and medicine, was particularly evident in the thoughts of Albert the Great. In his discussion on various forms of foreknowledge, Albert often employed the analogy of medicine (</w:t>
      </w:r>
      <w:r>
        <w:t>‘</w:t>
      </w:r>
      <w:r w:rsidRPr="00FB3501">
        <w:t>sicut medicus</w:t>
      </w:r>
      <w:r>
        <w:t>’</w:t>
      </w:r>
      <w:r w:rsidRPr="00FB3501">
        <w:t xml:space="preserve">). These disciplines, such as the divinatory arts, astrology, medicine, and even meteorology, were classified by Albert under the category of </w:t>
      </w:r>
      <w:r w:rsidRPr="00FB3501">
        <w:rPr>
          <w:i/>
          <w:iCs/>
        </w:rPr>
        <w:t xml:space="preserve">scientia coniecturalis </w:t>
      </w:r>
      <w:r>
        <w:t>(</w:t>
      </w:r>
      <w:r w:rsidRPr="00FB3501">
        <w:t>conjectural science</w:t>
      </w:r>
      <w:r>
        <w:t>)</w:t>
      </w:r>
      <w:r w:rsidRPr="00FB3501">
        <w:t xml:space="preserve">. They produced prognoses that could only be deemed probable. As </w:t>
      </w:r>
      <w:r w:rsidR="00077489">
        <w:t xml:space="preserve">expressed by </w:t>
      </w:r>
      <w:r w:rsidRPr="00FB3501">
        <w:t>Albert,</w:t>
      </w:r>
      <w:r w:rsidR="00077489" w:rsidRPr="00077489">
        <w:t xml:space="preserve"> </w:t>
      </w:r>
      <w:r w:rsidR="00077489">
        <w:t>h</w:t>
      </w:r>
      <w:r w:rsidR="00077489" w:rsidRPr="00077489">
        <w:t xml:space="preserve">e noted that the approach in genuine scientific disciplines differs depending on whether they pertain to probabilities, necessities, and enduring elements, or if they involve </w:t>
      </w:r>
      <w:r w:rsidR="00077489">
        <w:t>conjectural</w:t>
      </w:r>
      <w:r w:rsidR="00077489" w:rsidRPr="00077489">
        <w:t xml:space="preserve"> fields like astrology and geomancy.</w:t>
      </w:r>
      <w:r w:rsidRPr="00B65D7F">
        <w:rPr>
          <w:rStyle w:val="FootnoteReference"/>
        </w:rPr>
        <w:footnoteReference w:id="375"/>
      </w:r>
    </w:p>
    <w:p w14:paraId="409FE9BE" w14:textId="77777777" w:rsidR="00244FB6" w:rsidRDefault="00244FB6" w:rsidP="00244FB6"/>
    <w:p w14:paraId="1D341FEE" w14:textId="6D7B9B37" w:rsidR="00244FB6" w:rsidRDefault="00244FB6" w:rsidP="004B3881">
      <w:r>
        <w:t xml:space="preserve">The epistemic status of geomancy in the medieval period remains an issue of debate. </w:t>
      </w:r>
      <w:r w:rsidR="00804436">
        <w:t xml:space="preserve">From the analysis pursued in this thesis two main ways of considering this discipline emerge. </w:t>
      </w:r>
      <w:r>
        <w:t>On</w:t>
      </w:r>
      <w:r w:rsidR="00804436">
        <w:t xml:space="preserve"> on</w:t>
      </w:r>
      <w:r>
        <w:t xml:space="preserve">e </w:t>
      </w:r>
      <w:r w:rsidR="00804436">
        <w:t xml:space="preserve">side, </w:t>
      </w:r>
      <w:r>
        <w:t xml:space="preserve">geomancy </w:t>
      </w:r>
      <w:r w:rsidR="00804436">
        <w:t>was perceived to be</w:t>
      </w:r>
      <w:r>
        <w:t xml:space="preserve"> a form of natural prediction, closely intertwined with </w:t>
      </w:r>
      <w:r w:rsidR="0004237F">
        <w:t>the motion of the heavens</w:t>
      </w:r>
      <w:r>
        <w:t xml:space="preserve">. In this </w:t>
      </w:r>
      <w:r w:rsidR="0004237F">
        <w:t>perspective</w:t>
      </w:r>
      <w:r>
        <w:t xml:space="preserve">, geomancy was considered a branch of astrology, </w:t>
      </w:r>
      <w:r w:rsidR="0004237F">
        <w:t>and</w:t>
      </w:r>
      <w:r>
        <w:t xml:space="preserve"> the geomancer</w:t>
      </w:r>
      <w:r w:rsidR="0004237F">
        <w:t xml:space="preserve"> produced his forecast by the virtue of the celestial spheres</w:t>
      </w:r>
      <w:r>
        <w:t xml:space="preserve">, </w:t>
      </w:r>
      <w:r>
        <w:lastRenderedPageBreak/>
        <w:t xml:space="preserve">creating combinations of figures on the sand that held precise connections with the twenty-eight mansions of the moon. This conception of geomancy presented it as a kind of ‘simplified astrology,’ offering improved insights into the celestial movements while avoiding the complexities of traditional astrology. On the other hand, geomancy was often depicted as an attempt to attain supernatural knowledge. In this </w:t>
      </w:r>
      <w:r w:rsidR="00FD74BC">
        <w:t>framework</w:t>
      </w:r>
      <w:r>
        <w:t xml:space="preserve">, geomancy was </w:t>
      </w:r>
      <w:r w:rsidR="00FD74BC">
        <w:t>categorised</w:t>
      </w:r>
      <w:r w:rsidR="00DD6C19">
        <w:t xml:space="preserve"> as</w:t>
      </w:r>
      <w:r>
        <w:t xml:space="preserve"> a form of divination, </w:t>
      </w:r>
      <w:r w:rsidR="00DD6C19">
        <w:t>and</w:t>
      </w:r>
      <w:r>
        <w:t xml:space="preserve"> the geomancer’s</w:t>
      </w:r>
      <w:r w:rsidR="00DD6C19">
        <w:t xml:space="preserve"> </w:t>
      </w:r>
      <w:r w:rsidR="00E204CD">
        <w:t>ability to obtain knowledge regarding future events, occult things and human thoughts was seeing with suspicion in light of the various ritualistic elements involved in the geomantic technique, leading to a possible involvement of spiritual entities in the divinatory process</w:t>
      </w:r>
      <w:r>
        <w:t xml:space="preserve">. In this second perspective, the geomantic technique shared several correspondences with occult sciences such as talisman-making, magic and oneiromancy. Geomancy was considered as a means for the human soul to connect with the spiritual world, leading to insights that could be seen as divinely inspired. </w:t>
      </w:r>
      <w:r w:rsidRPr="00D030CE">
        <w:rPr>
          <w:rStyle w:val="FootnoteReference"/>
        </w:rPr>
        <w:footnoteReference w:id="376"/>
      </w:r>
      <w:r>
        <w:t xml:space="preserve">  </w:t>
      </w:r>
      <w:r w:rsidR="004B3881">
        <w:t xml:space="preserve">From this emerges that in the medieval period two different perspective coexisted regarding the science of the sand, it was considered both as </w:t>
      </w:r>
      <w:r>
        <w:t>a ‘simplified astrology’</w:t>
      </w:r>
      <w:r w:rsidR="004B3881">
        <w:t xml:space="preserve"> and </w:t>
      </w:r>
      <w:r>
        <w:t xml:space="preserve">as a form of ‘lesser prophecy.’ These two </w:t>
      </w:r>
      <w:r w:rsidR="004B3881">
        <w:t>different</w:t>
      </w:r>
      <w:r>
        <w:t xml:space="preserve"> </w:t>
      </w:r>
      <w:r w:rsidR="004B3881">
        <w:t>points of view</w:t>
      </w:r>
      <w:r>
        <w:t xml:space="preserve"> often coexist in the same texts, where geomancy </w:t>
      </w:r>
      <w:r w:rsidR="004B3881">
        <w:t>was considered as</w:t>
      </w:r>
      <w:r>
        <w:t xml:space="preserve"> both a form of wisdom passed on by prophets and revealed by angels, and as a form of astrology. </w:t>
      </w:r>
      <w:r w:rsidRPr="000B27AE">
        <w:t xml:space="preserve">What these two perspectives </w:t>
      </w:r>
      <w:r w:rsidR="004B3881">
        <w:t>share is</w:t>
      </w:r>
      <w:r w:rsidRPr="000B27AE">
        <w:t xml:space="preserve"> the emphasis on the geomancer</w:t>
      </w:r>
      <w:r>
        <w:t>’</w:t>
      </w:r>
      <w:r w:rsidRPr="000B27AE">
        <w:t>s ability to</w:t>
      </w:r>
      <w:r>
        <w:t xml:space="preserve"> obtain occult knowledge and</w:t>
      </w:r>
      <w:r w:rsidRPr="000B27AE">
        <w:t xml:space="preserve"> probe the depths of the human soul.</w:t>
      </w:r>
      <w:r w:rsidR="00804436">
        <w:br w:type="page"/>
      </w:r>
    </w:p>
    <w:p w14:paraId="78A5D617" w14:textId="77777777" w:rsidR="00244FB6" w:rsidRPr="00A443F5" w:rsidRDefault="00244FB6" w:rsidP="00A443F5">
      <w:pPr>
        <w:pStyle w:val="Heading1"/>
        <w:ind w:firstLine="0"/>
        <w:rPr>
          <w:rFonts w:asciiTheme="majorBidi" w:hAnsiTheme="majorBidi"/>
          <w:color w:val="auto"/>
          <w:sz w:val="24"/>
          <w:szCs w:val="24"/>
        </w:rPr>
      </w:pPr>
      <w:bookmarkStart w:id="99" w:name="_Toc165108664"/>
      <w:r w:rsidRPr="00A443F5">
        <w:rPr>
          <w:rFonts w:asciiTheme="majorBidi" w:hAnsiTheme="majorBidi"/>
          <w:color w:val="auto"/>
          <w:sz w:val="24"/>
          <w:szCs w:val="24"/>
        </w:rPr>
        <w:lastRenderedPageBreak/>
        <w:t>VI. THE AFTERLIFE OF MEDIEVAL GEOMANCY</w:t>
      </w:r>
      <w:bookmarkEnd w:id="99"/>
    </w:p>
    <w:p w14:paraId="0D131AD5" w14:textId="77777777" w:rsidR="00244FB6" w:rsidRDefault="00244FB6" w:rsidP="00244FB6">
      <w:pPr>
        <w:ind w:firstLine="0"/>
      </w:pPr>
    </w:p>
    <w:p w14:paraId="30F91534" w14:textId="7BC58B04" w:rsidR="00244FB6" w:rsidRDefault="00244FB6" w:rsidP="00244FB6">
      <w:pPr>
        <w:ind w:firstLine="0"/>
      </w:pPr>
      <w:r>
        <w:tab/>
      </w:r>
      <w:r w:rsidRPr="00F537E0">
        <w:t xml:space="preserve">After its initial introduction </w:t>
      </w:r>
      <w:r w:rsidR="004A0230">
        <w:t>into</w:t>
      </w:r>
      <w:r w:rsidRPr="00F537E0">
        <w:t xml:space="preserve"> Europe in the twelfth century, geomancy rapidly </w:t>
      </w:r>
      <w:r w:rsidR="0015184D" w:rsidRPr="00F537E0">
        <w:t>spread</w:t>
      </w:r>
      <w:r w:rsidRPr="00F537E0">
        <w:t xml:space="preserve"> throughout late medieval European culture, establishing itself as one of the predominant modes of </w:t>
      </w:r>
      <w:r w:rsidR="0015184D">
        <w:t>predicting the future</w:t>
      </w:r>
      <w:r w:rsidRPr="00F537E0">
        <w:t>, alongside astrology and oneiromancy.</w:t>
      </w:r>
      <w:r w:rsidR="0015184D">
        <w:t xml:space="preserve"> As already established, i</w:t>
      </w:r>
      <w:r w:rsidRPr="00F537E0">
        <w:t xml:space="preserve">ts pervasive influence in </w:t>
      </w:r>
      <w:r w:rsidR="00692801">
        <w:t>Medieval</w:t>
      </w:r>
      <w:r w:rsidRPr="00F537E0">
        <w:t xml:space="preserve"> Europe is substantiated by an extensive body of extant manuscripts from that era, references to geomancy within literary works, its incorporation into Scholastic </w:t>
      </w:r>
      <w:r w:rsidR="00165536">
        <w:t>works</w:t>
      </w:r>
      <w:r w:rsidRPr="00F537E0">
        <w:t xml:space="preserve"> </w:t>
      </w:r>
      <w:r w:rsidR="00DA7405">
        <w:t>discussing</w:t>
      </w:r>
      <w:r w:rsidRPr="00F537E0">
        <w:t xml:space="preserve"> prescience and free will, as well as </w:t>
      </w:r>
      <w:r w:rsidR="00DA7405">
        <w:t>in</w:t>
      </w:r>
      <w:r w:rsidRPr="00F537E0">
        <w:t xml:space="preserve"> various ecclesiastical </w:t>
      </w:r>
      <w:r>
        <w:t>condemnations</w:t>
      </w:r>
      <w:r w:rsidRPr="00F537E0">
        <w:t xml:space="preserve"> aimed at the various manifestations of divinatory practices experiencing a resurgence in </w:t>
      </w:r>
      <w:r w:rsidR="00692801">
        <w:t>the Latin</w:t>
      </w:r>
      <w:r w:rsidRPr="00F537E0">
        <w:t xml:space="preserve"> society.</w:t>
      </w:r>
      <w:r>
        <w:t xml:space="preserve"> While</w:t>
      </w:r>
      <w:r w:rsidRPr="00D60972">
        <w:t xml:space="preserve"> this study has </w:t>
      </w:r>
      <w:r>
        <w:t>centred</w:t>
      </w:r>
      <w:r w:rsidRPr="00D60972">
        <w:t xml:space="preserve"> </w:t>
      </w:r>
      <w:r>
        <w:t>on</w:t>
      </w:r>
      <w:r w:rsidRPr="00D60972">
        <w:t xml:space="preserve"> European geomantic texts written between the twelfth </w:t>
      </w:r>
      <w:r>
        <w:t>and</w:t>
      </w:r>
      <w:r w:rsidRPr="00D60972">
        <w:t xml:space="preserve"> the fifteenth</w:t>
      </w:r>
      <w:r>
        <w:t xml:space="preserve"> centuries</w:t>
      </w:r>
      <w:r w:rsidRPr="00D60972">
        <w:t xml:space="preserve">, during which the </w:t>
      </w:r>
      <w:r w:rsidRPr="00D60972">
        <w:rPr>
          <w:i/>
          <w:iCs/>
        </w:rPr>
        <w:t>Liber arenalis scientiae</w:t>
      </w:r>
      <w:r w:rsidRPr="00D60972">
        <w:t xml:space="preserve"> was translated and then copied multiple times</w:t>
      </w:r>
      <w:r>
        <w:t>,</w:t>
      </w:r>
      <w:r w:rsidRPr="00D60972">
        <w:t xml:space="preserve"> </w:t>
      </w:r>
      <w:r w:rsidRPr="00F537E0">
        <w:t>the narrative of geomancy</w:t>
      </w:r>
      <w:r w:rsidR="0015184D">
        <w:t>’</w:t>
      </w:r>
      <w:r w:rsidRPr="00F537E0">
        <w:t xml:space="preserve">s trajectory in the </w:t>
      </w:r>
      <w:r w:rsidR="00692801">
        <w:t>European</w:t>
      </w:r>
      <w:r w:rsidRPr="00F537E0">
        <w:t xml:space="preserve"> context extends beyond the medieval epoch. This is evident in the attribution of another geomantic work to Plato of Tivoli, published in 1687 as a component of a geomantic compendium </w:t>
      </w:r>
      <w:r>
        <w:t>en</w:t>
      </w:r>
      <w:r w:rsidRPr="00F537E0">
        <w:t xml:space="preserve">titled </w:t>
      </w:r>
      <w:r w:rsidRPr="00F537E0">
        <w:rPr>
          <w:i/>
          <w:iCs/>
        </w:rPr>
        <w:t>Fasciculus Geomanticus</w:t>
      </w:r>
      <w:r w:rsidRPr="00F537E0">
        <w:t>.</w:t>
      </w:r>
      <w:r w:rsidRPr="00D60972">
        <w:rPr>
          <w:rStyle w:val="FootnoteReference"/>
        </w:rPr>
        <w:footnoteReference w:id="377"/>
      </w:r>
      <w:r>
        <w:t xml:space="preserve"> </w:t>
      </w:r>
      <w:r w:rsidRPr="00F537E0">
        <w:t>An extant manuscript copy of this work from the eighteenth century can be found in the holdings of the Bayerische Staatsbibliothek in Munich (Clm 11998). It is noteworthy that the early modern era witnessed the publication of numerous treatises on geomancy, indicating the enduring relevance of this divinatory art</w:t>
      </w:r>
      <w:r w:rsidR="00215CA2">
        <w:t>, that</w:t>
      </w:r>
      <w:r w:rsidRPr="00F537E0">
        <w:t xml:space="preserve"> only began to wane in European cultural discourse during the eighteenth century. However, a comprehensive exploration of geomancy</w:t>
      </w:r>
      <w:r w:rsidR="00F8361E">
        <w:t>’</w:t>
      </w:r>
      <w:r w:rsidRPr="00F537E0">
        <w:t xml:space="preserve">s evolution and developments during the early modern period, an undertaking beyond the scope of this thesis, would require an exhaustive investigation spanning multiple chapters. </w:t>
      </w:r>
      <w:r>
        <w:t>A</w:t>
      </w:r>
      <w:r w:rsidR="00116AD5">
        <w:t xml:space="preserve">n </w:t>
      </w:r>
      <w:r w:rsidRPr="00F537E0">
        <w:t>extensive examination of geomancy</w:t>
      </w:r>
      <w:r>
        <w:t>’</w:t>
      </w:r>
      <w:r w:rsidRPr="00F537E0">
        <w:t xml:space="preserve">s transition from the </w:t>
      </w:r>
      <w:r w:rsidRPr="00F537E0">
        <w:lastRenderedPageBreak/>
        <w:t>Middle Ages to the early modern era and the associated debates on its legitimacy</w:t>
      </w:r>
      <w:r>
        <w:t xml:space="preserve"> can be found in the recent publication by Hannah Schlimpen, ‘</w:t>
      </w:r>
      <w:bookmarkStart w:id="100" w:name="_Hlk135994530"/>
      <w:r w:rsidRPr="00DD518F">
        <w:rPr>
          <w:i/>
          <w:iCs/>
        </w:rPr>
        <w:t>Artes manticae</w:t>
      </w:r>
      <w:r>
        <w:t xml:space="preserve"> y geomancia en las literaturas francesa y española altomodernas</w:t>
      </w:r>
      <w:bookmarkEnd w:id="100"/>
      <w:r>
        <w:t>.’</w:t>
      </w:r>
      <w:r>
        <w:rPr>
          <w:rStyle w:val="FootnoteReference"/>
        </w:rPr>
        <w:footnoteReference w:id="378"/>
      </w:r>
      <w:r>
        <w:t xml:space="preserve"> T</w:t>
      </w:r>
      <w:r w:rsidRPr="00F537E0">
        <w:t>he primary objective of this concluding chapter is to evaluate the extent to which elements of geomantic practice</w:t>
      </w:r>
      <w:r w:rsidR="00A510D3">
        <w:t xml:space="preserve"> pertaining to the Medieval geomantic tradition</w:t>
      </w:r>
      <w:r w:rsidRPr="00F537E0">
        <w:t xml:space="preserve"> endured into the early modern period and to discern any modifications that occurred during this transition.</w:t>
      </w:r>
      <w:r w:rsidR="00FD7DBC">
        <w:t xml:space="preserve"> In particular, this analysis looks at the development of the concepts discussed in this thesis regarding geomancy – its relationship with astrology, its </w:t>
      </w:r>
      <w:r w:rsidR="004C6598" w:rsidRPr="004C6598">
        <w:t>interplay with the human soul</w:t>
      </w:r>
      <w:r w:rsidR="00FD7DBC">
        <w:t>, and its closeness with divinatory and occult practices – to trace their development in the sixteenth and seventeenth centuries.</w:t>
      </w:r>
    </w:p>
    <w:p w14:paraId="5EAF2BBA" w14:textId="723F376F" w:rsidR="00244FB6" w:rsidRDefault="00244FB6" w:rsidP="00244FB6">
      <w:r w:rsidRPr="00F537E0">
        <w:t xml:space="preserve">The initial section of this chapter will examine a collection of geomantic texts published during the </w:t>
      </w:r>
      <w:r w:rsidR="006E2AB1">
        <w:t>Early Modern Era</w:t>
      </w:r>
      <w:r w:rsidRPr="00F537E0">
        <w:t>. This inquiry aims to delineate the extent to which these printed works preserve the characteristics of their manuscript predecessors while also discerning their deviations from the established medieval tradition. This comprehensive analysis will encompass both the textual and visual facets of this body of literature</w:t>
      </w:r>
      <w:r>
        <w:t>.</w:t>
      </w:r>
      <w:r w:rsidRPr="00F537E0">
        <w:t xml:space="preserve"> The subsequent segments of this chapter, denoted as the second and third sections, will concentrate on two distinct case studies to elucidate the divergent approaches to geomancy that emerged during the early modern period. The </w:t>
      </w:r>
      <w:r w:rsidR="000D4058">
        <w:t>first</w:t>
      </w:r>
      <w:r w:rsidRPr="00F537E0">
        <w:t xml:space="preserve"> case study centres on the intellectual contributions of the English physician Robert Fludd (1574 – 1637), as elucidated in his magnum opus, </w:t>
      </w:r>
      <w:r w:rsidRPr="00F537E0">
        <w:rPr>
          <w:i/>
          <w:iCs/>
        </w:rPr>
        <w:t>Utriusque Cosmi, Maioris scilicet et Minoris, metaphysica, physica, atque technica Historia</w:t>
      </w:r>
      <w:r w:rsidRPr="00F537E0">
        <w:t>.</w:t>
      </w:r>
      <w:r>
        <w:t xml:space="preserve"> </w:t>
      </w:r>
      <w:r w:rsidRPr="00F537E0">
        <w:t xml:space="preserve">The second case study pertains to another English </w:t>
      </w:r>
      <w:r>
        <w:t>author</w:t>
      </w:r>
      <w:r w:rsidRPr="00F537E0">
        <w:t xml:space="preserve">, the legal practitioner and occultist John Heydon (1629 – c. 1667), who explored geomancy within the pages of several of his works. Through </w:t>
      </w:r>
      <w:r>
        <w:t xml:space="preserve">the </w:t>
      </w:r>
      <w:r w:rsidRPr="00F537E0">
        <w:t xml:space="preserve">analysis of the works by these two </w:t>
      </w:r>
      <w:r>
        <w:t>authors</w:t>
      </w:r>
      <w:r w:rsidRPr="00F537E0">
        <w:t>, it becomes apparent that Fludd</w:t>
      </w:r>
      <w:r>
        <w:t>’</w:t>
      </w:r>
      <w:r w:rsidRPr="00F537E0">
        <w:t>s geomantic theory</w:t>
      </w:r>
      <w:r>
        <w:t xml:space="preserve"> – though presenting some facets original to Fludd’s thought –</w:t>
      </w:r>
      <w:r w:rsidRPr="00F537E0">
        <w:t xml:space="preserve"> remains profoundly involved within the medieval tradition. In stark </w:t>
      </w:r>
      <w:r w:rsidRPr="00F537E0">
        <w:lastRenderedPageBreak/>
        <w:t>contrast, Heydon</w:t>
      </w:r>
      <w:r>
        <w:t>’</w:t>
      </w:r>
      <w:r w:rsidRPr="00F537E0">
        <w:t xml:space="preserve">s interpretation of geomancy signifies a decisive departure from this established tradition, presenting a </w:t>
      </w:r>
      <w:r>
        <w:t>contaminated</w:t>
      </w:r>
      <w:r w:rsidRPr="00F537E0">
        <w:t xml:space="preserve"> form of geomantic practice that bears minimal resemblance to antecedent sources. It is this altered variant of geomancy that subsequently permeated the nineteenth and twentieth-century revival of geomantic practices within occultist circles, exemplified by organi</w:t>
      </w:r>
      <w:r w:rsidR="00706E41">
        <w:t>s</w:t>
      </w:r>
      <w:r w:rsidRPr="00F537E0">
        <w:t>ations such as The Hermetic Order of the Golden Dawn.</w:t>
      </w:r>
      <w:r w:rsidRPr="002644DA">
        <w:t xml:space="preserve"> The argument posited herein contends that, b</w:t>
      </w:r>
      <w:r>
        <w:t>y the seventeenth century</w:t>
      </w:r>
      <w:r w:rsidRPr="002644DA">
        <w:t xml:space="preserve">, geomancy had undergone a substantial transformation, losing its fidelity to the overarching </w:t>
      </w:r>
      <w:r w:rsidR="008D3C91">
        <w:t>Latin</w:t>
      </w:r>
      <w:r w:rsidRPr="002644DA">
        <w:t xml:space="preserve"> geomantic tradition that had evolved in Europe from the twelfth </w:t>
      </w:r>
      <w:r>
        <w:t>century</w:t>
      </w:r>
      <w:r w:rsidRPr="002644DA">
        <w:t>. Aside from the preservation of the sixteen designs of the geomantic figure</w:t>
      </w:r>
      <w:r>
        <w:t>s</w:t>
      </w:r>
      <w:r w:rsidRPr="002644DA">
        <w:t xml:space="preserve"> across temporal shifts, the very practice itself, the methodologies employed to obtain </w:t>
      </w:r>
      <w:r>
        <w:t>a prediction</w:t>
      </w:r>
      <w:r w:rsidRPr="002644DA">
        <w:t xml:space="preserve">, and the epistemic underpinnings of the </w:t>
      </w:r>
      <w:r>
        <w:t>‘</w:t>
      </w:r>
      <w:r w:rsidRPr="002644DA">
        <w:t>science of the sand</w:t>
      </w:r>
      <w:r>
        <w:t>’</w:t>
      </w:r>
      <w:r w:rsidRPr="002644DA">
        <w:t xml:space="preserve"> had either atrophied or become profoundly altered within the tradition inaugu</w:t>
      </w:r>
      <w:r>
        <w:t>rated</w:t>
      </w:r>
      <w:r w:rsidRPr="002644DA">
        <w:t xml:space="preserve"> by</w:t>
      </w:r>
      <w:r>
        <w:t xml:space="preserve"> figures such as</w:t>
      </w:r>
      <w:r w:rsidRPr="002644DA">
        <w:t xml:space="preserve"> Heydon. This transformation was compounded by the assimilation of extraneous </w:t>
      </w:r>
      <w:r w:rsidR="000D4058">
        <w:t>ideas</w:t>
      </w:r>
      <w:r w:rsidRPr="002644DA">
        <w:t xml:space="preserve"> and components borrowed from domains such as astrology, alchemy, and other esoteric disciplines</w:t>
      </w:r>
      <w:r w:rsidR="000D4058">
        <w:t xml:space="preserve"> that were not present at the beginning of the </w:t>
      </w:r>
      <w:r w:rsidR="008D3C91">
        <w:t>Latin</w:t>
      </w:r>
      <w:r w:rsidR="000D4058">
        <w:t xml:space="preserve"> geomantic tradition</w:t>
      </w:r>
      <w:r w:rsidRPr="002644DA">
        <w:t>.</w:t>
      </w:r>
    </w:p>
    <w:p w14:paraId="012D757C" w14:textId="77777777" w:rsidR="00244FB6" w:rsidRPr="00A443F5" w:rsidRDefault="00244FB6" w:rsidP="00244FB6"/>
    <w:p w14:paraId="4800D3A3" w14:textId="0964FEED" w:rsidR="00244FB6" w:rsidRPr="00A443F5" w:rsidRDefault="00244FB6" w:rsidP="00A443F5">
      <w:pPr>
        <w:pStyle w:val="Heading2"/>
        <w:ind w:firstLine="0"/>
        <w:rPr>
          <w:rFonts w:asciiTheme="majorBidi" w:hAnsiTheme="majorBidi"/>
          <w:color w:val="auto"/>
          <w:sz w:val="20"/>
          <w:szCs w:val="20"/>
        </w:rPr>
      </w:pPr>
      <w:bookmarkStart w:id="101" w:name="_Toc165108665"/>
      <w:r w:rsidRPr="00A443F5">
        <w:rPr>
          <w:rFonts w:asciiTheme="majorBidi" w:hAnsiTheme="majorBidi"/>
          <w:color w:val="auto"/>
          <w:sz w:val="20"/>
          <w:szCs w:val="20"/>
        </w:rPr>
        <w:t>VI.</w:t>
      </w:r>
      <w:r w:rsidR="006747E7">
        <w:rPr>
          <w:rFonts w:asciiTheme="majorBidi" w:hAnsiTheme="majorBidi"/>
          <w:color w:val="auto"/>
          <w:sz w:val="20"/>
          <w:szCs w:val="20"/>
        </w:rPr>
        <w:t>1</w:t>
      </w:r>
      <w:r w:rsidRPr="00A443F5">
        <w:rPr>
          <w:rFonts w:asciiTheme="majorBidi" w:hAnsiTheme="majorBidi"/>
          <w:color w:val="auto"/>
          <w:sz w:val="20"/>
          <w:szCs w:val="20"/>
        </w:rPr>
        <w:t xml:space="preserve"> ELEMENTS OF CONTINUITY AND CHANGE: A SURVEY OF EARLY MODERN GEOMANTIC TREATISES</w:t>
      </w:r>
      <w:bookmarkEnd w:id="101"/>
    </w:p>
    <w:p w14:paraId="62C3F9E4" w14:textId="77777777" w:rsidR="00244FB6" w:rsidRDefault="00244FB6" w:rsidP="00244FB6">
      <w:pPr>
        <w:ind w:firstLine="0"/>
      </w:pPr>
    </w:p>
    <w:p w14:paraId="135697CB" w14:textId="74D78191" w:rsidR="00244FB6" w:rsidRPr="00A443F5" w:rsidRDefault="00244FB6" w:rsidP="00A443F5">
      <w:pPr>
        <w:pStyle w:val="Heading3"/>
        <w:ind w:firstLine="0"/>
        <w:rPr>
          <w:rFonts w:asciiTheme="majorBidi" w:hAnsiTheme="majorBidi"/>
          <w:b/>
          <w:bCs/>
        </w:rPr>
      </w:pPr>
      <w:bookmarkStart w:id="102" w:name="_Toc165108666"/>
      <w:r w:rsidRPr="00A443F5">
        <w:rPr>
          <w:rFonts w:asciiTheme="majorBidi" w:hAnsiTheme="majorBidi"/>
          <w:b/>
          <w:bCs/>
          <w:color w:val="auto"/>
        </w:rPr>
        <w:t>The texts</w:t>
      </w:r>
      <w:bookmarkEnd w:id="102"/>
    </w:p>
    <w:p w14:paraId="2CBC534F" w14:textId="77777777" w:rsidR="00A55F07" w:rsidRPr="00A55F07" w:rsidRDefault="00A55F07" w:rsidP="00244FB6">
      <w:pPr>
        <w:ind w:firstLine="0"/>
        <w:rPr>
          <w:b/>
          <w:bCs/>
        </w:rPr>
      </w:pPr>
    </w:p>
    <w:p w14:paraId="7C09F2CD" w14:textId="0F2AC882" w:rsidR="00244FB6" w:rsidRDefault="00244FB6" w:rsidP="00244FB6">
      <w:pPr>
        <w:ind w:firstLine="0"/>
      </w:pPr>
      <w:r>
        <w:tab/>
        <w:t xml:space="preserve">As elucidated in the preceding chapters, it becomes evident that, commencing in the mid-twelfth century, a substantial proliferation of geomantic texts occurred within the milieu of medieval Europe. The earliest works on this subject were translations of Arabic source material. Subsequently, Latin geomantic treatises emerged, which were significantly </w:t>
      </w:r>
      <w:r>
        <w:lastRenderedPageBreak/>
        <w:t>influenced by these initial translations. When seeking to comprehend the transformations and enduring elements characterising the practice and discourse of geomancy in early modern Europe, it is helpful to undergo a discerning examination of which medieval texts persisted through the continuous processes of duplication and publication, and conversely, which texts fell into relative obscurity. Since the main case study of this thesis has been the geomantic work whose translation is attributed to Plato of Tivoli, this analysis will begin by considering the fortune of this text after the medieval period</w:t>
      </w:r>
      <w:r w:rsidR="00407805">
        <w:t>. As previously mentioned,</w:t>
      </w:r>
      <w:r>
        <w:t xml:space="preserve"> </w:t>
      </w:r>
      <w:r w:rsidR="00407805">
        <w:t>a</w:t>
      </w:r>
      <w:r>
        <w:t xml:space="preserve"> geomantic work attributed to Plato is preserved in the volume entitled </w:t>
      </w:r>
      <w:r w:rsidRPr="007F2EBD">
        <w:rPr>
          <w:i/>
          <w:iCs/>
        </w:rPr>
        <w:t>Fasciculus Geomanticus</w:t>
      </w:r>
      <w:r w:rsidR="00407805">
        <w:t>, published in 1638</w:t>
      </w:r>
      <w:r>
        <w:t>. Th</w:t>
      </w:r>
      <w:r w:rsidR="00407805">
        <w:t>is</w:t>
      </w:r>
      <w:r>
        <w:t xml:space="preserve"> </w:t>
      </w:r>
      <w:r w:rsidR="00407805">
        <w:t>volume</w:t>
      </w:r>
      <w:r>
        <w:t xml:space="preserve"> contains various geomantic works, among which is one attributed to Robert Fludd (</w:t>
      </w:r>
      <w:r w:rsidRPr="007F2EBD">
        <w:rPr>
          <w:i/>
          <w:iCs/>
        </w:rPr>
        <w:t>Roberti Flud alias</w:t>
      </w:r>
      <w:r>
        <w:rPr>
          <w:i/>
          <w:iCs/>
        </w:rPr>
        <w:t xml:space="preserve"> de</w:t>
      </w:r>
      <w:r w:rsidRPr="007F2EBD">
        <w:rPr>
          <w:i/>
          <w:iCs/>
        </w:rPr>
        <w:t xml:space="preserve"> Fluctibus, Armigeri &amp; in Medicina Doctoris Oxoniensis de Animae intellectualis scientia seu Geomantia Hominis appropriata, quo</w:t>
      </w:r>
      <w:r>
        <w:rPr>
          <w:i/>
          <w:iCs/>
        </w:rPr>
        <w:t>r</w:t>
      </w:r>
      <w:r w:rsidRPr="007F2EBD">
        <w:rPr>
          <w:i/>
          <w:iCs/>
        </w:rPr>
        <w:t>um radii intellectuales extrinsecus, hoc est, circa negotia mundana versantes, &amp; è centro dissipati in centrum recolliguntur</w:t>
      </w:r>
      <w:r>
        <w:t>); another text is attributed to a certain Henricus de Pisis, medical doctor in Lyon (Opus Geomantiae Completum in Libros Tresdivisum, quorum I. Universam Geomanticam Theoriam, II. Praxim, III. Varias à diversis authorib&lt;us&gt;  decerptas quaestiones continet. Curiosis recens dedicatum ab H. De Pisis Doct. Med. Lugd.</w:t>
      </w:r>
      <w:r>
        <w:rPr>
          <w:rStyle w:val="FootnoteReference"/>
        </w:rPr>
        <w:footnoteReference w:id="379"/>
      </w:r>
      <w:r>
        <w:t xml:space="preserve"> Plato’s text follows these two, and is entitled </w:t>
      </w:r>
      <w:r w:rsidRPr="003D136C">
        <w:rPr>
          <w:i/>
          <w:iCs/>
        </w:rPr>
        <w:t>Quaestiones Geomantiae Alfakini Arabici filii à  Platone in Latinum translatae ex Antiquo Manuscripto de Anno MDXXXV. Nunc primâ vice typis datae</w:t>
      </w:r>
      <w:r>
        <w:t xml:space="preserve">. This text is then followed by an appendix consisting of tables containing the geomantic figures, entitled </w:t>
      </w:r>
      <w:r w:rsidRPr="009E231C">
        <w:rPr>
          <w:i/>
          <w:iCs/>
        </w:rPr>
        <w:t>Tabulae Geomanticae, Seu Liber Singularis De Tribus Ultimis Ex Antiquo Manuscripto De Anno MDXXXV. Iam Primo Luci datus, Annexis Duabus Tabellis huic studio mirè inservientibus caeteroquin utilibus &amp; Jucundis</w:t>
      </w:r>
      <w:r>
        <w:t xml:space="preserve">, published in Frankfurt by Johannis Davidis Zunneri in </w:t>
      </w:r>
      <w:r w:rsidRPr="001F6272">
        <w:t>1693</w:t>
      </w:r>
      <w:r>
        <w:t xml:space="preserve">. Looking at the </w:t>
      </w:r>
      <w:r w:rsidRPr="0022206E">
        <w:rPr>
          <w:i/>
          <w:iCs/>
        </w:rPr>
        <w:t>Quaestiones Geomantiae</w:t>
      </w:r>
      <w:r>
        <w:t xml:space="preserve"> it is easy to see that this is a completely different text from the </w:t>
      </w:r>
      <w:r w:rsidRPr="006C7C54">
        <w:rPr>
          <w:i/>
          <w:iCs/>
        </w:rPr>
        <w:t>Liber arenalis scientiae</w:t>
      </w:r>
      <w:r>
        <w:t xml:space="preserve">. As suggested by the </w:t>
      </w:r>
      <w:r>
        <w:lastRenderedPageBreak/>
        <w:t xml:space="preserve">title, the </w:t>
      </w:r>
      <w:r w:rsidRPr="006C7C54">
        <w:rPr>
          <w:i/>
          <w:iCs/>
        </w:rPr>
        <w:t>Quaestiones Geomantiae</w:t>
      </w:r>
      <w:r>
        <w:t xml:space="preserve"> consists of a collection of questions and answers based on the various geomantic figures. The text does not appear to be a translation from Arabic but rather a compilation based on Gerard of Cremona’s </w:t>
      </w:r>
      <w:r w:rsidRPr="00402A31">
        <w:rPr>
          <w:i/>
          <w:iCs/>
        </w:rPr>
        <w:t>Si quis per artem geomanticam</w:t>
      </w:r>
      <w:r w:rsidRPr="00934552">
        <w:t>.</w:t>
      </w:r>
      <w:r w:rsidRPr="00934552">
        <w:rPr>
          <w:rStyle w:val="FootnoteReference"/>
        </w:rPr>
        <w:footnoteReference w:id="380"/>
      </w:r>
      <w:r>
        <w:t xml:space="preserve"> It is possible then that the attribution to Plato of Tivoli was only used in order to give credibility to the text, by attributing it to one of the early Latin authorities on geomancy. </w:t>
      </w:r>
    </w:p>
    <w:p w14:paraId="24B49B2F" w14:textId="2040999A" w:rsidR="00244FB6" w:rsidRDefault="00244FB6" w:rsidP="00244FB6">
      <w:r>
        <w:t xml:space="preserve">A similar </w:t>
      </w:r>
      <w:r w:rsidR="00174DF8">
        <w:t>fate</w:t>
      </w:r>
      <w:r>
        <w:t xml:space="preserve"> is shared by Gerard of Cremona, under whose name circulated in the early modern period the </w:t>
      </w:r>
      <w:r w:rsidRPr="00AD1FED">
        <w:rPr>
          <w:i/>
          <w:iCs/>
        </w:rPr>
        <w:t>Geomantiae a</w:t>
      </w:r>
      <w:r>
        <w:rPr>
          <w:i/>
          <w:iCs/>
        </w:rPr>
        <w:t>[r]</w:t>
      </w:r>
      <w:r w:rsidRPr="00AD1FED">
        <w:rPr>
          <w:i/>
          <w:iCs/>
        </w:rPr>
        <w:t>stronomica</w:t>
      </w:r>
      <w:r>
        <w:rPr>
          <w:i/>
          <w:iCs/>
        </w:rPr>
        <w:t>e</w:t>
      </w:r>
      <w:r w:rsidRPr="00AD1FED">
        <w:rPr>
          <w:i/>
          <w:iCs/>
        </w:rPr>
        <w:t xml:space="preserve"> libellus</w:t>
      </w:r>
      <w:r>
        <w:t xml:space="preserve"> (‘The Book of Astronomical Geomancy), found in the </w:t>
      </w:r>
      <w:r w:rsidRPr="001E032A">
        <w:rPr>
          <w:i/>
          <w:iCs/>
        </w:rPr>
        <w:t>Fourth Book of Occult Philosophy</w:t>
      </w:r>
      <w:r>
        <w:t xml:space="preserve"> attributed to Heinrich Cornelius Agrippa (1486-1535 AD).</w:t>
      </w:r>
      <w:r>
        <w:rPr>
          <w:rStyle w:val="FootnoteReference"/>
        </w:rPr>
        <w:footnoteReference w:id="381"/>
      </w:r>
      <w:r>
        <w:t xml:space="preserve"> This text, firstly published in Latin,</w:t>
      </w:r>
      <w:r>
        <w:rPr>
          <w:rStyle w:val="FootnoteReference"/>
        </w:rPr>
        <w:footnoteReference w:id="382"/>
      </w:r>
      <w:r>
        <w:t xml:space="preserve"> was then translated into French,</w:t>
      </w:r>
      <w:r>
        <w:rPr>
          <w:rStyle w:val="FootnoteReference"/>
        </w:rPr>
        <w:footnoteReference w:id="383"/>
      </w:r>
      <w:r>
        <w:t xml:space="preserve"> English</w:t>
      </w:r>
      <w:r>
        <w:rPr>
          <w:rStyle w:val="FootnoteReference"/>
        </w:rPr>
        <w:footnoteReference w:id="384"/>
      </w:r>
      <w:r>
        <w:t xml:space="preserve"> and Italian.</w:t>
      </w:r>
      <w:r>
        <w:rPr>
          <w:rStyle w:val="FootnoteReference"/>
        </w:rPr>
        <w:footnoteReference w:id="385"/>
      </w:r>
      <w:r>
        <w:t xml:space="preserve"> These differ from the text preserved in the manuscript tradition under the name of Gerard,</w:t>
      </w:r>
      <w:r>
        <w:rPr>
          <w:i/>
          <w:iCs/>
        </w:rPr>
        <w:t xml:space="preserve"> </w:t>
      </w:r>
      <w:r>
        <w:t xml:space="preserve">so this is another example of a text that circulated in the early modern period under the name of a medieval author, </w:t>
      </w:r>
      <w:r w:rsidRPr="00E3553C">
        <w:t>who had the reputation of being translator of</w:t>
      </w:r>
      <w:r w:rsidR="00085E71">
        <w:t xml:space="preserve"> geomantic and astrological</w:t>
      </w:r>
      <w:r w:rsidRPr="00E3553C">
        <w:t xml:space="preserve"> works from Arabic into Latin</w:t>
      </w:r>
      <w:r>
        <w:t xml:space="preserve">. A further example of this phenomenon is that of Pietro d’Abano (c. 1257-1316 AD), a doctor, philosopher and astrologer operating in Padua. Under his name circulated in the late medieval period a geomantic text known by its incipit </w:t>
      </w:r>
      <w:r w:rsidRPr="003056FB">
        <w:rPr>
          <w:i/>
          <w:iCs/>
        </w:rPr>
        <w:t>Desiderantibus uerum et certum judicium dare</w:t>
      </w:r>
      <w:r>
        <w:t>.</w:t>
      </w:r>
      <w:r>
        <w:rPr>
          <w:rStyle w:val="FootnoteReference"/>
        </w:rPr>
        <w:footnoteReference w:id="386"/>
      </w:r>
      <w:r>
        <w:t xml:space="preserve"> Regardless of the paternity of this text, it is known that d’Abano had some knowledge of </w:t>
      </w:r>
      <w:r>
        <w:lastRenderedPageBreak/>
        <w:t xml:space="preserve">geomancy since in one of his main works, the </w:t>
      </w:r>
      <w:r w:rsidRPr="00E145E4">
        <w:rPr>
          <w:i/>
          <w:iCs/>
        </w:rPr>
        <w:t>Lucidator dubitabilium astronomiae</w:t>
      </w:r>
      <w:r>
        <w:rPr>
          <w:i/>
          <w:iCs/>
        </w:rPr>
        <w:t xml:space="preserve">, </w:t>
      </w:r>
      <w:r>
        <w:t>the geomantic technique is elucidated in quite some detail.</w:t>
      </w:r>
      <w:r>
        <w:rPr>
          <w:rStyle w:val="FootnoteReference"/>
        </w:rPr>
        <w:footnoteReference w:id="387"/>
      </w:r>
      <w:r>
        <w:t xml:space="preserve"> During the sixteenth century, two new geomantic texts written in Italian attributed to the Paduan doctor began to circulate (these are presented as two parts of the same text).</w:t>
      </w:r>
      <w:r>
        <w:rPr>
          <w:rStyle w:val="FootnoteReference"/>
        </w:rPr>
        <w:footnoteReference w:id="388"/>
      </w:r>
      <w:r>
        <w:t xml:space="preserve"> These later texts do not descend from the late-medieval </w:t>
      </w:r>
      <w:r w:rsidRPr="003056FB">
        <w:rPr>
          <w:i/>
          <w:iCs/>
        </w:rPr>
        <w:t>Desiderantibus uerum et certum judicium dare</w:t>
      </w:r>
      <w:r>
        <w:t>. The latter is a short tract not at all concerned with the rudiments of geomancy, and thus addressed to a reader already versed in the geomantic techniques. The two sixteenth-century texts, on the contrary, introduce the reader gradually to this form of prediction, explaining the origins of geomancy and the procedure for casting a chart.</w:t>
      </w:r>
    </w:p>
    <w:p w14:paraId="3FB22587" w14:textId="34DBC0AE" w:rsidR="00244FB6" w:rsidRDefault="00244FB6" w:rsidP="00244FB6">
      <w:r w:rsidRPr="008D41BE">
        <w:t xml:space="preserve">While the writings of certain medieval </w:t>
      </w:r>
      <w:r w:rsidR="000121CB">
        <w:t>authors</w:t>
      </w:r>
      <w:r w:rsidRPr="008D41BE">
        <w:t xml:space="preserve">, as demonstrated in earlier sections, were employed in subsequent compilations to bestow credibility and significance upon geomantic texts, </w:t>
      </w:r>
      <w:r w:rsidR="001179A2">
        <w:t>among which</w:t>
      </w:r>
      <w:r w:rsidRPr="008D41BE">
        <w:t xml:space="preserve"> Plato of Tivoli, Gerard of Cremona, and Pietro d’Abano, </w:t>
      </w:r>
      <w:r w:rsidR="001179A2">
        <w:t>others had</w:t>
      </w:r>
      <w:r w:rsidRPr="008D41BE">
        <w:t xml:space="preserve"> their geomantic treatises relegated to the</w:t>
      </w:r>
      <w:r w:rsidR="009C7967">
        <w:t xml:space="preserve"> </w:t>
      </w:r>
      <w:r w:rsidRPr="008D41BE">
        <w:t>manuscript tradition and remained conspicuously absent from the printing press.</w:t>
      </w:r>
      <w:r>
        <w:t xml:space="preserve"> </w:t>
      </w:r>
      <w:r w:rsidRPr="00432AF8">
        <w:t xml:space="preserve">This </w:t>
      </w:r>
      <w:r w:rsidR="000D7B7D">
        <w:t>fate</w:t>
      </w:r>
      <w:r w:rsidRPr="00432AF8">
        <w:t xml:space="preserve"> similarly befell several other pivotal medieval geomantic works previously addressed in this thesis, including the</w:t>
      </w:r>
      <w:r>
        <w:t xml:space="preserve"> </w:t>
      </w:r>
      <w:r w:rsidRPr="00A9348A">
        <w:rPr>
          <w:i/>
          <w:iCs/>
        </w:rPr>
        <w:t xml:space="preserve">Estimaverunt </w:t>
      </w:r>
      <w:r w:rsidRPr="00A9348A">
        <w:rPr>
          <w:i/>
          <w:iCs/>
        </w:rPr>
        <w:lastRenderedPageBreak/>
        <w:t>Indi</w:t>
      </w:r>
      <w:r>
        <w:t xml:space="preserve">, the </w:t>
      </w:r>
      <w:r w:rsidRPr="00345CE2">
        <w:rPr>
          <w:i/>
          <w:iCs/>
        </w:rPr>
        <w:t>Rerum Opifex</w:t>
      </w:r>
      <w:r>
        <w:t xml:space="preserve"> of Hugo Sanctelliensis, the </w:t>
      </w:r>
      <w:r w:rsidRPr="00A9348A">
        <w:rPr>
          <w:i/>
          <w:iCs/>
        </w:rPr>
        <w:t>Geomantia</w:t>
      </w:r>
      <w:r>
        <w:t xml:space="preserve"> of William of Moerbeke, and the works of Salio of Padua and Bartholomew of Parma. Nevertheless, the production and circulation of geomantic treatises in the sixteenth and seventeenth century was not less </w:t>
      </w:r>
      <w:r w:rsidR="002211FA">
        <w:t>active</w:t>
      </w:r>
      <w:r>
        <w:t xml:space="preserve"> than in the late medieval period, and was populated by new protagonists leading the diffusion of geomantic knowledge. Some of these texts will be analysed in more depth later in this chapter, but it is worth mentioning here the treatise by Cristo</w:t>
      </w:r>
      <w:r w:rsidR="00DE4F41">
        <w:t>phe</w:t>
      </w:r>
      <w:r>
        <w:t xml:space="preserve"> </w:t>
      </w:r>
      <w:r w:rsidR="00DE4F41">
        <w:t>de</w:t>
      </w:r>
      <w:r>
        <w:t xml:space="preserve"> Cattan written in French,</w:t>
      </w:r>
      <w:r>
        <w:rPr>
          <w:rStyle w:val="FootnoteReference"/>
        </w:rPr>
        <w:footnoteReference w:id="389"/>
      </w:r>
      <w:r>
        <w:t xml:space="preserve"> </w:t>
      </w:r>
      <w:r w:rsidRPr="001E448E">
        <w:rPr>
          <w:i/>
          <w:iCs/>
        </w:rPr>
        <w:t xml:space="preserve">La Geomantia </w:t>
      </w:r>
      <w:r>
        <w:t xml:space="preserve">of Bartholomew Cocles and the </w:t>
      </w:r>
      <w:r w:rsidR="000D7B7D">
        <w:t>tract</w:t>
      </w:r>
      <w:r>
        <w:t xml:space="preserve"> by Giovanni Geber</w:t>
      </w:r>
      <w:r>
        <w:rPr>
          <w:rStyle w:val="FootnoteReference"/>
        </w:rPr>
        <w:footnoteReference w:id="390"/>
      </w:r>
      <w:r>
        <w:t xml:space="preserve"> </w:t>
      </w:r>
      <w:r w:rsidR="000D7B7D">
        <w:t xml:space="preserve">both written </w:t>
      </w:r>
      <w:r>
        <w:t xml:space="preserve">in Italian, and the geomantic texts </w:t>
      </w:r>
      <w:r w:rsidR="000D7B7D">
        <w:t>by</w:t>
      </w:r>
      <w:r>
        <w:t xml:space="preserve"> Agrippa von Nettesheim</w:t>
      </w:r>
      <w:r>
        <w:rPr>
          <w:rStyle w:val="FootnoteReference"/>
        </w:rPr>
        <w:footnoteReference w:id="391"/>
      </w:r>
      <w:r>
        <w:t xml:space="preserve"> and Robert Fludd in Latin.</w:t>
      </w:r>
      <w:r>
        <w:rPr>
          <w:rStyle w:val="FootnoteReference"/>
        </w:rPr>
        <w:footnoteReference w:id="392"/>
      </w:r>
      <w:r>
        <w:t xml:space="preserve"> These texts collectively represent some of the principal treatises on geomancy that gained prominence postdating the medieval era, exhibiting a shared uniformity in terms of content and structure. The subsequent portion of this section will be dedicated to the delineation of elements, both of continuity and change, that can be identified within the corpus of geomantic literature, bridging the medieval and early modern epochs.</w:t>
      </w:r>
    </w:p>
    <w:p w14:paraId="30568283" w14:textId="00458CF0" w:rsidR="00244FB6" w:rsidRDefault="00244FB6" w:rsidP="00244FB6">
      <w:r>
        <w:t xml:space="preserve">An initial factor of consideration pertains to the Islamic connotations that geomancy encompassed during the medieval era. The first treatises on geomancy </w:t>
      </w:r>
      <w:r w:rsidR="00EF246C">
        <w:t>to</w:t>
      </w:r>
      <w:r>
        <w:t xml:space="preserve"> circulate in the </w:t>
      </w:r>
      <w:r w:rsidR="008D3C91">
        <w:t>Latin context</w:t>
      </w:r>
      <w:r>
        <w:t xml:space="preserve"> were direct translations from Arabic sources, and while the precise </w:t>
      </w:r>
      <w:r w:rsidR="00EF246C">
        <w:t>background</w:t>
      </w:r>
      <w:r>
        <w:t xml:space="preserve"> of geomancy remains </w:t>
      </w:r>
      <w:r w:rsidR="00EF246C">
        <w:t>obscure</w:t>
      </w:r>
      <w:r>
        <w:t xml:space="preserve">, contemporary scholarship predominantly acknowledges its </w:t>
      </w:r>
      <w:r>
        <w:lastRenderedPageBreak/>
        <w:t xml:space="preserve">origins within Islamic domains. The infusion of Arabic elements into early Latin geomantic texts was manifest through several dimensions, encompassing the inclusion of the names of the original Arabic authors whose works were being translated, references to Islamic religious figures, the Arabic nomenclature assigned to the geomantic figures, and the incorporation of invocations to the Divine, which, once translated, could obliquely allude to either the Muslim or Christian deity. Furthermore, within this medieval body of Latin geomantic texts, a notable diversity is discernible. Although the fundamental elements of geomantic practice remained consistent </w:t>
      </w:r>
      <w:r w:rsidR="00835289">
        <w:t xml:space="preserve">– </w:t>
      </w:r>
      <w:r>
        <w:t xml:space="preserve">specifically, the employment of sixteen figures for the purpose of divination and the revelation of concealed knowledge </w:t>
      </w:r>
      <w:r w:rsidR="00835289">
        <w:t>–</w:t>
      </w:r>
      <w:r>
        <w:t xml:space="preserve"> nearly every other facet of the technique exhibited potential variability. This heterogeneity becomes evident, for instance, in the </w:t>
      </w:r>
      <w:r w:rsidRPr="004F4B6D">
        <w:rPr>
          <w:i/>
          <w:iCs/>
        </w:rPr>
        <w:t>Liber arenalis scientiae</w:t>
      </w:r>
      <w:r>
        <w:t>, which employs three distinct sets of names for the geomantic figures across different sections of the text</w:t>
      </w:r>
      <w:r w:rsidR="00403911">
        <w:t xml:space="preserve"> </w:t>
      </w:r>
      <w:r w:rsidR="00403911" w:rsidRPr="002A6C4D">
        <w:t>(Table 3)</w:t>
      </w:r>
      <w:r>
        <w:t xml:space="preserve"> Variations in the nomenclature of the figures are further evident in other texts, such as Hugo Sanctelliensis’ </w:t>
      </w:r>
      <w:r w:rsidRPr="0034530A">
        <w:rPr>
          <w:i/>
          <w:iCs/>
        </w:rPr>
        <w:t>Ars Geomantiae</w:t>
      </w:r>
      <w:r>
        <w:t xml:space="preserve">, containing the transliteration of some of the Arabic names for the geomantic figures. Moreover, the </w:t>
      </w:r>
      <w:r w:rsidRPr="0034530A">
        <w:rPr>
          <w:i/>
          <w:iCs/>
        </w:rPr>
        <w:t>Liber arenalis scientiae</w:t>
      </w:r>
      <w:r>
        <w:t xml:space="preserve"> does not maintain unanimity even regarding the number of figures requisite for divinatory purposes, at times deviating from the standard sixteen figures and expanding the maximum number to eighteen.</w:t>
      </w:r>
    </w:p>
    <w:p w14:paraId="01D9A699" w14:textId="2378AF00" w:rsidR="00244FB6" w:rsidRDefault="00244FB6" w:rsidP="00244FB6">
      <w:r w:rsidRPr="0034530A">
        <w:t xml:space="preserve">In several respects, </w:t>
      </w:r>
      <w:r w:rsidR="00FB0DBE">
        <w:t>e</w:t>
      </w:r>
      <w:r w:rsidRPr="0034530A">
        <w:t xml:space="preserve">arly </w:t>
      </w:r>
      <w:r w:rsidR="00FB0DBE">
        <w:t>m</w:t>
      </w:r>
      <w:r w:rsidRPr="0034530A">
        <w:t>odern texts exhibit a greater coherence and standardi</w:t>
      </w:r>
      <w:r>
        <w:t>s</w:t>
      </w:r>
      <w:r w:rsidRPr="0034530A">
        <w:t xml:space="preserve">ation of geomantic practices. Transitioning from the late medieval period, the term </w:t>
      </w:r>
      <w:r w:rsidRPr="00F177D5">
        <w:rPr>
          <w:i/>
          <w:iCs/>
        </w:rPr>
        <w:t>geomantia</w:t>
      </w:r>
      <w:r w:rsidRPr="0034530A">
        <w:t xml:space="preserve"> introduced by Hugo Sanctelliensis became the predominant </w:t>
      </w:r>
      <w:r>
        <w:t>word</w:t>
      </w:r>
      <w:r w:rsidRPr="0034530A">
        <w:t xml:space="preserve"> </w:t>
      </w:r>
      <w:r>
        <w:t>to indicate</w:t>
      </w:r>
      <w:r w:rsidRPr="0034530A">
        <w:t xml:space="preserve"> the </w:t>
      </w:r>
      <w:r>
        <w:t>‘</w:t>
      </w:r>
      <w:r w:rsidRPr="0034530A">
        <w:t>science of the sand</w:t>
      </w:r>
      <w:r>
        <w:t>’</w:t>
      </w:r>
      <w:r w:rsidRPr="0034530A">
        <w:t xml:space="preserve"> in </w:t>
      </w:r>
      <w:r w:rsidR="008D3C91">
        <w:t>European</w:t>
      </w:r>
      <w:r w:rsidRPr="0034530A">
        <w:t xml:space="preserve"> literature. This shift in terminology brought medieval geomancy closer in alignment to the form of divination known by that name in the classical era, where it was often listed alongside hydromancy, aeromancy, and pyromancy.</w:t>
      </w:r>
      <w:r>
        <w:t xml:space="preserve"> Furthermore,</w:t>
      </w:r>
      <w:r w:rsidRPr="00DE4319">
        <w:t xml:space="preserve"> </w:t>
      </w:r>
      <w:r>
        <w:t xml:space="preserve">a </w:t>
      </w:r>
      <w:r w:rsidRPr="00DE4319">
        <w:t>notable development in this period was the standardi</w:t>
      </w:r>
      <w:r>
        <w:t>s</w:t>
      </w:r>
      <w:r w:rsidRPr="00DE4319">
        <w:t xml:space="preserve">ation of the nomenclature for geomantic figures. </w:t>
      </w:r>
      <w:r>
        <w:t>T</w:t>
      </w:r>
      <w:r w:rsidRPr="00DE4319">
        <w:t>he traces of Arabic and Berber names</w:t>
      </w:r>
      <w:r>
        <w:t xml:space="preserve"> disappear and are</w:t>
      </w:r>
      <w:r w:rsidRPr="00DE4319">
        <w:t xml:space="preserve"> replaced by the Latin </w:t>
      </w:r>
      <w:r w:rsidRPr="00DE4319">
        <w:lastRenderedPageBreak/>
        <w:t xml:space="preserve">names of the sixteen figures. </w:t>
      </w:r>
      <w:r w:rsidR="002211FA" w:rsidRPr="00DE4319">
        <w:t>This Latin nomenclature</w:t>
      </w:r>
      <w:r w:rsidRPr="00DE4319">
        <w:t xml:space="preserve"> w</w:t>
      </w:r>
      <w:r>
        <w:t>as</w:t>
      </w:r>
      <w:r w:rsidRPr="00DE4319">
        <w:t xml:space="preserve"> </w:t>
      </w:r>
      <w:r>
        <w:t xml:space="preserve">also </w:t>
      </w:r>
      <w:r w:rsidRPr="00DE4319">
        <w:t>used in vernacular sources, thus reinforcing the standardi</w:t>
      </w:r>
      <w:r>
        <w:t>s</w:t>
      </w:r>
      <w:r w:rsidRPr="00DE4319">
        <w:t xml:space="preserve">ed terminology. Early modern geomantic texts underscore a pronounced connection between geomancy and astrology. This correlation has been previously examined by scholars like Charmasson, who identified a subset of texts that, although labelled as geomantic, feature a slightly distinct form of divination she termed </w:t>
      </w:r>
      <w:r>
        <w:t>‘</w:t>
      </w:r>
      <w:r w:rsidRPr="00DE4319">
        <w:t>astrological geomancy.</w:t>
      </w:r>
      <w:r>
        <w:t>’</w:t>
      </w:r>
      <w:r w:rsidRPr="00DE4319">
        <w:t xml:space="preserve"> In such texts, the process of </w:t>
      </w:r>
      <w:r w:rsidR="00F622DC">
        <w:t>point</w:t>
      </w:r>
      <w:r w:rsidRPr="00DE4319">
        <w:t>-casting is employed to construct an astrological chart rather than a traditional geomantic one.</w:t>
      </w:r>
      <w:r>
        <w:rPr>
          <w:rStyle w:val="FootnoteReference"/>
        </w:rPr>
        <w:footnoteReference w:id="393"/>
      </w:r>
      <w:r>
        <w:t xml:space="preserve"> </w:t>
      </w:r>
      <w:r w:rsidRPr="00DE4319">
        <w:t xml:space="preserve">An example of such a text is the aforementioned </w:t>
      </w:r>
      <w:r w:rsidRPr="00DE4319">
        <w:rPr>
          <w:i/>
          <w:iCs/>
        </w:rPr>
        <w:t>Geomantiae a[r]stronomica libellus</w:t>
      </w:r>
      <w:r w:rsidRPr="00DE4319">
        <w:t>, attributed to Gerard of Cremona, whose title alone hints at the infusion of astrological elements.</w:t>
      </w:r>
      <w:r>
        <w:rPr>
          <w:rStyle w:val="FootnoteReference"/>
        </w:rPr>
        <w:footnoteReference w:id="394"/>
      </w:r>
      <w:r w:rsidRPr="00DE4319">
        <w:t xml:space="preserve"> This text intertwines astrological themes and components into the geomantic technique, ultimately veering away from geomancy.</w:t>
      </w:r>
      <w:r>
        <w:t xml:space="preserve"> Indeed, after having given an account of the geomantic practice and its relationship to astrology, the </w:t>
      </w:r>
      <w:r>
        <w:rPr>
          <w:i/>
          <w:iCs/>
        </w:rPr>
        <w:t>Geomantiae a[r]stronomica libellus</w:t>
      </w:r>
      <w:r>
        <w:t xml:space="preserve"> completely disregards geomancy and proceeds to give the significance of each planet in the twelve astrological houses. Similarly, in Robert Fludd’s </w:t>
      </w:r>
      <w:r w:rsidRPr="00E477D0">
        <w:rPr>
          <w:i/>
          <w:iCs/>
        </w:rPr>
        <w:t>Tractatus de Geomantia</w:t>
      </w:r>
      <w:r>
        <w:t xml:space="preserve">, contained in the </w:t>
      </w:r>
      <w:r w:rsidRPr="00AF2DEB">
        <w:rPr>
          <w:i/>
          <w:iCs/>
        </w:rPr>
        <w:t>Fasciculus Geomanticus</w:t>
      </w:r>
      <w:r>
        <w:t>, geomancy is referred to as ‘terrestrial astrology’ and ‘geomantic astrology’.</w:t>
      </w:r>
      <w:r>
        <w:rPr>
          <w:rStyle w:val="FootnoteReference"/>
        </w:rPr>
        <w:footnoteReference w:id="395"/>
      </w:r>
      <w:r>
        <w:t xml:space="preserve"> </w:t>
      </w:r>
    </w:p>
    <w:p w14:paraId="15D8E83E" w14:textId="55707BC4" w:rsidR="00244FB6" w:rsidRDefault="00244FB6" w:rsidP="00244FB6">
      <w:r>
        <w:t>The influence of astrology upon geomantic texts is not exclusive to the early modern era; the first known instance of this type of geomantic text dates back to 1295, when Bernard of Gordon, a professor of medicine at the University of Montpellier,</w:t>
      </w:r>
      <w:r w:rsidRPr="008C6CC4">
        <w:rPr>
          <w:rStyle w:val="FootnoteReference"/>
        </w:rPr>
        <w:t xml:space="preserve"> </w:t>
      </w:r>
      <w:r>
        <w:rPr>
          <w:rStyle w:val="FootnoteReference"/>
        </w:rPr>
        <w:footnoteReference w:id="396"/>
      </w:r>
      <w:r>
        <w:t xml:space="preserve"> translated a work </w:t>
      </w:r>
      <w:r>
        <w:lastRenderedPageBreak/>
        <w:t>attributed to Ptolemy</w:t>
      </w:r>
      <w:r w:rsidR="006A6671">
        <w:t>,</w:t>
      </w:r>
      <w:r>
        <w:t xml:space="preserve"> ‘the king of the Arabs.’ This text described a forecasting procedure “as it is made in geomancy” (</w:t>
      </w:r>
      <w:r w:rsidRPr="008C6CC4">
        <w:rPr>
          <w:i/>
          <w:iCs/>
        </w:rPr>
        <w:t>sicut fit in geomantia</w:t>
      </w:r>
      <w:r>
        <w:t xml:space="preserve">), in which rows of </w:t>
      </w:r>
      <w:r w:rsidR="002F2BE4">
        <w:t>points</w:t>
      </w:r>
      <w:r>
        <w:t xml:space="preserve"> were drawn randomly.</w:t>
      </w:r>
      <w:r>
        <w:rPr>
          <w:rStyle w:val="FootnoteReference"/>
        </w:rPr>
        <w:footnoteReference w:id="397"/>
      </w:r>
      <w:r>
        <w:t xml:space="preserve"> The domiciles for the figures were attributed to different planets, with the first domicile assigned to geomancy itself (</w:t>
      </w:r>
      <w:r w:rsidRPr="00651185">
        <w:rPr>
          <w:i/>
          <w:iCs/>
        </w:rPr>
        <w:t>prima domus at&lt;t&gt;ribuatur geomancie</w:t>
      </w:r>
      <w:r>
        <w:t>)</w:t>
      </w:r>
      <w:r w:rsidR="00030C27">
        <w:t xml:space="preserve">, </w:t>
      </w:r>
      <w:r>
        <w:t>establish</w:t>
      </w:r>
      <w:r w:rsidR="00030C27">
        <w:t>ing a</w:t>
      </w:r>
      <w:r>
        <w:t xml:space="preserve"> correspondences between each figure and a zodiacal sign.</w:t>
      </w:r>
      <w:r w:rsidR="00030C27">
        <w:rPr>
          <w:rStyle w:val="FootnoteReference"/>
        </w:rPr>
        <w:footnoteReference w:id="398"/>
      </w:r>
      <w:r>
        <w:t xml:space="preserve"> The text then draws correspondences between each figure and a sign of the zodiac.</w:t>
      </w:r>
      <w:r>
        <w:rPr>
          <w:rStyle w:val="FootnoteReference"/>
        </w:rPr>
        <w:footnoteReference w:id="399"/>
      </w:r>
      <w:r>
        <w:t xml:space="preserve"> While at least one astronomical geomancy was copied during the thirteenth century, it is during the Renaissance that this branch of geomancy (or astrology) became more popular. The convergence of astrology and geomancy is particularly evident when examining non-textual elements in these texts, including images and symbols, as we will explore in the following section.</w:t>
      </w:r>
    </w:p>
    <w:p w14:paraId="3D524FE4" w14:textId="77777777" w:rsidR="00244FB6" w:rsidRPr="00A443F5" w:rsidRDefault="00244FB6" w:rsidP="00244FB6">
      <w:pPr>
        <w:ind w:firstLine="0"/>
        <w:rPr>
          <w:b/>
          <w:bCs/>
        </w:rPr>
      </w:pPr>
    </w:p>
    <w:p w14:paraId="19CFC59B" w14:textId="0A928992" w:rsidR="00244FB6" w:rsidRPr="00A443F5" w:rsidRDefault="00244FB6" w:rsidP="00A443F5">
      <w:pPr>
        <w:pStyle w:val="Heading3"/>
        <w:ind w:firstLine="0"/>
        <w:rPr>
          <w:rFonts w:asciiTheme="majorBidi" w:hAnsiTheme="majorBidi"/>
          <w:b/>
          <w:bCs/>
          <w:color w:val="auto"/>
        </w:rPr>
      </w:pPr>
      <w:bookmarkStart w:id="105" w:name="_Toc165108667"/>
      <w:r w:rsidRPr="00A443F5">
        <w:rPr>
          <w:rFonts w:asciiTheme="majorBidi" w:hAnsiTheme="majorBidi"/>
          <w:b/>
          <w:bCs/>
          <w:color w:val="auto"/>
        </w:rPr>
        <w:t>The images</w:t>
      </w:r>
      <w:bookmarkEnd w:id="105"/>
    </w:p>
    <w:p w14:paraId="46904E7C" w14:textId="77777777" w:rsidR="007E3BBC" w:rsidRPr="007E3BBC" w:rsidRDefault="007E3BBC" w:rsidP="00244FB6">
      <w:pPr>
        <w:ind w:firstLine="0"/>
        <w:rPr>
          <w:b/>
          <w:bCs/>
        </w:rPr>
      </w:pPr>
    </w:p>
    <w:p w14:paraId="52DC94BD" w14:textId="2D56CAAF" w:rsidR="00244FB6" w:rsidRDefault="00244FB6" w:rsidP="00244FB6">
      <w:pPr>
        <w:ind w:firstLine="0"/>
      </w:pPr>
      <w:r>
        <w:tab/>
        <w:t xml:space="preserve"> Differences between medieval and </w:t>
      </w:r>
      <w:r w:rsidR="00B507B1">
        <w:t>early modern</w:t>
      </w:r>
      <w:r>
        <w:t xml:space="preserve"> geomantic texts are perceptible through the examination of images and diagrams incorporated into these printed works. Medieval geomantic texts already encompassed a range of non-textual and diagrammatic elements. Common visual elements included representations of the sixteen geomantic figures, typically portrayed as arrangements of </w:t>
      </w:r>
      <w:r w:rsidR="002F2BE4">
        <w:t>points</w:t>
      </w:r>
      <w:r>
        <w:t xml:space="preserve"> or small stars. Additionally, these texts featured the shield chart containing the geomantic figures, tables delineating the various correspondences between the figures and celestial bodies, astrological signs, and other </w:t>
      </w:r>
      <w:r>
        <w:lastRenderedPageBreak/>
        <w:t xml:space="preserve">elements. Triplets of figures in the margins of the text were also a recurring feature, albeit less common. Circular diagrams containing geomantic images made occasional appearances. In sixteenth and seventeenth-century tracts, these visual elements remained largely unchanged, although it can be observed that many printed books contained a higher number of illustrations compared to their manuscript counterparts. While several early modern texts discussed earlier in this chapter comprise a variety of images and tables, this analysis will focus primarily on texts that exhibit more innovative or distinctive visual characteristics, as a comprehensive examination of each image and table would be both repetitive and </w:t>
      </w:r>
      <w:r w:rsidR="00A16C9C">
        <w:t>extensive</w:t>
      </w:r>
      <w:r>
        <w:t>.</w:t>
      </w:r>
    </w:p>
    <w:p w14:paraId="7342F0CC" w14:textId="77777777" w:rsidR="00244FB6" w:rsidRDefault="00244FB6" w:rsidP="00244FB6">
      <w:r w:rsidRPr="000E25AD">
        <w:t xml:space="preserve">One of the most conspicuous deviations between </w:t>
      </w:r>
      <w:r>
        <w:t>traditional</w:t>
      </w:r>
      <w:r w:rsidRPr="000E25AD">
        <w:t xml:space="preserve"> geomantic texts and those </w:t>
      </w:r>
      <w:r>
        <w:t>dealing with</w:t>
      </w:r>
      <w:r w:rsidRPr="000E25AD">
        <w:t xml:space="preserve"> </w:t>
      </w:r>
      <w:r>
        <w:t>‘</w:t>
      </w:r>
      <w:r w:rsidRPr="000E25AD">
        <w:t>astrological geomancy</w:t>
      </w:r>
      <w:r>
        <w:t>’</w:t>
      </w:r>
      <w:r w:rsidRPr="000E25AD">
        <w:t xml:space="preserve"> is the incorporation of the square chart, a format traditionally associated with astrological prognostication. This chart typically comprises a square divided into twelve triangular sections, each of which represents one of the twelve astrological houses. In the centre of the square, there is a smaller square where the name of the person for whom the horoscope is prepared or other pertinent information can be recorded. In the context of an astrological forecast, the triangular sections are populated with symbols denoting the zodiac signs and the planets occupying them. In the context of a geomantic prediction, however, the square chart is employed to house the sixteen geomantic figures, serving as an alternative to the customary shield chart. This transition from the traditional shield chart to the square chart is a key visual representation of the fusion between geomancy and astrology in </w:t>
      </w:r>
      <w:r>
        <w:t>‘</w:t>
      </w:r>
      <w:r w:rsidRPr="000E25AD">
        <w:t>astrological geomancy</w:t>
      </w:r>
      <w:r>
        <w:t>’</w:t>
      </w:r>
      <w:r w:rsidRPr="000E25AD">
        <w:t xml:space="preserve"> texts.</w:t>
      </w:r>
    </w:p>
    <w:p w14:paraId="6A1CAFA7" w14:textId="2D7CA3A9" w:rsidR="00244FB6" w:rsidRDefault="00244FB6" w:rsidP="00244FB6">
      <w:r w:rsidRPr="007D2952">
        <w:t xml:space="preserve">The introduction of square charts in a </w:t>
      </w:r>
      <w:r w:rsidR="002211FA" w:rsidRPr="007D2952">
        <w:t>geomantic</w:t>
      </w:r>
      <w:r w:rsidR="002211FA">
        <w:t xml:space="preserve"> </w:t>
      </w:r>
      <w:r w:rsidR="002211FA" w:rsidRPr="007D2952">
        <w:t>context date</w:t>
      </w:r>
      <w:r w:rsidR="002211FA">
        <w:t>s</w:t>
      </w:r>
      <w:r w:rsidRPr="007D2952">
        <w:t xml:space="preserve"> back to some manuscripts from the late thirteenth century that contain the</w:t>
      </w:r>
      <w:r>
        <w:rPr>
          <w:i/>
          <w:iCs/>
        </w:rPr>
        <w:t xml:space="preserve"> </w:t>
      </w:r>
      <w:r w:rsidRPr="006F7355">
        <w:rPr>
          <w:i/>
          <w:iCs/>
        </w:rPr>
        <w:t>Geomantia</w:t>
      </w:r>
      <w:r>
        <w:t xml:space="preserve"> attributed to Ptolemy,</w:t>
      </w:r>
      <w:r>
        <w:rPr>
          <w:rStyle w:val="FootnoteReference"/>
        </w:rPr>
        <w:footnoteReference w:id="400"/>
      </w:r>
      <w:r>
        <w:t xml:space="preserve"> and from the fifteenth century they became a more common feature in geomantic </w:t>
      </w:r>
      <w:r>
        <w:lastRenderedPageBreak/>
        <w:t>manuscripts.</w:t>
      </w:r>
      <w:r>
        <w:rPr>
          <w:rStyle w:val="FootnoteReference"/>
        </w:rPr>
        <w:footnoteReference w:id="401"/>
      </w:r>
      <w:r>
        <w:t xml:space="preserve"> </w:t>
      </w:r>
      <w:r w:rsidRPr="007D2952">
        <w:t xml:space="preserve">However, it is in the early printed books that this square chart evolves into a standard element of the geomantic technique. This transition posed a challenge, as the square chart contains twelve domiciles, whereas geomantic prognostication typically requires fifteen </w:t>
      </w:r>
      <w:r w:rsidR="001B1209">
        <w:t xml:space="preserve">– </w:t>
      </w:r>
      <w:r w:rsidRPr="007D2952">
        <w:t>sometimes sixteen</w:t>
      </w:r>
      <w:r w:rsidR="001B1209">
        <w:t xml:space="preserve"> –</w:t>
      </w:r>
      <w:r w:rsidRPr="007D2952">
        <w:t xml:space="preserve"> figures. Geomantic texts addressed this issue in various ways. One approach was to position the additional three or four figures in the central square of the chart. This can be seen in the geomantic work by Henricus de Pisis, where the extra figures are accommodated within the central square</w:t>
      </w:r>
      <w:r w:rsidR="00910513">
        <w:t xml:space="preserve"> (Figure 9)</w:t>
      </w:r>
      <w:r>
        <w:rPr>
          <w:rStyle w:val="FootnoteReference"/>
        </w:rPr>
        <w:footnoteReference w:id="402"/>
      </w:r>
      <w:r>
        <w:t xml:space="preserve"> </w:t>
      </w:r>
      <w:r w:rsidRPr="00D873B1">
        <w:t xml:space="preserve">Another solution was to incorporate three additional sections at the bottom of the chart, rendering it reminiscent of a traditional shield chart. This adaptation can be observed in the work of Cristophe of Cattan, where the caption of the image explicitly acknowledges that this diagram resembles </w:t>
      </w:r>
      <w:r>
        <w:t>“</w:t>
      </w:r>
      <w:r w:rsidRPr="00D873B1">
        <w:t>a figure of Geomancie made after the fashion of the figure of astrologie.</w:t>
      </w:r>
      <w:r>
        <w:t>”</w:t>
      </w:r>
      <w:r w:rsidRPr="00D873B1">
        <w:t xml:space="preserve"> In this diagram, the geomantic figures are represented as stars, reflecting the evolving fusion of astrological and geomantic elements. </w:t>
      </w:r>
      <w:r>
        <w:t>(</w:t>
      </w:r>
      <w:r w:rsidR="000E4EF2">
        <w:t>Figure 10</w:t>
      </w:r>
      <w:r>
        <w:t>).</w:t>
      </w:r>
      <w:r>
        <w:rPr>
          <w:rStyle w:val="FootnoteReference"/>
        </w:rPr>
        <w:footnoteReference w:id="403"/>
      </w:r>
    </w:p>
    <w:p w14:paraId="698B8916" w14:textId="2C11DE27" w:rsidR="00244FB6" w:rsidRDefault="00244FB6" w:rsidP="00244FB6">
      <w:r w:rsidRPr="00D873B1">
        <w:t>In addition to the square chart, sixteenth and seventeenth-century geomantic texts featured an array of diagrams and symbols, which significantly enriched the visual components of geomantic literature.</w:t>
      </w:r>
      <w:r>
        <w:t xml:space="preserve"> Among these texts, the </w:t>
      </w:r>
      <w:r w:rsidRPr="00437580">
        <w:rPr>
          <w:i/>
          <w:iCs/>
        </w:rPr>
        <w:t xml:space="preserve">Opus Geomantiae Completum </w:t>
      </w:r>
      <w:r>
        <w:t xml:space="preserve">by Henricus de Pisis </w:t>
      </w:r>
      <w:r w:rsidRPr="00D9597D">
        <w:t xml:space="preserve">stands out as one of the most extensively illustrated works, offering a wealth of visual aids for practitioners. These include tables, square charts, expansive tables that require unfolding for comprehension, and diagrams depicting various correspondences between geomantic figures, zodiac signs, planets, cardinal directions, and more. Some of the diagrams in this text are distinctive and not commonly found in other geomantic treatises. Many of these are of astrological nature, particularly those in the first chapter of the book. </w:t>
      </w:r>
      <w:r w:rsidRPr="00D9597D">
        <w:lastRenderedPageBreak/>
        <w:t>The text emphasi</w:t>
      </w:r>
      <w:r>
        <w:t>s</w:t>
      </w:r>
      <w:r w:rsidRPr="00D9597D">
        <w:t>es the significance of considering planetary hours when determining the appropriate time for practicing geomancy. This practice is grounded in an ancient astrological doctrine that assigns rulership of each hour of the day and night to a specific planet, typically in a sequence from the slowest-moving planet, Saturn, to the fastest, the Moon. The first chapter provides a circular diagram to facilitate the calculation of planetary hours.</w:t>
      </w:r>
      <w:r>
        <w:rPr>
          <w:rStyle w:val="FootnoteReference"/>
        </w:rPr>
        <w:footnoteReference w:id="404"/>
      </w:r>
      <w:r>
        <w:t xml:space="preserve"> </w:t>
      </w:r>
      <w:r w:rsidRPr="00D9597D">
        <w:t>In the same chapter, a few pages later, there is another circular diagram, divided into twelve unequal sections, featuring numbers and letters, the purpose of which remains somewhat ambiguous. This diagram</w:t>
      </w:r>
      <w:r w:rsidR="000E4EF2">
        <w:t>’</w:t>
      </w:r>
      <w:r w:rsidRPr="00D9597D">
        <w:t>s precise function is not explicitly outlined in the text</w:t>
      </w:r>
      <w:r>
        <w:t>.</w:t>
      </w:r>
      <w:r>
        <w:rPr>
          <w:rStyle w:val="FootnoteReference"/>
        </w:rPr>
        <w:footnoteReference w:id="405"/>
      </w:r>
      <w:r>
        <w:t xml:space="preserve"> </w:t>
      </w:r>
      <w:r w:rsidRPr="00D9597D">
        <w:t xml:space="preserve">One of the most </w:t>
      </w:r>
      <w:r>
        <w:t>interesting</w:t>
      </w:r>
      <w:r w:rsidRPr="00D9597D">
        <w:t xml:space="preserve"> visual elements in the </w:t>
      </w:r>
      <w:r w:rsidRPr="00D9597D">
        <w:rPr>
          <w:i/>
          <w:iCs/>
        </w:rPr>
        <w:t xml:space="preserve">Opus Geomantiae Completum </w:t>
      </w:r>
      <w:r w:rsidRPr="00D9597D">
        <w:t xml:space="preserve">is the depiction of what appears to be a rotating wheel mounted on a central pin </w:t>
      </w:r>
      <w:r>
        <w:t xml:space="preserve"> (</w:t>
      </w:r>
      <w:r w:rsidR="000E4EF2">
        <w:t>Figure 11</w:t>
      </w:r>
      <w:r>
        <w:t>).</w:t>
      </w:r>
      <w:r>
        <w:rPr>
          <w:rStyle w:val="FootnoteReference"/>
        </w:rPr>
        <w:footnoteReference w:id="406"/>
      </w:r>
      <w:r>
        <w:t xml:space="preserve"> The edges of the wheel present sixteen points, which are numbered on the inferior side of the wheel and thus not visible from above. This device seems to have been used as an alternative method to that of drawing lines of </w:t>
      </w:r>
      <w:r w:rsidR="002F2BE4">
        <w:t>points</w:t>
      </w:r>
      <w:r>
        <w:t xml:space="preserve"> for the production of the four mothers in the prediction, since the same influences that move the hand when drawing the </w:t>
      </w:r>
      <w:r w:rsidR="002F2BE4">
        <w:t>points</w:t>
      </w:r>
      <w:r>
        <w:t xml:space="preserve"> can influence it when operating the wheel.</w:t>
      </w:r>
      <w:r>
        <w:rPr>
          <w:rStyle w:val="FootnoteReference"/>
        </w:rPr>
        <w:footnoteReference w:id="407"/>
      </w:r>
      <w:r>
        <w:t xml:space="preserve"> Another notable diagrams in this text encompass a circular chart, partitioned in the same fashion as a square chart, with geomantic figures and zodiac signs,</w:t>
      </w:r>
      <w:r>
        <w:rPr>
          <w:rStyle w:val="FootnoteReference"/>
        </w:rPr>
        <w:footnoteReference w:id="408"/>
      </w:r>
      <w:r>
        <w:t xml:space="preserve"> as well as a unique symbol described as a ‘carattere unico.’ This symbol bears resemblance to John Dee’s </w:t>
      </w:r>
      <w:r w:rsidRPr="00D9597D">
        <w:rPr>
          <w:i/>
          <w:iCs/>
        </w:rPr>
        <w:t>Monas Hieroglyphica</w:t>
      </w:r>
      <w:r>
        <w:t xml:space="preserve"> and is purported to unite all the symbols of the planets, underscoring the intricate interplay between geomancy and astrology within this body of work.</w:t>
      </w:r>
      <w:r>
        <w:rPr>
          <w:rStyle w:val="FootnoteReference"/>
        </w:rPr>
        <w:footnoteReference w:id="409"/>
      </w:r>
    </w:p>
    <w:p w14:paraId="2916EEA7" w14:textId="6DECE5FE" w:rsidR="00244FB6" w:rsidRDefault="00244FB6" w:rsidP="00244FB6">
      <w:r>
        <w:lastRenderedPageBreak/>
        <w:t>T</w:t>
      </w:r>
      <w:r w:rsidRPr="00036F47">
        <w:t>he treatise authored by Christoph of Cattan and published in 1558 is noteworthy for its emphasis on the intricate relationship between geomancy and astrology. It portrays geomancy as a progeny of astrology, conceived to address the challenges and complexities encountered when constructing astrological horoscopes</w:t>
      </w:r>
      <w:r>
        <w:t>.</w:t>
      </w:r>
      <w:r>
        <w:rPr>
          <w:rStyle w:val="FootnoteReference"/>
        </w:rPr>
        <w:footnoteReference w:id="410"/>
      </w:r>
      <w:r>
        <w:t xml:space="preserve"> </w:t>
      </w:r>
      <w:r w:rsidRPr="00036F47">
        <w:t>Within this text, geomancy is perpetually considered one of the two facets of astrology, with one facet gazing towards the celestial sphere and the other fixed upon the terrestrial domain. An adept geomancer is characterized not only by their comprehension of earthly matters but also by their knowledge of celestial phenomena</w:t>
      </w:r>
      <w:r>
        <w:t>.</w:t>
      </w:r>
      <w:r>
        <w:rPr>
          <w:rStyle w:val="FootnoteReference"/>
        </w:rPr>
        <w:footnoteReference w:id="411"/>
      </w:r>
      <w:r>
        <w:t xml:space="preserve"> As a result, this treatise dedicates equal attention to the investigation of the terrestrial realm and the celestial sphere. It delves into the manner in which the celestial world influences the terrestrial world below, highlighting the profound interconnection between the two domains. Given the paramount importance assigned to celestial bodies in geomancy, not only are the sixteen geomantic figures consistently portrayed as star clusters, but the text is also filled with cosmological, geographical, and astrological diagrams. One of these diagrams serves as a “general figure of the two parts of the world, the elemental and the celestial.”</w:t>
      </w:r>
      <w:r>
        <w:rPr>
          <w:rStyle w:val="FootnoteReference"/>
        </w:rPr>
        <w:footnoteReference w:id="412"/>
      </w:r>
      <w:r>
        <w:t xml:space="preserve"> </w:t>
      </w:r>
      <w:r w:rsidRPr="00A30CC9">
        <w:t>This cosmological representation situates the Earth at its centre, enveloped by spheres of air and fire, followed by the seven planetary spheres, the sphere of the firmament housing the fixed stars, the crystalline sphere, the first mover, and ultimately the Empyrean, believed to be inhabited by God.</w:t>
      </w:r>
      <w:r>
        <w:t xml:space="preserve"> </w:t>
      </w:r>
      <w:r w:rsidRPr="00A30CC9">
        <w:t xml:space="preserve">The discourse on the </w:t>
      </w:r>
      <w:r w:rsidRPr="00A30CC9">
        <w:lastRenderedPageBreak/>
        <w:t>celestial sphere includes additional circular diagrams, one of which resembles an armillary sphere, with the Earth at its nucleus, encircled by the tropics, equinoctial circles, the Arctic and Antarctic circles, and the equinoctial colure.</w:t>
      </w:r>
      <w:r>
        <w:rPr>
          <w:rStyle w:val="FootnoteReference"/>
        </w:rPr>
        <w:footnoteReference w:id="413"/>
      </w:r>
      <w:r w:rsidRPr="00A30CC9">
        <w:t xml:space="preserve"> A subsequent page features a more concise version of this diagram, with the Earth once again at its </w:t>
      </w:r>
      <w:r>
        <w:t>centre</w:t>
      </w:r>
      <w:r w:rsidRPr="00A30CC9">
        <w:t>, surrounded by the circle of the zodiac and the equinoctial</w:t>
      </w:r>
      <w:r>
        <w:t>.</w:t>
      </w:r>
      <w:r>
        <w:rPr>
          <w:rStyle w:val="FootnoteReference"/>
        </w:rPr>
        <w:footnoteReference w:id="414"/>
      </w:r>
      <w:r>
        <w:t xml:space="preserve"> </w:t>
      </w:r>
      <w:r w:rsidRPr="00A30CC9">
        <w:t>Further circular diagrams detail the signs of the zodiac, their attributes, and their association with the four seasons of the year. Additionally, the text includes ten circular diagrams illustrating diverse astrological concepts</w:t>
      </w:r>
      <w:r>
        <w:t>.</w:t>
      </w:r>
      <w:r>
        <w:rPr>
          <w:rStyle w:val="FootnoteReference"/>
        </w:rPr>
        <w:footnoteReference w:id="415"/>
      </w:r>
      <w:r>
        <w:t xml:space="preserve"> </w:t>
      </w:r>
      <w:r w:rsidRPr="00A30CC9">
        <w:t xml:space="preserve">Having exhaustively explored the celestial realm, the treatise then reverts its focus to the terrestrial domain, presenting a diagram illustrating the various climatic zones on Earth. Understanding these terrestrial climates is considered integral for geomancers as it aids in comprehending the nature and qualities of the geomantic figures. This treatise, through its visual elements and detailed explanations, underscores the profound </w:t>
      </w:r>
      <w:r w:rsidR="002201C0">
        <w:t>relationship</w:t>
      </w:r>
      <w:r w:rsidRPr="00A30CC9">
        <w:t xml:space="preserve"> </w:t>
      </w:r>
      <w:r w:rsidR="002201C0">
        <w:t>between</w:t>
      </w:r>
      <w:r w:rsidRPr="00A30CC9">
        <w:t xml:space="preserve"> geomancy and astrology, encompassing both the terrestrial and celestial aspects of divination</w:t>
      </w:r>
      <w:r>
        <w:t>.</w:t>
      </w:r>
      <w:r>
        <w:rPr>
          <w:rStyle w:val="FootnoteReference"/>
        </w:rPr>
        <w:footnoteReference w:id="416"/>
      </w:r>
    </w:p>
    <w:p w14:paraId="64430CF8" w14:textId="1570A3F2" w:rsidR="00AB43B1" w:rsidRDefault="00AB43B1" w:rsidP="00AB43B1">
      <w:pPr>
        <w:ind w:firstLine="0"/>
        <w:jc w:val="center"/>
      </w:pPr>
      <w:r>
        <w:rPr>
          <w:noProof/>
        </w:rPr>
        <w:lastRenderedPageBreak/>
        <w:drawing>
          <wp:inline distT="0" distB="0" distL="0" distR="0" wp14:anchorId="1D4E495E" wp14:editId="3281472E">
            <wp:extent cx="5731510" cy="5499100"/>
            <wp:effectExtent l="0" t="0" r="2540" b="6350"/>
            <wp:docPr id="1616848422" name="Picture 1" descr="A drawing of a square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48422" name="Picture 1" descr="A drawing of a square with numbers and line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5499100"/>
                    </a:xfrm>
                    <a:prstGeom prst="rect">
                      <a:avLst/>
                    </a:prstGeom>
                  </pic:spPr>
                </pic:pic>
              </a:graphicData>
            </a:graphic>
          </wp:inline>
        </w:drawing>
      </w:r>
    </w:p>
    <w:p w14:paraId="6D49079D" w14:textId="4D657D63" w:rsidR="00AB43B1" w:rsidRPr="001431A6" w:rsidRDefault="00AB43B1" w:rsidP="00FE3FA3">
      <w:pPr>
        <w:spacing w:line="240" w:lineRule="auto"/>
        <w:ind w:firstLine="0"/>
        <w:jc w:val="center"/>
        <w:rPr>
          <w:sz w:val="20"/>
          <w:szCs w:val="20"/>
        </w:rPr>
      </w:pPr>
      <w:bookmarkStart w:id="109" w:name="_Hlk150942775"/>
      <w:r w:rsidRPr="001431A6">
        <w:rPr>
          <w:b/>
          <w:bCs/>
          <w:sz w:val="20"/>
          <w:szCs w:val="20"/>
        </w:rPr>
        <w:t>Figure 9.</w:t>
      </w:r>
      <w:r w:rsidRPr="001431A6">
        <w:rPr>
          <w:sz w:val="20"/>
          <w:szCs w:val="20"/>
        </w:rPr>
        <w:t xml:space="preserve"> </w:t>
      </w:r>
      <w:r w:rsidR="00320425">
        <w:rPr>
          <w:sz w:val="20"/>
          <w:szCs w:val="20"/>
        </w:rPr>
        <w:t xml:space="preserve">Geaomantic Square Chart. Source: </w:t>
      </w:r>
      <w:r w:rsidRPr="001431A6">
        <w:rPr>
          <w:sz w:val="20"/>
          <w:szCs w:val="20"/>
        </w:rPr>
        <w:t xml:space="preserve">Henricus de Pisis, </w:t>
      </w:r>
      <w:r w:rsidRPr="001431A6">
        <w:rPr>
          <w:i/>
          <w:iCs/>
          <w:sz w:val="20"/>
          <w:szCs w:val="20"/>
        </w:rPr>
        <w:t>Opus Geomantiae Completum</w:t>
      </w:r>
      <w:r w:rsidR="007D51C1">
        <w:rPr>
          <w:i/>
          <w:iCs/>
          <w:sz w:val="20"/>
          <w:szCs w:val="20"/>
        </w:rPr>
        <w:t xml:space="preserve"> </w:t>
      </w:r>
      <w:r w:rsidR="007D51C1">
        <w:rPr>
          <w:sz w:val="20"/>
          <w:szCs w:val="20"/>
        </w:rPr>
        <w:t>(1638)</w:t>
      </w:r>
      <w:r w:rsidRPr="001431A6">
        <w:rPr>
          <w:sz w:val="20"/>
          <w:szCs w:val="20"/>
        </w:rPr>
        <w:t>.</w:t>
      </w:r>
      <w:r w:rsidR="00FE3FA3" w:rsidRPr="00FE3FA3">
        <w:t xml:space="preserve"> </w:t>
      </w:r>
      <w:r w:rsidR="00FE3FA3" w:rsidRPr="00FE3FA3">
        <w:rPr>
          <w:sz w:val="20"/>
          <w:szCs w:val="20"/>
        </w:rPr>
        <w:t>Open Access on Google Books</w:t>
      </w:r>
      <w:r w:rsidR="00FE3FA3">
        <w:rPr>
          <w:sz w:val="20"/>
          <w:szCs w:val="20"/>
        </w:rPr>
        <w:t xml:space="preserve">: </w:t>
      </w:r>
      <w:r w:rsidR="005708C6" w:rsidRPr="005708C6">
        <w:rPr>
          <w:sz w:val="20"/>
          <w:szCs w:val="20"/>
        </w:rPr>
        <w:t>https://play.google.com/store/books/details?id=WED3xBjjwfEC</w:t>
      </w:r>
    </w:p>
    <w:bookmarkEnd w:id="109"/>
    <w:p w14:paraId="6FCE5874" w14:textId="51097774" w:rsidR="00244FB6" w:rsidRDefault="00244FB6" w:rsidP="001431A6">
      <w:pPr>
        <w:ind w:firstLine="0"/>
        <w:jc w:val="center"/>
      </w:pPr>
      <w:r>
        <w:rPr>
          <w:noProof/>
        </w:rPr>
        <w:lastRenderedPageBreak/>
        <w:drawing>
          <wp:inline distT="0" distB="0" distL="0" distR="0" wp14:anchorId="0F33D4A2" wp14:editId="5653EF17">
            <wp:extent cx="4461933" cy="5809834"/>
            <wp:effectExtent l="0" t="0" r="0" b="635"/>
            <wp:docPr id="1059213138" name="Picture 3" descr="A picture containing pattern, paper,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13138" name="Picture 3" descr="A picture containing pattern, paper, origami&#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89965" cy="5846334"/>
                    </a:xfrm>
                    <a:prstGeom prst="rect">
                      <a:avLst/>
                    </a:prstGeom>
                  </pic:spPr>
                </pic:pic>
              </a:graphicData>
            </a:graphic>
          </wp:inline>
        </w:drawing>
      </w:r>
    </w:p>
    <w:p w14:paraId="268C0C89" w14:textId="4AEF7A61" w:rsidR="001431A6" w:rsidRPr="001431A6" w:rsidRDefault="001431A6" w:rsidP="001431A6">
      <w:pPr>
        <w:spacing w:line="240" w:lineRule="auto"/>
        <w:ind w:firstLine="0"/>
        <w:jc w:val="center"/>
        <w:rPr>
          <w:sz w:val="20"/>
          <w:szCs w:val="20"/>
        </w:rPr>
      </w:pPr>
      <w:bookmarkStart w:id="110" w:name="_Hlk150942748"/>
      <w:r w:rsidRPr="001431A6">
        <w:rPr>
          <w:b/>
          <w:bCs/>
          <w:sz w:val="20"/>
          <w:szCs w:val="20"/>
        </w:rPr>
        <w:t>Figure 10</w:t>
      </w:r>
      <w:r w:rsidRPr="001431A6">
        <w:rPr>
          <w:sz w:val="20"/>
          <w:szCs w:val="20"/>
        </w:rPr>
        <w:t xml:space="preserve">.  </w:t>
      </w:r>
      <w:r w:rsidR="00673636">
        <w:rPr>
          <w:sz w:val="20"/>
          <w:szCs w:val="20"/>
        </w:rPr>
        <w:t xml:space="preserve">Geomantic chart. Source: </w:t>
      </w:r>
      <w:r w:rsidRPr="001431A6">
        <w:rPr>
          <w:i/>
          <w:iCs/>
          <w:sz w:val="20"/>
          <w:szCs w:val="20"/>
        </w:rPr>
        <w:t>La geomancie du seigneur Cristofle de Cattan, gentilhomme Geneuoys</w:t>
      </w:r>
      <w:r w:rsidR="00673636">
        <w:rPr>
          <w:sz w:val="20"/>
          <w:szCs w:val="20"/>
        </w:rPr>
        <w:t xml:space="preserve"> (1558).</w:t>
      </w:r>
      <w:r w:rsidR="00673636" w:rsidRPr="00673636">
        <w:rPr>
          <w:sz w:val="20"/>
          <w:szCs w:val="20"/>
        </w:rPr>
        <w:t xml:space="preserve"> Open Access on Google Books:</w:t>
      </w:r>
      <w:r w:rsidR="007121B7" w:rsidRPr="007121B7">
        <w:t xml:space="preserve"> </w:t>
      </w:r>
      <w:r w:rsidR="007121B7" w:rsidRPr="007121B7">
        <w:rPr>
          <w:sz w:val="20"/>
          <w:szCs w:val="20"/>
        </w:rPr>
        <w:t>https://play.google.com/store/books/details?id=_Zw8AAAAcAAJ</w:t>
      </w:r>
    </w:p>
    <w:bookmarkEnd w:id="110"/>
    <w:p w14:paraId="6C87887D" w14:textId="77777777" w:rsidR="001431A6" w:rsidRDefault="001431A6" w:rsidP="001431A6">
      <w:pPr>
        <w:ind w:firstLine="0"/>
        <w:jc w:val="center"/>
      </w:pPr>
    </w:p>
    <w:p w14:paraId="5A244789" w14:textId="77777777" w:rsidR="00244FB6" w:rsidRDefault="00244FB6" w:rsidP="00244FB6">
      <w:pPr>
        <w:ind w:firstLine="0"/>
      </w:pPr>
    </w:p>
    <w:p w14:paraId="3CD9341A" w14:textId="77777777" w:rsidR="00244FB6" w:rsidRDefault="00244FB6" w:rsidP="001855D8">
      <w:pPr>
        <w:ind w:firstLine="0"/>
        <w:jc w:val="center"/>
      </w:pPr>
      <w:r>
        <w:rPr>
          <w:noProof/>
        </w:rPr>
        <w:lastRenderedPageBreak/>
        <w:drawing>
          <wp:inline distT="0" distB="0" distL="0" distR="0" wp14:anchorId="571868D0" wp14:editId="397BD956">
            <wp:extent cx="5915962" cy="3699933"/>
            <wp:effectExtent l="0" t="0" r="8890" b="0"/>
            <wp:docPr id="971722442" name="Picture 6" descr="A picture containing text, book,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2442" name="Picture 6" descr="A picture containing text, book, handwriting&#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0297" cy="3708898"/>
                    </a:xfrm>
                    <a:prstGeom prst="rect">
                      <a:avLst/>
                    </a:prstGeom>
                  </pic:spPr>
                </pic:pic>
              </a:graphicData>
            </a:graphic>
          </wp:inline>
        </w:drawing>
      </w:r>
    </w:p>
    <w:p w14:paraId="73B0A169" w14:textId="3F840F6C" w:rsidR="00244FB6" w:rsidRDefault="00244FB6" w:rsidP="00FF16AD">
      <w:pPr>
        <w:spacing w:line="240" w:lineRule="auto"/>
        <w:ind w:firstLine="0"/>
        <w:jc w:val="center"/>
        <w:rPr>
          <w:sz w:val="20"/>
          <w:szCs w:val="20"/>
        </w:rPr>
      </w:pPr>
      <w:bookmarkStart w:id="111" w:name="_Hlk150942711"/>
      <w:r w:rsidRPr="001855D8">
        <w:rPr>
          <w:b/>
          <w:bCs/>
          <w:sz w:val="20"/>
          <w:szCs w:val="20"/>
        </w:rPr>
        <w:t xml:space="preserve">Figure </w:t>
      </w:r>
      <w:r w:rsidR="001855D8" w:rsidRPr="001855D8">
        <w:rPr>
          <w:b/>
          <w:bCs/>
          <w:sz w:val="20"/>
          <w:szCs w:val="20"/>
        </w:rPr>
        <w:t>11</w:t>
      </w:r>
      <w:r w:rsidRPr="001855D8">
        <w:rPr>
          <w:b/>
          <w:bCs/>
          <w:sz w:val="20"/>
          <w:szCs w:val="20"/>
        </w:rPr>
        <w:t>.</w:t>
      </w:r>
      <w:r>
        <w:rPr>
          <w:sz w:val="20"/>
          <w:szCs w:val="20"/>
        </w:rPr>
        <w:t xml:space="preserve"> </w:t>
      </w:r>
      <w:r w:rsidR="007121B7">
        <w:rPr>
          <w:sz w:val="20"/>
          <w:szCs w:val="20"/>
        </w:rPr>
        <w:t>Geomantic wheel. Source:</w:t>
      </w:r>
      <w:r w:rsidR="007D51C1" w:rsidRPr="007D51C1">
        <w:rPr>
          <w:sz w:val="20"/>
          <w:szCs w:val="20"/>
        </w:rPr>
        <w:t xml:space="preserve"> </w:t>
      </w:r>
      <w:r w:rsidR="007D51C1">
        <w:rPr>
          <w:sz w:val="20"/>
          <w:szCs w:val="20"/>
        </w:rPr>
        <w:t>Henricus de Pisis,</w:t>
      </w:r>
      <w:r w:rsidR="007121B7">
        <w:rPr>
          <w:sz w:val="20"/>
          <w:szCs w:val="20"/>
        </w:rPr>
        <w:t xml:space="preserve"> </w:t>
      </w:r>
      <w:r w:rsidRPr="00D97876">
        <w:rPr>
          <w:i/>
          <w:iCs/>
          <w:sz w:val="20"/>
          <w:szCs w:val="20"/>
        </w:rPr>
        <w:t>Opus Geomantiae Completum</w:t>
      </w:r>
      <w:r w:rsidR="001855D8">
        <w:rPr>
          <w:sz w:val="20"/>
          <w:szCs w:val="20"/>
        </w:rPr>
        <w:t xml:space="preserve"> </w:t>
      </w:r>
      <w:r w:rsidR="007D51C1">
        <w:rPr>
          <w:sz w:val="20"/>
          <w:szCs w:val="20"/>
        </w:rPr>
        <w:t>(1638)</w:t>
      </w:r>
      <w:r w:rsidR="004E03D4">
        <w:rPr>
          <w:sz w:val="20"/>
          <w:szCs w:val="20"/>
        </w:rPr>
        <w:t>,</w:t>
      </w:r>
      <w:r w:rsidR="00FF16AD" w:rsidRPr="00FF16AD">
        <w:t xml:space="preserve"> </w:t>
      </w:r>
      <w:r w:rsidR="00FF16AD" w:rsidRPr="00FF16AD">
        <w:rPr>
          <w:sz w:val="20"/>
          <w:szCs w:val="20"/>
        </w:rPr>
        <w:t>Open Access on Google Books: https://play.google.com/store/books/details?id=WED3xBjjwfEC</w:t>
      </w:r>
    </w:p>
    <w:bookmarkEnd w:id="111"/>
    <w:p w14:paraId="0FA84F00" w14:textId="77777777" w:rsidR="00244FB6" w:rsidRPr="00A443F5" w:rsidRDefault="00244FB6" w:rsidP="00244FB6">
      <w:pPr>
        <w:ind w:firstLine="0"/>
        <w:rPr>
          <w:sz w:val="20"/>
          <w:szCs w:val="20"/>
        </w:rPr>
      </w:pPr>
    </w:p>
    <w:p w14:paraId="46EB7ED4" w14:textId="28A3042F" w:rsidR="00244FB6" w:rsidRPr="00A443F5" w:rsidRDefault="00244FB6" w:rsidP="00A443F5">
      <w:pPr>
        <w:pStyle w:val="Heading2"/>
        <w:ind w:firstLine="0"/>
        <w:rPr>
          <w:rFonts w:asciiTheme="majorBidi" w:hAnsiTheme="majorBidi"/>
          <w:color w:val="auto"/>
          <w:sz w:val="20"/>
          <w:szCs w:val="20"/>
        </w:rPr>
      </w:pPr>
      <w:bookmarkStart w:id="112" w:name="_Toc165108668"/>
      <w:r w:rsidRPr="00A443F5">
        <w:rPr>
          <w:rFonts w:asciiTheme="majorBidi" w:hAnsiTheme="majorBidi"/>
          <w:color w:val="auto"/>
          <w:sz w:val="20"/>
          <w:szCs w:val="20"/>
        </w:rPr>
        <w:t>VI.</w:t>
      </w:r>
      <w:r w:rsidR="005B0069">
        <w:rPr>
          <w:rFonts w:asciiTheme="majorBidi" w:hAnsiTheme="majorBidi"/>
          <w:color w:val="auto"/>
          <w:sz w:val="20"/>
          <w:szCs w:val="20"/>
        </w:rPr>
        <w:t>2</w:t>
      </w:r>
      <w:r w:rsidRPr="00A443F5">
        <w:rPr>
          <w:rFonts w:asciiTheme="majorBidi" w:hAnsiTheme="majorBidi"/>
          <w:color w:val="auto"/>
          <w:sz w:val="20"/>
          <w:szCs w:val="20"/>
        </w:rPr>
        <w:t xml:space="preserve"> ROBERT FLUDD: GEOMANCY AS ‘THE SCIENCE OF THE INTELLECTUAL SOUL’</w:t>
      </w:r>
      <w:bookmarkEnd w:id="112"/>
    </w:p>
    <w:p w14:paraId="536D5DF6" w14:textId="77777777" w:rsidR="00244FB6" w:rsidRPr="005352FA" w:rsidRDefault="00244FB6" w:rsidP="00244FB6">
      <w:pPr>
        <w:ind w:firstLine="0"/>
        <w:rPr>
          <w:sz w:val="20"/>
          <w:szCs w:val="20"/>
        </w:rPr>
      </w:pPr>
    </w:p>
    <w:p w14:paraId="25BA8321" w14:textId="07793F60" w:rsidR="00244FB6" w:rsidRDefault="00244FB6" w:rsidP="00244FB6">
      <w:r w:rsidRPr="000C156B">
        <w:t>As previously elucidated, the human soul occupied a significant role within the realm of geomantic practice in many treatises authored and translated during the late medieval period</w:t>
      </w:r>
      <w:r>
        <w:t xml:space="preserve">, and </w:t>
      </w:r>
      <w:r w:rsidR="00A21A8D">
        <w:t>its investigation</w:t>
      </w:r>
      <w:r>
        <w:t xml:space="preserve"> constitutes the focal point of the </w:t>
      </w:r>
      <w:r w:rsidRPr="00E95F12">
        <w:rPr>
          <w:i/>
          <w:iCs/>
        </w:rPr>
        <w:t>Liber arenalis scientiae</w:t>
      </w:r>
      <w:r>
        <w:t xml:space="preserve">. </w:t>
      </w:r>
      <w:r w:rsidRPr="002B65B6">
        <w:t>Understanding the evolving perspective on the human soul within the context of the new geomantic texts circulating during the sixteenth and seventeenth centuries is</w:t>
      </w:r>
      <w:r>
        <w:t xml:space="preserve"> therefore</w:t>
      </w:r>
      <w:r w:rsidRPr="002B65B6">
        <w:t xml:space="preserve"> a pertinent endeavour.</w:t>
      </w:r>
      <w:r>
        <w:t xml:space="preserve"> </w:t>
      </w:r>
      <w:r w:rsidRPr="0007066D">
        <w:t>One figure who delved extensively into the role of the human soul in geomantic technique, perhaps more profoundly than any other author, was Robert Fludd (</w:t>
      </w:r>
      <w:r w:rsidR="00377D98">
        <w:t>b.</w:t>
      </w:r>
      <w:r w:rsidRPr="0007066D">
        <w:t>1574-</w:t>
      </w:r>
      <w:r w:rsidR="00377D98">
        <w:t>d.</w:t>
      </w:r>
      <w:r w:rsidRPr="0007066D">
        <w:t xml:space="preserve">1637). Fludd was a polymath who </w:t>
      </w:r>
      <w:r>
        <w:t xml:space="preserve">wrote on </w:t>
      </w:r>
      <w:r w:rsidRPr="0007066D">
        <w:t>a multitude of subjects, including mathematics, astrology, medicine, and cosmology, and practiced as a physician.</w:t>
      </w:r>
      <w:r>
        <w:rPr>
          <w:rStyle w:val="FootnoteReference"/>
        </w:rPr>
        <w:footnoteReference w:id="417"/>
      </w:r>
      <w:r w:rsidRPr="00506777">
        <w:t xml:space="preserve"> Fludd</w:t>
      </w:r>
      <w:r>
        <w:t>’</w:t>
      </w:r>
      <w:r w:rsidRPr="00506777">
        <w:t xml:space="preserve">s </w:t>
      </w:r>
      <w:r w:rsidRPr="00506777">
        <w:lastRenderedPageBreak/>
        <w:t>writings on geomancy offer valuable insights into how this aspect of divination evolved during the early modern period. His works provide a window into the intricate interplay between the spiritual and the practical in the context of geomantic practice during this era. Exploring Fludd</w:t>
      </w:r>
      <w:r>
        <w:t>’</w:t>
      </w:r>
      <w:r w:rsidRPr="00506777">
        <w:t xml:space="preserve">s contributions can shed light on the philosophical and metaphysical dimensions of geomancy, as well as its intersections with other disciplines, </w:t>
      </w:r>
      <w:r>
        <w:t>contributing to</w:t>
      </w:r>
      <w:r w:rsidRPr="00506777">
        <w:t xml:space="preserve"> </w:t>
      </w:r>
      <w:r>
        <w:t xml:space="preserve">the </w:t>
      </w:r>
      <w:r w:rsidRPr="00506777">
        <w:t>understanding of th</w:t>
      </w:r>
      <w:r>
        <w:t>is</w:t>
      </w:r>
      <w:r w:rsidRPr="00506777">
        <w:t xml:space="preserve"> practice during </w:t>
      </w:r>
      <w:r w:rsidR="00244DED">
        <w:t xml:space="preserve">its evolution in </w:t>
      </w:r>
      <w:r w:rsidRPr="00506777">
        <w:t>the sixteenth and seventeenth centuries.</w:t>
      </w:r>
      <w:r>
        <w:t xml:space="preserve"> </w:t>
      </w:r>
    </w:p>
    <w:p w14:paraId="7F455DE1" w14:textId="079F976E" w:rsidR="00244FB6" w:rsidRDefault="00080178" w:rsidP="00244FB6">
      <w:r>
        <w:t>As previously mentioned, the miscellaneous volume entitled</w:t>
      </w:r>
      <w:r w:rsidRPr="00080178">
        <w:rPr>
          <w:i/>
          <w:iCs/>
        </w:rPr>
        <w:t xml:space="preserve"> </w:t>
      </w:r>
      <w:r w:rsidRPr="00155DE3">
        <w:rPr>
          <w:i/>
          <w:iCs/>
        </w:rPr>
        <w:t>Fasciculus Geomanticus</w:t>
      </w:r>
      <w:r>
        <w:t xml:space="preserve"> (1687)</w:t>
      </w:r>
      <w:r w:rsidR="00244FB6">
        <w:t xml:space="preserve"> </w:t>
      </w:r>
      <w:r>
        <w:t>includes the work</w:t>
      </w:r>
      <w:r w:rsidR="00244FB6">
        <w:t xml:space="preserve"> </w:t>
      </w:r>
      <w:r w:rsidR="00244FB6" w:rsidRPr="00155DE3">
        <w:rPr>
          <w:i/>
          <w:iCs/>
        </w:rPr>
        <w:t>Tractatus de Geomantia in quatuor libros diuisus</w:t>
      </w:r>
      <w:r>
        <w:rPr>
          <w:i/>
          <w:iCs/>
        </w:rPr>
        <w:t>,</w:t>
      </w:r>
      <w:r w:rsidR="00244FB6">
        <w:t xml:space="preserve"> attributed to Fludd</w:t>
      </w:r>
      <w:r>
        <w:t xml:space="preserve"> and</w:t>
      </w:r>
      <w:r w:rsidR="00244FB6">
        <w:t xml:space="preserve"> published </w:t>
      </w:r>
      <w:r>
        <w:t>after his death</w:t>
      </w:r>
      <w:r w:rsidR="00244FB6">
        <w:t xml:space="preserve">. This work </w:t>
      </w:r>
      <w:r w:rsidR="006A10DA">
        <w:t>collects</w:t>
      </w:r>
      <w:r w:rsidR="00244FB6">
        <w:t xml:space="preserve"> all the writings of Fludd on the topic of geomancy. To be specific, the </w:t>
      </w:r>
      <w:r w:rsidR="00244FB6" w:rsidRPr="00155DE3">
        <w:rPr>
          <w:i/>
          <w:iCs/>
        </w:rPr>
        <w:t>Tractatus de Geomantia</w:t>
      </w:r>
      <w:r w:rsidR="00244FB6">
        <w:rPr>
          <w:i/>
          <w:iCs/>
        </w:rPr>
        <w:t xml:space="preserve"> </w:t>
      </w:r>
      <w:r w:rsidR="00244FB6">
        <w:t xml:space="preserve">includes – with a few changes – the main extracts on geomancy written by Fludd in the two volumes of his major work, the </w:t>
      </w:r>
      <w:r w:rsidR="00244FB6" w:rsidRPr="00227BC6">
        <w:rPr>
          <w:i/>
          <w:iCs/>
        </w:rPr>
        <w:t>Utriusque Cosmi Maioris scilicet et Minoris Metaphysica, Physica atque Technica Historia</w:t>
      </w:r>
      <w:r w:rsidR="00244FB6" w:rsidRPr="00D06B05">
        <w:t xml:space="preserve">, printed between </w:t>
      </w:r>
      <w:r w:rsidR="00244FB6" w:rsidRPr="00A467C1">
        <w:t>1617 and 1620</w:t>
      </w:r>
      <w:r w:rsidR="00244FB6" w:rsidRPr="00D06B05">
        <w:t>.</w:t>
      </w:r>
      <w:r w:rsidR="00244FB6">
        <w:rPr>
          <w:rStyle w:val="FootnoteReference"/>
        </w:rPr>
        <w:footnoteReference w:id="418"/>
      </w:r>
      <w:r w:rsidR="00244FB6">
        <w:t xml:space="preserve"> Geomancy features prominently in both volumes of this work, the first being a History of the Macrocosm, the second a History of the Microcosm, not only in the text but also in the numerous original engravings in Fludd’s work, executed by </w:t>
      </w:r>
      <w:bookmarkStart w:id="113" w:name="_Hlk136335844"/>
      <w:r w:rsidR="00244FB6" w:rsidRPr="00CB7B73">
        <w:t>Matthäus Merian</w:t>
      </w:r>
      <w:bookmarkEnd w:id="113"/>
      <w:r w:rsidR="00244FB6" w:rsidRPr="00CB7B73">
        <w:t>.</w:t>
      </w:r>
      <w:r w:rsidR="00244FB6" w:rsidRPr="00CB7B73">
        <w:rPr>
          <w:rStyle w:val="FootnoteReference"/>
        </w:rPr>
        <w:footnoteReference w:id="419"/>
      </w:r>
      <w:r w:rsidR="00244FB6">
        <w:t xml:space="preserve"> Despite the prominence of geomancy in Fludd’s major work, scarce attention has been paid on his theory of geomantic </w:t>
      </w:r>
      <w:r w:rsidR="00244FB6" w:rsidRPr="00E03438">
        <w:t>knowledge</w:t>
      </w:r>
      <w:r w:rsidR="00244FB6">
        <w:t xml:space="preserve">, with the exception of </w:t>
      </w:r>
      <w:r w:rsidR="00244FB6" w:rsidRPr="00E03438">
        <w:t>C</w:t>
      </w:r>
      <w:r w:rsidR="00244FB6">
        <w:t xml:space="preserve">. H. Josten who published a fundamental article on this topic in the </w:t>
      </w:r>
      <w:r w:rsidR="00244FB6" w:rsidRPr="00CF1D73">
        <w:rPr>
          <w:i/>
          <w:iCs/>
        </w:rPr>
        <w:t>Journal of the Warburg and Courtauld Institutes</w:t>
      </w:r>
      <w:r w:rsidR="00244FB6" w:rsidRPr="00BA532A">
        <w:t xml:space="preserve"> </w:t>
      </w:r>
      <w:r w:rsidR="00244FB6">
        <w:t>in 1964</w:t>
      </w:r>
      <w:r w:rsidR="00244FB6">
        <w:rPr>
          <w:i/>
          <w:iCs/>
        </w:rPr>
        <w:t xml:space="preserve">. </w:t>
      </w:r>
      <w:r w:rsidR="00244FB6">
        <w:t>In his study, Josten</w:t>
      </w:r>
      <w:r w:rsidR="00244FB6">
        <w:rPr>
          <w:i/>
          <w:iCs/>
        </w:rPr>
        <w:t xml:space="preserve"> </w:t>
      </w:r>
      <w:r w:rsidR="00244FB6">
        <w:t xml:space="preserve">gave a clear overview of the </w:t>
      </w:r>
      <w:r w:rsidR="00244FB6" w:rsidRPr="00DF4818">
        <w:t>psychological</w:t>
      </w:r>
      <w:r w:rsidR="00244FB6" w:rsidRPr="00BA2731">
        <w:rPr>
          <w:color w:val="FF0000"/>
        </w:rPr>
        <w:t xml:space="preserve"> </w:t>
      </w:r>
      <w:r w:rsidR="00244FB6">
        <w:t xml:space="preserve">theory underlying Fludd’s theory on geomancy, and offered the translation into English of an </w:t>
      </w:r>
      <w:r w:rsidR="00244FB6">
        <w:lastRenderedPageBreak/>
        <w:t xml:space="preserve">extract from the section on geomancy in the </w:t>
      </w:r>
      <w:r w:rsidR="00244FB6" w:rsidRPr="003120F9">
        <w:rPr>
          <w:i/>
          <w:iCs/>
        </w:rPr>
        <w:t>Tractatus secundus</w:t>
      </w:r>
      <w:r w:rsidR="00244FB6">
        <w:t xml:space="preserve"> of the History of the Macrocosm</w:t>
      </w:r>
      <w:r w:rsidR="00244FB6" w:rsidRPr="00AC7830">
        <w:rPr>
          <w:i/>
          <w:iCs/>
        </w:rPr>
        <w:t>,</w:t>
      </w:r>
      <w:r w:rsidR="00244FB6">
        <w:t xml:space="preserve"> where Fludd describes in vivid details his experience of practicing geomancy in Avignon in the Winter of the year 1601.</w:t>
      </w:r>
      <w:r w:rsidR="00244FB6">
        <w:rPr>
          <w:rStyle w:val="FootnoteReference"/>
        </w:rPr>
        <w:footnoteReference w:id="420"/>
      </w:r>
      <w:r w:rsidR="00244FB6">
        <w:t xml:space="preserve"> </w:t>
      </w:r>
      <w:r w:rsidR="00244FB6" w:rsidRPr="00C526D0">
        <w:t xml:space="preserve">The objective of this </w:t>
      </w:r>
      <w:r w:rsidR="006A10DA">
        <w:t>study</w:t>
      </w:r>
      <w:r w:rsidR="00244FB6" w:rsidRPr="00C526D0">
        <w:t xml:space="preserve"> is to build upon Josten</w:t>
      </w:r>
      <w:r w:rsidR="00244FB6">
        <w:t>’</w:t>
      </w:r>
      <w:r w:rsidR="00244FB6" w:rsidRPr="00C526D0">
        <w:t>s founding work and further contribute to the understanding of Fludd</w:t>
      </w:r>
      <w:r w:rsidR="00244FB6">
        <w:t>’</w:t>
      </w:r>
      <w:r w:rsidR="00244FB6" w:rsidRPr="00C526D0">
        <w:t xml:space="preserve">s theory of geomancy. To accomplish this, a comprehensive examination will be undertaken of every section of text within the two volumes of the </w:t>
      </w:r>
      <w:r w:rsidR="00244FB6" w:rsidRPr="00C526D0">
        <w:rPr>
          <w:i/>
          <w:iCs/>
        </w:rPr>
        <w:t>Utriusque Cosmi Maioris scilicet et Minoris Metaphysica, Physica atque Technica Historia</w:t>
      </w:r>
      <w:r w:rsidR="00244FB6" w:rsidRPr="00C526D0">
        <w:t xml:space="preserve"> dedicated to geomancy. This </w:t>
      </w:r>
      <w:r w:rsidR="00244FB6">
        <w:t>analysis</w:t>
      </w:r>
      <w:r w:rsidR="00244FB6" w:rsidRPr="00C526D0">
        <w:t xml:space="preserve"> seeks to shed light on the intricate web of ideas and concepts woven by Robert Fludd in his exploration of geomantic knowledge, offering a more nuanced understanding of his contribution to th</w:t>
      </w:r>
      <w:r w:rsidR="00DA24B0">
        <w:t xml:space="preserve">e </w:t>
      </w:r>
      <w:r w:rsidR="00A82BF2">
        <w:t>Latin</w:t>
      </w:r>
      <w:r w:rsidR="00DA24B0">
        <w:t xml:space="preserve"> geomantic tradition.</w:t>
      </w:r>
    </w:p>
    <w:p w14:paraId="232F793A" w14:textId="77777777" w:rsidR="00244FB6" w:rsidRDefault="00244FB6" w:rsidP="00244FB6">
      <w:pPr>
        <w:ind w:firstLine="0"/>
      </w:pPr>
    </w:p>
    <w:p w14:paraId="78E9CEA1" w14:textId="367A73BD" w:rsidR="0014796D" w:rsidRPr="00A443F5" w:rsidRDefault="00244FB6" w:rsidP="00A443F5">
      <w:pPr>
        <w:pStyle w:val="Heading3"/>
        <w:ind w:firstLine="0"/>
        <w:rPr>
          <w:rFonts w:asciiTheme="majorBidi" w:hAnsiTheme="majorBidi"/>
          <w:b/>
          <w:bCs/>
          <w:color w:val="auto"/>
        </w:rPr>
      </w:pPr>
      <w:bookmarkStart w:id="114" w:name="_Toc165108669"/>
      <w:r w:rsidRPr="00A443F5">
        <w:rPr>
          <w:rFonts w:asciiTheme="majorBidi" w:hAnsiTheme="majorBidi"/>
          <w:b/>
          <w:bCs/>
          <w:color w:val="auto"/>
        </w:rPr>
        <w:t>The History of the Macrocosm</w:t>
      </w:r>
      <w:bookmarkEnd w:id="114"/>
    </w:p>
    <w:p w14:paraId="12CD1C5C" w14:textId="77777777" w:rsidR="00244FB6" w:rsidRDefault="00244FB6" w:rsidP="00244FB6"/>
    <w:p w14:paraId="628D53A3" w14:textId="77777777" w:rsidR="005072A9" w:rsidRDefault="00244FB6" w:rsidP="00244FB6">
      <w:r>
        <w:t xml:space="preserve">In the first volume of his magnum opus, Robert Fludd aimed to encompass the history of the macrocosm, which refers to the external world. This monumental work is divided into two primary sections: the work of God and the work of humanity. The </w:t>
      </w:r>
      <w:r w:rsidR="007B28DC">
        <w:t>‘</w:t>
      </w:r>
      <w:r>
        <w:t>work of God</w:t>
      </w:r>
      <w:r w:rsidR="007B28DC">
        <w:t>’</w:t>
      </w:r>
      <w:r>
        <w:t xml:space="preserve"> pertains to the creation of the universe and its ongoing sustenance, while the </w:t>
      </w:r>
      <w:r w:rsidR="007B28DC">
        <w:t>‘</w:t>
      </w:r>
      <w:r>
        <w:t>works of men</w:t>
      </w:r>
      <w:r w:rsidR="007B28DC">
        <w:t>’</w:t>
      </w:r>
      <w:r>
        <w:t xml:space="preserve"> encompass the various arts and sciences. These sciences specifically include arithmetic, music, geometry, perspective, the art of painting, military art, the science of motion and time, cosmography, astrology, and geomancy. In the first volume, the initial part delves into the metaphysics and physics of the macrocosm, while the second part, entitled </w:t>
      </w:r>
      <w:r w:rsidRPr="00F5737E">
        <w:rPr>
          <w:i/>
          <w:iCs/>
        </w:rPr>
        <w:t>De Arte Naturae Simia</w:t>
      </w:r>
      <w:r>
        <w:t xml:space="preserve"> (About Art, the Ape of Nature), delves into the eleven aforementioned sciences. This dual theme of the first volume of the </w:t>
      </w:r>
      <w:r w:rsidRPr="00F5737E">
        <w:rPr>
          <w:i/>
          <w:iCs/>
        </w:rPr>
        <w:t>Utriusque Cosmi... Historia</w:t>
      </w:r>
      <w:r>
        <w:t xml:space="preserve"> is explicitly announced on </w:t>
      </w:r>
      <w:r>
        <w:lastRenderedPageBreak/>
        <w:t xml:space="preserve">the title page of the work and is further symbolically represented in the engraving entitled </w:t>
      </w:r>
      <w:r w:rsidRPr="00F5737E">
        <w:rPr>
          <w:i/>
          <w:iCs/>
        </w:rPr>
        <w:t>Integrae Naturae speculum artisque imago</w:t>
      </w:r>
      <w:r>
        <w:t xml:space="preserve"> (The mirror of Nature and the image of Art), which spans two pages and serves as the opening of the first volume. This image portrays a naked woman, personifying Nature, adorned with a crown of stars and standing above the sphere of the Earth and sea. The heavens, with the spheres of the seven planets and the fixed stars, loom behind her, and angelic hierarchies encircle them. Below the planetary spheres, the spheres of the elements are represented, along with depictions of the animal, plant, and mineral realms. Beneath her feet, the world is depicted, featuring an ape holding a globe and surrounded by representations of the various liberal arts, among which a geomantic shield chart is included. Nature’s right hand is linked to God, while her left hand is linked to the ape, symbolising the interconnectedness between divine creation, the natural world, and human endeavours. This intricate engraving encapsulates the overarching themes and subjects of Fludd’s monumental work.</w:t>
      </w:r>
      <w:r>
        <w:rPr>
          <w:rStyle w:val="FootnoteReference"/>
        </w:rPr>
        <w:footnoteReference w:id="421"/>
      </w:r>
      <w:r>
        <w:t xml:space="preserve"> </w:t>
      </w:r>
    </w:p>
    <w:p w14:paraId="61C5C392" w14:textId="0BA231A6" w:rsidR="00244FB6" w:rsidRDefault="00244FB6" w:rsidP="00244FB6">
      <w:r w:rsidRPr="00F5737E">
        <w:t>The geomantic shield makes a reappearance on the title page of the second treatise</w:t>
      </w:r>
      <w:r w:rsidRPr="00F5737E">
        <w:rPr>
          <w:i/>
          <w:iCs/>
        </w:rPr>
        <w:t>, De Naturae Simia seu technica macrocosmi historia</w:t>
      </w:r>
      <w:r w:rsidRPr="00F5737E">
        <w:t xml:space="preserve">, where an image of an ape is depicted. In this image, the ape acts as if it were a schoolmaster, gesturing toward arithmetic, which is the first of the liberal arts surrounding the ape. Geomancy is situated between astrology and music in this arrangement (see </w:t>
      </w:r>
      <w:r w:rsidR="00CE1D4D">
        <w:t>Figure 12</w:t>
      </w:r>
      <w:r w:rsidRPr="00F5737E">
        <w:t xml:space="preserve">). </w:t>
      </w:r>
      <w:r>
        <w:t>T</w:t>
      </w:r>
      <w:r w:rsidRPr="00F5737E">
        <w:t>he section dedicated to geomancy is placed towards the end of the treatise,</w:t>
      </w:r>
      <w:r>
        <w:t xml:space="preserve"> but</w:t>
      </w:r>
      <w:r w:rsidRPr="00F5737E">
        <w:t xml:space="preserve"> there are instances in the first part, which is dedicated to arithmetic, where Fludd incorporates geomantic figures. One such instance can be found in the eighth chapter of the first book, titled </w:t>
      </w:r>
      <w:r w:rsidRPr="00F5737E">
        <w:rPr>
          <w:i/>
          <w:iCs/>
        </w:rPr>
        <w:t>De numero et numeratione</w:t>
      </w:r>
      <w:r w:rsidRPr="00F5737E">
        <w:t>, where geomantic figures are utili</w:t>
      </w:r>
      <w:r>
        <w:t>s</w:t>
      </w:r>
      <w:r w:rsidRPr="00F5737E">
        <w:t>ed in the discussion of even and odd numbers.</w:t>
      </w:r>
      <w:r>
        <w:rPr>
          <w:rStyle w:val="FootnoteReference"/>
        </w:rPr>
        <w:footnoteReference w:id="422"/>
      </w:r>
      <w:r>
        <w:t xml:space="preserve"> </w:t>
      </w:r>
      <w:r w:rsidRPr="00F5737E">
        <w:t xml:space="preserve">Furthermore, a substantial portion of the section on arithmetic in </w:t>
      </w:r>
      <w:r w:rsidRPr="00F5737E">
        <w:rPr>
          <w:i/>
          <w:iCs/>
        </w:rPr>
        <w:t>De Naturae Simia</w:t>
      </w:r>
      <w:r w:rsidRPr="00F5737E">
        <w:t xml:space="preserve"> is devoted to what Fludd refers to as </w:t>
      </w:r>
      <w:r>
        <w:lastRenderedPageBreak/>
        <w:t>‘g</w:t>
      </w:r>
      <w:r w:rsidRPr="00F5737E">
        <w:t>eomantic arithmetic</w:t>
      </w:r>
      <w:r>
        <w:t>’</w:t>
      </w:r>
      <w:r w:rsidRPr="00F5737E">
        <w:t xml:space="preserve"> (</w:t>
      </w:r>
      <w:r w:rsidRPr="00F5737E">
        <w:rPr>
          <w:i/>
          <w:iCs/>
        </w:rPr>
        <w:t>De Arithmetica Geomantica</w:t>
      </w:r>
      <w:r w:rsidRPr="00F5737E">
        <w:t>). In this segment, Fludd delves into the mathematical properties of geomancy and systemati</w:t>
      </w:r>
      <w:r>
        <w:t>s</w:t>
      </w:r>
      <w:r w:rsidRPr="00F5737E">
        <w:t xml:space="preserve">es them by outlining a set of rules concerning the casting of </w:t>
      </w:r>
      <w:r w:rsidR="002F2BE4">
        <w:t>points</w:t>
      </w:r>
      <w:r w:rsidRPr="00F5737E">
        <w:t>, the composition of geomantic figures through subtraction, addition, and multiplication, and by including a number of geomantic shields to illustrate the process for constructing the geomantic chart.</w:t>
      </w:r>
      <w:r>
        <w:rPr>
          <w:rStyle w:val="FootnoteReference"/>
        </w:rPr>
        <w:footnoteReference w:id="423"/>
      </w:r>
      <w:r>
        <w:t xml:space="preserve"> </w:t>
      </w:r>
    </w:p>
    <w:p w14:paraId="7AECA32F" w14:textId="7A97B0BE" w:rsidR="00244FB6" w:rsidRDefault="00244FB6" w:rsidP="00244FB6">
      <w:r w:rsidRPr="00905505">
        <w:t xml:space="preserve">In the eleventh part of </w:t>
      </w:r>
      <w:r w:rsidRPr="00905505">
        <w:rPr>
          <w:i/>
          <w:iCs/>
        </w:rPr>
        <w:t>De Naturae Simia</w:t>
      </w:r>
      <w:r w:rsidRPr="00905505">
        <w:t xml:space="preserve">, Robert Fludd dedicates an entire work </w:t>
      </w:r>
      <w:r w:rsidR="00A4765C">
        <w:t>en</w:t>
      </w:r>
      <w:r w:rsidRPr="00905505">
        <w:t xml:space="preserve">titled </w:t>
      </w:r>
      <w:r w:rsidRPr="00905505">
        <w:rPr>
          <w:i/>
          <w:iCs/>
        </w:rPr>
        <w:t>De Geomantia in Quatuor Libros Divisa</w:t>
      </w:r>
      <w:r w:rsidRPr="00905505">
        <w:t xml:space="preserve"> to the art of geomancy</w:t>
      </w:r>
      <w:r>
        <w:t>.</w:t>
      </w:r>
      <w:r>
        <w:rPr>
          <w:rStyle w:val="FootnoteReference"/>
        </w:rPr>
        <w:footnoteReference w:id="424"/>
      </w:r>
      <w:r>
        <w:t xml:space="preserve"> </w:t>
      </w:r>
      <w:r w:rsidRPr="00905505">
        <w:t>This work is divided into four parts, with each part addressing a specific aspect of geomantic practice. The order of these parts is as follows: the preparation of the practitioner</w:t>
      </w:r>
      <w:r>
        <w:t>’</w:t>
      </w:r>
      <w:r w:rsidRPr="00905505">
        <w:t>s soul, the geomantic figures, the system for making judgments, and the practical application of geomancy</w:t>
      </w:r>
      <w:r>
        <w:t>.</w:t>
      </w:r>
      <w:r>
        <w:rPr>
          <w:rStyle w:val="FootnoteReference"/>
        </w:rPr>
        <w:footnoteReference w:id="425"/>
      </w:r>
      <w:r>
        <w:t xml:space="preserve"> </w:t>
      </w:r>
      <w:r w:rsidRPr="00905505">
        <w:t xml:space="preserve">In the first chapter of this section, Fludd shares a personal </w:t>
      </w:r>
      <w:r w:rsidR="005072A9" w:rsidRPr="00905505">
        <w:t>anec</w:t>
      </w:r>
      <w:r w:rsidR="005072A9">
        <w:t>dote</w:t>
      </w:r>
      <w:r w:rsidRPr="00905505">
        <w:t xml:space="preserve"> from his own experience with geomancy. He recounts an incident that occurred during the winter of 1601-1602 when he was residing in Avignon due to snow blocking his route to Italy</w:t>
      </w:r>
      <w:r>
        <w:t>.</w:t>
      </w:r>
      <w:r>
        <w:rPr>
          <w:rStyle w:val="FootnoteReference"/>
        </w:rPr>
        <w:footnoteReference w:id="426"/>
      </w:r>
      <w:r>
        <w:t xml:space="preserve"> </w:t>
      </w:r>
      <w:r w:rsidRPr="0067102E">
        <w:t>One evening, while engaging in a discussion with fellow guests staying in the same house, Fludd expressed his views on astrology and geomancy. In response to his arguments in favour of these sciences, one of the men present asked Fludd to cast a geomantic prediction. He sought to know whether a girl with whom he was deeply in love reciprocated his affections with equal intensity, both in mind and body, and if she loved him more than anyone else.</w:t>
      </w:r>
      <w:r>
        <w:rPr>
          <w:rStyle w:val="FootnoteReference"/>
        </w:rPr>
        <w:footnoteReference w:id="427"/>
      </w:r>
      <w:r>
        <w:t xml:space="preserve"> </w:t>
      </w:r>
      <w:r w:rsidRPr="0067102E">
        <w:t xml:space="preserve">Fludd used </w:t>
      </w:r>
      <w:r>
        <w:t xml:space="preserve">a </w:t>
      </w:r>
      <w:r w:rsidRPr="0067102E">
        <w:t>geomantic chart to provide an accurate description of the girl, including her physical attributes, and then conveyed the unfortunate news that the girl</w:t>
      </w:r>
      <w:r>
        <w:t>’</w:t>
      </w:r>
      <w:r w:rsidRPr="0067102E">
        <w:t>s love for him was not constant. This accurate prediction garnered admiration from the individual who had sought the geomantic reading. Word of Fludd</w:t>
      </w:r>
      <w:r>
        <w:t>’</w:t>
      </w:r>
      <w:r w:rsidRPr="0067102E">
        <w:t>s geomantic abilities began to circulate in Avignon, and these rumours eventually reached the ears of the local Jesuits.</w:t>
      </w:r>
      <w:r w:rsidRPr="00C34836">
        <w:t xml:space="preserve"> Some of th</w:t>
      </w:r>
      <w:r w:rsidR="00330151">
        <w:t>em</w:t>
      </w:r>
      <w:r w:rsidRPr="00C34836">
        <w:t xml:space="preserve">, motivated </w:t>
      </w:r>
      <w:r w:rsidRPr="00C34836">
        <w:lastRenderedPageBreak/>
        <w:t>by envy, reported to the papal Vice Legate that an Englishman was practicing geomancy, a science that had been frequently condemned by the Catholic Church. However, the Vice Legate did not take these accusations seriously. He responded by noting that it was challenging to find a single cardinal in Italy who did not possess either a natal horoscope created using</w:t>
      </w:r>
      <w:r w:rsidR="005F4920">
        <w:t xml:space="preserve"> either</w:t>
      </w:r>
      <w:r w:rsidRPr="00C34836">
        <w:t xml:space="preserve"> astrological or geomantic methods.</w:t>
      </w:r>
      <w:r>
        <w:rPr>
          <w:rStyle w:val="FootnoteReference"/>
        </w:rPr>
        <w:footnoteReference w:id="428"/>
      </w:r>
      <w:r w:rsidRPr="00144CE8">
        <w:t xml:space="preserve"> Subsequently, the Vice Legate extended an invitation to Fludd to visit the Palace, where they engaged in extensive discussions about geomancy. Fludd discovered that his host was an adept geomancer himself. Th</w:t>
      </w:r>
      <w:r>
        <w:t>is</w:t>
      </w:r>
      <w:r w:rsidRPr="00144CE8">
        <w:t xml:space="preserve"> episode</w:t>
      </w:r>
      <w:r>
        <w:t>, that highlights Fludd’s personal experience with the practice of geomancy,</w:t>
      </w:r>
      <w:r w:rsidRPr="00144CE8">
        <w:t xml:space="preserve"> concludes with Fludd leaving the Palace having gained the favour of the Vice Legate</w:t>
      </w:r>
      <w:r>
        <w:t>.</w:t>
      </w:r>
      <w:r>
        <w:rPr>
          <w:rStyle w:val="FootnoteReference"/>
        </w:rPr>
        <w:footnoteReference w:id="429"/>
      </w:r>
    </w:p>
    <w:p w14:paraId="633D3889" w14:textId="07AA3919" w:rsidR="00244FB6" w:rsidRDefault="00244FB6" w:rsidP="00244FB6">
      <w:r w:rsidRPr="00CC4DB3">
        <w:t xml:space="preserve">In the remaining chapters of the first book of </w:t>
      </w:r>
      <w:r w:rsidRPr="00CC4DB3">
        <w:rPr>
          <w:i/>
          <w:iCs/>
        </w:rPr>
        <w:t>De Geomantia in Quatuor Libros Divisa</w:t>
      </w:r>
      <w:r w:rsidRPr="00CC4DB3">
        <w:t>, Robert Fludd provides instructions for practitioners on how to prepare themselves before engaging in geomancy.</w:t>
      </w:r>
      <w:r>
        <w:t xml:space="preserve"> </w:t>
      </w:r>
      <w:r w:rsidRPr="00CC4DB3">
        <w:t>He emphasi</w:t>
      </w:r>
      <w:r>
        <w:t>s</w:t>
      </w:r>
      <w:r w:rsidRPr="00CC4DB3">
        <w:t>es that geomancy is a science rooted in the soul, and therefore, those who wish to practice it should possess a good and unblemished conscience</w:t>
      </w:r>
      <w:r>
        <w:t xml:space="preserve">, and both their </w:t>
      </w:r>
      <w:r w:rsidRPr="00CC4DB3">
        <w:t>body and spirit should be in a state of calm and harmony. The geomancer is encouraged to place trust in God, who is recogni</w:t>
      </w:r>
      <w:r>
        <w:t>s</w:t>
      </w:r>
      <w:r w:rsidRPr="00CC4DB3">
        <w:t>ed as the ultimate source of all knowledge and truth. By trusting in God, practitioners aim to be granted access to the truths they seek through geomantic predictions</w:t>
      </w:r>
      <w:r>
        <w:t>.</w:t>
      </w:r>
      <w:r>
        <w:rPr>
          <w:rStyle w:val="FootnoteReference"/>
        </w:rPr>
        <w:footnoteReference w:id="430"/>
      </w:r>
      <w:r>
        <w:t xml:space="preserve"> </w:t>
      </w:r>
      <w:r w:rsidRPr="00204EDB">
        <w:t>Fludd also defends geomancy against those who view it as a false science. He asserts that false predictions should not be attributed to the science of geomancy itself but rather to the practitioner</w:t>
      </w:r>
      <w:r>
        <w:t>’</w:t>
      </w:r>
      <w:r w:rsidRPr="00204EDB">
        <w:t xml:space="preserve">s shortcomings. Fludd argues that </w:t>
      </w:r>
      <w:r w:rsidRPr="00204EDB">
        <w:lastRenderedPageBreak/>
        <w:t>many individuals approach geomantic predictions without the proper spiritual preparation and without invoking the guidance of God. Consequently, they produce inaccurate forecasts, which, in turn, tarnish the reputation of</w:t>
      </w:r>
      <w:r>
        <w:t xml:space="preserve"> the</w:t>
      </w:r>
      <w:r w:rsidRPr="00204EDB">
        <w:t xml:space="preserve"> geoman</w:t>
      </w:r>
      <w:r>
        <w:t>tic art.</w:t>
      </w:r>
      <w:r>
        <w:rPr>
          <w:rStyle w:val="FootnoteReference"/>
        </w:rPr>
        <w:footnoteReference w:id="431"/>
      </w:r>
      <w:r>
        <w:t xml:space="preserve"> The subsequent portions of the first book contain a comprehensive set of rules for constructing the geomantic theme, starting from the process of casting the </w:t>
      </w:r>
      <w:r w:rsidR="002F2BE4">
        <w:t>points</w:t>
      </w:r>
      <w:r>
        <w:t xml:space="preserve"> and proceeding to the formation of the </w:t>
      </w:r>
      <w:r w:rsidRPr="00B06142">
        <w:rPr>
          <w:i/>
          <w:iCs/>
        </w:rPr>
        <w:t>matres, filiae, neptes, testes</w:t>
      </w:r>
      <w:r>
        <w:t xml:space="preserve">, and </w:t>
      </w:r>
      <w:r w:rsidRPr="00B06142">
        <w:rPr>
          <w:i/>
          <w:iCs/>
        </w:rPr>
        <w:t>judex</w:t>
      </w:r>
      <w:r>
        <w:t>. The second book is dedicated to describing the names, shapes, and nature of the geomantic figures and the houses within the geomantic chart. It delves into the significance of each geomantic figure within the various houses. A separate section is devoted to the last three houses of the chart, occupied by the witnesses and the judge.</w:t>
      </w:r>
      <w:r>
        <w:rPr>
          <w:rStyle w:val="FootnoteReference"/>
        </w:rPr>
        <w:footnoteReference w:id="432"/>
      </w:r>
      <w:r>
        <w:t xml:space="preserve"> The third book instructs the reader on how to obtain the prediction through the interpretation of the geomantic chart.</w:t>
      </w:r>
    </w:p>
    <w:p w14:paraId="3EAEC05A" w14:textId="550CD40A" w:rsidR="00244FB6" w:rsidRDefault="00244FB6" w:rsidP="00244FB6">
      <w:r w:rsidRPr="003447CD">
        <w:t>The second chapter of Robert Fludd</w:t>
      </w:r>
      <w:r>
        <w:t>’</w:t>
      </w:r>
      <w:r w:rsidRPr="003447CD">
        <w:t xml:space="preserve">s </w:t>
      </w:r>
      <w:r>
        <w:t>treatise on geomancy</w:t>
      </w:r>
      <w:r w:rsidRPr="003447CD">
        <w:t xml:space="preserve"> is particularly noteworthy as it provides instructions for practitioners on what to do when the geomantic chart does not sufficiently clarify the question posed.</w:t>
      </w:r>
      <w:r>
        <w:t xml:space="preserve"> </w:t>
      </w:r>
      <w:r w:rsidRPr="00F100AD">
        <w:t>In such cases, Fludd recommends</w:t>
      </w:r>
      <w:r>
        <w:t xml:space="preserve"> to form three additional figures: The first figure (number sixteen in the chart) is created from a combination of the first and fourth figures, the seventeenth figure results from combining the seventh and tenth figures, the eighteenth figure is formed by adding the results of the first two additional figures.</w:t>
      </w:r>
      <w:r>
        <w:rPr>
          <w:rStyle w:val="FootnoteReference"/>
        </w:rPr>
        <w:footnoteReference w:id="433"/>
      </w:r>
      <w:r>
        <w:t xml:space="preserve"> </w:t>
      </w:r>
      <w:r w:rsidRPr="00412FE8">
        <w:t>As mentioned in this thesis, th</w:t>
      </w:r>
      <w:r>
        <w:t>is</w:t>
      </w:r>
      <w:r w:rsidRPr="00412FE8">
        <w:t xml:space="preserve"> </w:t>
      </w:r>
      <w:r w:rsidR="006522F7">
        <w:t xml:space="preserve">very </w:t>
      </w:r>
      <w:r w:rsidRPr="00412FE8">
        <w:t xml:space="preserve">unusual procedure of forming additional figures in geomantic practice, as described by </w:t>
      </w:r>
      <w:r>
        <w:t xml:space="preserve">Fludd, </w:t>
      </w:r>
      <w:r w:rsidRPr="00412FE8">
        <w:t xml:space="preserve">is also found </w:t>
      </w:r>
      <w:r w:rsidRPr="006522F7">
        <w:t xml:space="preserve">in the </w:t>
      </w:r>
      <w:r w:rsidRPr="006522F7">
        <w:rPr>
          <w:i/>
          <w:iCs/>
        </w:rPr>
        <w:t xml:space="preserve">Liber arenalis </w:t>
      </w:r>
      <w:r w:rsidRPr="006522F7">
        <w:rPr>
          <w:i/>
          <w:iCs/>
        </w:rPr>
        <w:lastRenderedPageBreak/>
        <w:t>scientiae</w:t>
      </w:r>
      <w:r w:rsidRPr="006522F7">
        <w:t xml:space="preserve"> attributed to Plato of Tivoli</w:t>
      </w:r>
      <w:r w:rsidRPr="00412FE8">
        <w:t>.</w:t>
      </w:r>
      <w:r w:rsidR="00AA22EF">
        <w:rPr>
          <w:rStyle w:val="FootnoteReference"/>
        </w:rPr>
        <w:footnoteReference w:id="434"/>
      </w:r>
      <w:r w:rsidRPr="00412FE8">
        <w:t xml:space="preserve"> This shared practice suggests the possibility that Fludd was acquainted with this medieval geomantic treatise. The resemblance in the geomantic methods and techniques described in both texts may indicate a connection or influence between them, especially considering the unique nature of this procedure among geomantic sources.</w:t>
      </w:r>
      <w:r>
        <w:t xml:space="preserve"> </w:t>
      </w:r>
      <w:r w:rsidRPr="00762841">
        <w:t>However, the method of forming these additional figures may differ slightly between the two texts.</w:t>
      </w:r>
      <w:r>
        <w:t xml:space="preserve"> </w:t>
      </w:r>
      <w:r w:rsidRPr="00CE4F86">
        <w:t xml:space="preserve">Fludd also acknowledges that there may be cases in which four additional figures, referred to as </w:t>
      </w:r>
      <w:r>
        <w:t>‘</w:t>
      </w:r>
      <w:r w:rsidRPr="00CE4F86">
        <w:t>secondary mothers</w:t>
      </w:r>
      <w:r>
        <w:t>’</w:t>
      </w:r>
      <w:r w:rsidRPr="00CE4F86">
        <w:t xml:space="preserve"> (</w:t>
      </w:r>
      <w:r w:rsidRPr="00CE4F86">
        <w:rPr>
          <w:i/>
          <w:iCs/>
        </w:rPr>
        <w:t>matres secundariae</w:t>
      </w:r>
      <w:r w:rsidRPr="00CE4F86">
        <w:t>), must be created to arrive at a judgment. These secondary mothers are formed through combinations of the first and fifth figures, the second and sixth figures, the third and seventh figures, and the fourth and eighth figures</w:t>
      </w:r>
      <w:r>
        <w:t>.</w:t>
      </w:r>
      <w:r>
        <w:rPr>
          <w:rStyle w:val="FootnoteReference"/>
        </w:rPr>
        <w:footnoteReference w:id="435"/>
      </w:r>
      <w:r>
        <w:t xml:space="preserve"> Finally, the fourth book, dedicated to the praxis of geomancy, contains instructions on how to answer all type</w:t>
      </w:r>
      <w:r w:rsidR="006522F7">
        <w:t>s</w:t>
      </w:r>
      <w:r>
        <w:t xml:space="preserve"> of questions that the querent may address to the geomancer.</w:t>
      </w:r>
      <w:r>
        <w:rPr>
          <w:rStyle w:val="FootnoteReference"/>
        </w:rPr>
        <w:footnoteReference w:id="436"/>
      </w:r>
      <w:r>
        <w:t xml:space="preserve"> In general, the geomantic treatise contained in the </w:t>
      </w:r>
      <w:r w:rsidRPr="008F5533">
        <w:rPr>
          <w:i/>
          <w:iCs/>
        </w:rPr>
        <w:t xml:space="preserve">De </w:t>
      </w:r>
      <w:r>
        <w:rPr>
          <w:i/>
          <w:iCs/>
        </w:rPr>
        <w:t>N</w:t>
      </w:r>
      <w:r w:rsidRPr="008F5533">
        <w:rPr>
          <w:i/>
          <w:iCs/>
        </w:rPr>
        <w:t xml:space="preserve">aturae </w:t>
      </w:r>
      <w:r>
        <w:rPr>
          <w:i/>
          <w:iCs/>
        </w:rPr>
        <w:t>S</w:t>
      </w:r>
      <w:r w:rsidRPr="008F5533">
        <w:rPr>
          <w:i/>
          <w:iCs/>
        </w:rPr>
        <w:t>imia</w:t>
      </w:r>
      <w:r>
        <w:t xml:space="preserve"> respects a traditional structure and contains elements already found in previous sources, though it is worth noting that the account of Fludd’s experience in Avignon </w:t>
      </w:r>
      <w:r w:rsidRPr="00800CE1">
        <w:t>provides valuable insights into the social practice of geomantic prediction</w:t>
      </w:r>
      <w:r>
        <w:t xml:space="preserve">. </w:t>
      </w:r>
      <w:r w:rsidRPr="00CE4F86">
        <w:t>This text was written several years prior to Fludd</w:t>
      </w:r>
      <w:r>
        <w:t>’</w:t>
      </w:r>
      <w:r w:rsidRPr="00CE4F86">
        <w:t>s History of the Microcosm, and a comparative analysis of how geomancy is treated in the two volumes of his work will highlight the differences in approach and content.</w:t>
      </w:r>
    </w:p>
    <w:p w14:paraId="51161BB4" w14:textId="77777777" w:rsidR="00244FB6" w:rsidRPr="00FC7E72" w:rsidRDefault="00244FB6" w:rsidP="00244FB6">
      <w:pPr>
        <w:ind w:firstLine="0"/>
        <w:rPr>
          <w:b/>
          <w:bCs/>
        </w:rPr>
      </w:pPr>
    </w:p>
    <w:p w14:paraId="4E968467" w14:textId="78618CCC" w:rsidR="00576284" w:rsidRPr="00A443F5" w:rsidRDefault="00244FB6" w:rsidP="00A443F5">
      <w:pPr>
        <w:pStyle w:val="Heading3"/>
        <w:ind w:firstLine="0"/>
        <w:rPr>
          <w:rFonts w:asciiTheme="majorBidi" w:hAnsiTheme="majorBidi"/>
          <w:b/>
          <w:bCs/>
          <w:color w:val="auto"/>
        </w:rPr>
      </w:pPr>
      <w:bookmarkStart w:id="115" w:name="_Toc165108670"/>
      <w:r w:rsidRPr="00A443F5">
        <w:rPr>
          <w:rFonts w:asciiTheme="majorBidi" w:hAnsiTheme="majorBidi"/>
          <w:b/>
          <w:bCs/>
          <w:color w:val="auto"/>
        </w:rPr>
        <w:t>The History of the Microcosm</w:t>
      </w:r>
      <w:bookmarkEnd w:id="115"/>
    </w:p>
    <w:p w14:paraId="2323104E" w14:textId="77777777" w:rsidR="00FC7E72" w:rsidRPr="00FC7E72" w:rsidRDefault="00FC7E72" w:rsidP="00244FB6">
      <w:pPr>
        <w:ind w:firstLine="0"/>
        <w:rPr>
          <w:b/>
          <w:bCs/>
        </w:rPr>
      </w:pPr>
    </w:p>
    <w:p w14:paraId="0500EDE6" w14:textId="6B046532" w:rsidR="00244FB6" w:rsidRDefault="00244FB6" w:rsidP="00244FB6">
      <w:r>
        <w:lastRenderedPageBreak/>
        <w:t xml:space="preserve">In the second volume of Robert Fludd’s </w:t>
      </w:r>
      <w:r w:rsidRPr="008E7B97">
        <w:rPr>
          <w:i/>
          <w:iCs/>
        </w:rPr>
        <w:t>Utriusque Cosmi…Historia</w:t>
      </w:r>
      <w:r>
        <w:t xml:space="preserve">, which is dedicated to man as the microcosm, Fludd explores the various faculties and knowledge available to humans, including those granted by God and human-made inventions for obtaining knowledge. This volume covers the physical and technical aspects of human nature beyond external accidents. Fludd’s second part, titled </w:t>
      </w:r>
      <w:r w:rsidRPr="008E7B97">
        <w:rPr>
          <w:i/>
          <w:iCs/>
        </w:rPr>
        <w:t>De technica Microcosmi historia</w:t>
      </w:r>
      <w:r>
        <w:t xml:space="preserve"> or ‘History of the Arts of the Microcosm,’ delves into the sciences that pertain to understanding and developing the self. The engraving on the title page of this section features an ape at the centre, with a young man standing on it, surrounded by depictions of various disciplines, including prophecy, geomancy, the art of memory, genethlialogy (horoscopes), physiognomy, chiromancy (palmistry), and the science of pyramids. </w:t>
      </w:r>
      <w:r w:rsidR="00A2644F">
        <w:t>In this work Fludd</w:t>
      </w:r>
      <w:r>
        <w:t xml:space="preserve"> focuses on the sciences that are concerned with </w:t>
      </w:r>
      <w:r w:rsidR="004F0972">
        <w:t>the knowledge developed by humans about themselves</w:t>
      </w:r>
      <w:r>
        <w:t xml:space="preserve"> (</w:t>
      </w:r>
      <w:r w:rsidR="00CE1D4D">
        <w:t>Figure 13)</w:t>
      </w:r>
      <w:r>
        <w:t xml:space="preserve"> </w:t>
      </w:r>
      <w:r w:rsidRPr="00145271">
        <w:t>Geomancy serves a dual role in Fludd</w:t>
      </w:r>
      <w:r>
        <w:t>’</w:t>
      </w:r>
      <w:r w:rsidRPr="00145271">
        <w:t xml:space="preserve">s philosophical framework. On one hand, it aids humans in making predictions and decisions in the external world, functioning as a science of the macrocosm. On the other hand, in the context of the microcosm, geomancy is considered </w:t>
      </w:r>
      <w:r>
        <w:t>‘</w:t>
      </w:r>
      <w:r w:rsidRPr="00145271">
        <w:t>the science of the intellectual soul,</w:t>
      </w:r>
      <w:r>
        <w:t>’</w:t>
      </w:r>
      <w:r w:rsidRPr="00145271">
        <w:t xml:space="preserve"> emphasi</w:t>
      </w:r>
      <w:r>
        <w:t>s</w:t>
      </w:r>
      <w:r w:rsidRPr="00145271">
        <w:t>ing its role in understanding the inner workings of the human intellect, which is regarded as one of the highest faculties of the human soul. Fludd</w:t>
      </w:r>
      <w:r>
        <w:t>’</w:t>
      </w:r>
      <w:r w:rsidRPr="00145271">
        <w:t>s work thus illustrates how geomancy is intertwined with the quest for self-knowledge and understanding in his metaphysical and philosophical framework.</w:t>
      </w:r>
    </w:p>
    <w:p w14:paraId="0FB35245" w14:textId="43F369D6" w:rsidR="00244FB6" w:rsidRDefault="00244FB6" w:rsidP="00244FB6">
      <w:r>
        <w:t xml:space="preserve">While in the </w:t>
      </w:r>
      <w:r w:rsidRPr="00F86C94">
        <w:rPr>
          <w:i/>
          <w:iCs/>
        </w:rPr>
        <w:t>History of the Macrocosm</w:t>
      </w:r>
      <w:r>
        <w:t xml:space="preserve"> Fludd had explained how to practice geomancy, teaching its rules, procedures, and how to answer various questions, in this second part of his </w:t>
      </w:r>
      <w:r w:rsidR="00553A6A">
        <w:t>magnus opus</w:t>
      </w:r>
      <w:r>
        <w:t xml:space="preserve"> he addresses the relationship between geomantic knowledge and the human soul, and in particular it stresses the importance of the preparation that the geomancer must observe to make his soul ready to receive true knowledge. The treatise on geomancy contained in the History of the Microcosm is entitled </w:t>
      </w:r>
      <w:r w:rsidRPr="005E2374">
        <w:rPr>
          <w:i/>
          <w:iCs/>
        </w:rPr>
        <w:t xml:space="preserve">De animae intellectualis scientia seu Geomantia hominibus appropriata, quorum radii intellectuales extrinsecus, hoc est, circa </w:t>
      </w:r>
      <w:r w:rsidRPr="005E2374">
        <w:rPr>
          <w:i/>
          <w:iCs/>
        </w:rPr>
        <w:lastRenderedPageBreak/>
        <w:t>negotia mundana versantes, &amp; à centro dissipati in centrum recolliguntur</w:t>
      </w:r>
      <w:r>
        <w:t xml:space="preserve"> (</w:t>
      </w:r>
      <w:r w:rsidRPr="00096E26">
        <w:t>On the science of the intellectual soul, or Geomancy, possessed by as being proper to men, whose intellectual rays come from outside, that is, turning about worldly affairs, and having been dispersed from the centre are gathered together into the centre</w:t>
      </w:r>
      <w:r>
        <w:t>) (</w:t>
      </w:r>
      <w:r w:rsidR="00170E9C">
        <w:t>Figure 14</w:t>
      </w:r>
      <w:r>
        <w:t>).</w:t>
      </w:r>
      <w:r>
        <w:rPr>
          <w:rStyle w:val="FootnoteReference"/>
        </w:rPr>
        <w:footnoteReference w:id="437"/>
      </w:r>
      <w:r>
        <w:t xml:space="preserve"> </w:t>
      </w:r>
      <w:r w:rsidRPr="003F6CE2">
        <w:t>The title of this treatise suggests that geomantic knowledge is specific to humans and involves the gathering and concentration of intellectual rays that are externally dispersed but are brought back to the centre.</w:t>
      </w:r>
    </w:p>
    <w:p w14:paraId="6D67E001" w14:textId="29F8D4B5" w:rsidR="00244FB6" w:rsidRDefault="00244FB6" w:rsidP="00244FB6">
      <w:r w:rsidRPr="003F6CE2">
        <w:t>The concept of rays and light holds significance in Fludd</w:t>
      </w:r>
      <w:r>
        <w:t>’</w:t>
      </w:r>
      <w:r w:rsidRPr="003F6CE2">
        <w:t xml:space="preserve">s work and in the broader intellectual context of his time. During the </w:t>
      </w:r>
      <w:r>
        <w:t>sixteenth</w:t>
      </w:r>
      <w:r w:rsidRPr="003F6CE2">
        <w:t xml:space="preserve"> and </w:t>
      </w:r>
      <w:r>
        <w:t>seventeenth</w:t>
      </w:r>
      <w:r w:rsidRPr="003F6CE2">
        <w:t xml:space="preserve"> centuries, there was a growing fascination with the generative and transformative power of light, particularly sunlight and starlight. Alchemical and mystical traditions associated these rays with divine and cosmic forces.</w:t>
      </w:r>
      <w:r>
        <w:t xml:space="preserve"> In John Dee’s theories developed in the 1560s emerges the idea of the </w:t>
      </w:r>
      <w:r w:rsidRPr="00C31900">
        <w:rPr>
          <w:i/>
          <w:iCs/>
        </w:rPr>
        <w:t>magus</w:t>
      </w:r>
      <w:r>
        <w:t xml:space="preserve"> whose intellectual light mirrors not only that of the sun and the stars, but also that of God.</w:t>
      </w:r>
      <w:r>
        <w:rPr>
          <w:rStyle w:val="FootnoteReference"/>
        </w:rPr>
        <w:footnoteReference w:id="438"/>
      </w:r>
      <w:r>
        <w:t xml:space="preserve"> </w:t>
      </w:r>
      <w:r w:rsidRPr="003F6CE2">
        <w:t>In Fludd</w:t>
      </w:r>
      <w:r>
        <w:t>’</w:t>
      </w:r>
      <w:r w:rsidRPr="003F6CE2">
        <w:t>s and Heinrich Khunrath</w:t>
      </w:r>
      <w:r>
        <w:t>’</w:t>
      </w:r>
      <w:r w:rsidRPr="003F6CE2">
        <w:t xml:space="preserve">s thought </w:t>
      </w:r>
      <w:r w:rsidRPr="00555E8C">
        <w:t>(c. 1560 – 1605)</w:t>
      </w:r>
      <w:r w:rsidRPr="003F6CE2">
        <w:t xml:space="preserve">, astral rays are seen as agents of the cosmic soul, known as the </w:t>
      </w:r>
      <w:r w:rsidRPr="003F6CE2">
        <w:rPr>
          <w:i/>
          <w:iCs/>
        </w:rPr>
        <w:t xml:space="preserve">anima </w:t>
      </w:r>
      <w:r w:rsidRPr="002E72CA">
        <w:rPr>
          <w:i/>
          <w:iCs/>
        </w:rPr>
        <w:t>mundi</w:t>
      </w:r>
      <w:r w:rsidRPr="003F6CE2">
        <w:t>.</w:t>
      </w:r>
      <w:r>
        <w:rPr>
          <w:rStyle w:val="FootnoteReference"/>
        </w:rPr>
        <w:footnoteReference w:id="439"/>
      </w:r>
      <w:r>
        <w:t xml:space="preserve"> </w:t>
      </w:r>
      <w:r w:rsidRPr="003F6CE2">
        <w:t xml:space="preserve">This concept has its roots in Neoplatonic philosophy, especially the ideas of emanation and radiation. In this philosophical framework, all existence emanates from a transcendent and self-sufficient source, the One. From the One emanates the Nous (mind), which further emanates the soul and ultimately the sensible world. This process of emanation is likened to rays of light emanating from the </w:t>
      </w:r>
      <w:r>
        <w:t>S</w:t>
      </w:r>
      <w:r w:rsidRPr="003F6CE2">
        <w:t>un</w:t>
      </w:r>
      <w:r>
        <w:t>.</w:t>
      </w:r>
      <w:r>
        <w:rPr>
          <w:rStyle w:val="FootnoteReference"/>
        </w:rPr>
        <w:footnoteReference w:id="440"/>
      </w:r>
      <w:r>
        <w:t xml:space="preserve"> </w:t>
      </w:r>
      <w:r w:rsidRPr="003F6CE2">
        <w:t>Al-Kind</w:t>
      </w:r>
      <w:r w:rsidR="00F86C94">
        <w:t>ī</w:t>
      </w:r>
      <w:r>
        <w:t xml:space="preserve"> </w:t>
      </w:r>
      <w:r w:rsidRPr="00644953">
        <w:t>(c.801-873 AD</w:t>
      </w:r>
      <w:r>
        <w:t>)</w:t>
      </w:r>
      <w:r w:rsidRPr="003F6CE2">
        <w:t xml:space="preserve">, an early Islamic philosopher, extended this concept in his </w:t>
      </w:r>
      <w:r w:rsidRPr="003F6CE2">
        <w:rPr>
          <w:i/>
          <w:iCs/>
        </w:rPr>
        <w:t>De radiis</w:t>
      </w:r>
      <w:r w:rsidRPr="003F6CE2">
        <w:t xml:space="preserve"> (</w:t>
      </w:r>
      <w:r w:rsidRPr="003F6CE2">
        <w:rPr>
          <w:i/>
          <w:iCs/>
        </w:rPr>
        <w:t>Theorica artis magicarum</w:t>
      </w:r>
      <w:r w:rsidRPr="003F6CE2">
        <w:t xml:space="preserve">). He proposed a cosmological theory in which celestial </w:t>
      </w:r>
      <w:r w:rsidRPr="003F6CE2">
        <w:lastRenderedPageBreak/>
        <w:t>bodies, like stars and planets, possess the power to influence events on Earth through the rays they emit. Each celestial body has unique rays that produce distinct effects in the sublunary realm. This theory highlights the idea of universal sympathy, where the world of elements mirrors the celestial world, and every terrestrial entity emits its own rays</w:t>
      </w:r>
      <w:r>
        <w:t>.</w:t>
      </w:r>
      <w:r>
        <w:rPr>
          <w:rStyle w:val="FootnoteReference"/>
        </w:rPr>
        <w:footnoteReference w:id="441"/>
      </w:r>
      <w:r>
        <w:t xml:space="preserve"> </w:t>
      </w:r>
      <w:r w:rsidRPr="009628FD">
        <w:t xml:space="preserve">This emanationist system was prevalent in the medieval period and revived during the Renaissance by thinkers like Marsilio Ficino </w:t>
      </w:r>
      <w:r>
        <w:t>(</w:t>
      </w:r>
      <w:r w:rsidR="002E72CA">
        <w:t>b.</w:t>
      </w:r>
      <w:r>
        <w:t>1433-</w:t>
      </w:r>
      <w:r w:rsidR="002E72CA">
        <w:t>d.</w:t>
      </w:r>
      <w:r>
        <w:t>1499).</w:t>
      </w:r>
      <w:r>
        <w:rPr>
          <w:rStyle w:val="FootnoteReference"/>
        </w:rPr>
        <w:footnoteReference w:id="442"/>
      </w:r>
      <w:r>
        <w:t xml:space="preserve"> Fludd incorporated these ideas into his work, emphasi</w:t>
      </w:r>
      <w:r w:rsidR="00BA2326">
        <w:t>s</w:t>
      </w:r>
      <w:r>
        <w:t>ing the importance of directing the rays of the human soul toward divine knowledge and truth through geomancy. In Fludd’s view, geomancy is a science concerned with harnessing the rays of the human soul and aligning them with the principles of cosmic harmony and divine wisdom, echoing the broader philosophical and mystical discussions of the era.</w:t>
      </w:r>
    </w:p>
    <w:p w14:paraId="45097662" w14:textId="7FC03FC5" w:rsidR="00244FB6" w:rsidRDefault="00244FB6" w:rsidP="00244FB6">
      <w:r>
        <w:t>Fludd distinguishes between different faculties of the human soul, particularly the intellectual soul (</w:t>
      </w:r>
      <w:r w:rsidRPr="00880323">
        <w:rPr>
          <w:i/>
          <w:iCs/>
        </w:rPr>
        <w:t>intellectus</w:t>
      </w:r>
      <w:r>
        <w:t xml:space="preserve"> or </w:t>
      </w:r>
      <w:r w:rsidRPr="00880323">
        <w:rPr>
          <w:i/>
          <w:iCs/>
        </w:rPr>
        <w:t>ratio</w:t>
      </w:r>
      <w:r>
        <w:t xml:space="preserve">) and </w:t>
      </w:r>
      <w:r w:rsidRPr="00880323">
        <w:rPr>
          <w:i/>
          <w:iCs/>
        </w:rPr>
        <w:t>mens</w:t>
      </w:r>
      <w:r w:rsidR="00AE621F">
        <w:t xml:space="preserve"> (mind)</w:t>
      </w:r>
      <w:r>
        <w:t xml:space="preserve">, which is the highest part of the human soul. The intellectual soul is associated with conscious thought and is subordinated to </w:t>
      </w:r>
      <w:r w:rsidRPr="00880323">
        <w:rPr>
          <w:i/>
          <w:iCs/>
        </w:rPr>
        <w:t>mens</w:t>
      </w:r>
      <w:r>
        <w:t xml:space="preserve">, which operates at a deeper, often unconscious level. </w:t>
      </w:r>
      <w:r w:rsidRPr="00880323">
        <w:rPr>
          <w:i/>
          <w:iCs/>
        </w:rPr>
        <w:t>Mens</w:t>
      </w:r>
      <w:r>
        <w:t xml:space="preserve"> represents the highest realm of human consciousness and its connection to divine knowledge. Fludd presents a hierarchical model of the human soul’s faculties, each with distinct functions.</w:t>
      </w:r>
      <w:r w:rsidRPr="0078242A">
        <w:t xml:space="preserve"> </w:t>
      </w:r>
      <w:r>
        <w:t>T</w:t>
      </w:r>
      <w:r w:rsidRPr="0078242A">
        <w:t>o elucidate the organi</w:t>
      </w:r>
      <w:r>
        <w:t>s</w:t>
      </w:r>
      <w:r w:rsidRPr="0078242A">
        <w:t xml:space="preserve">ation of human faculties, Fludd employs the metaphor of </w:t>
      </w:r>
      <w:r>
        <w:t>‘</w:t>
      </w:r>
      <w:r w:rsidRPr="0078242A">
        <w:t>The spiritual brain</w:t>
      </w:r>
      <w:r>
        <w:t>’</w:t>
      </w:r>
      <w:r w:rsidRPr="0078242A">
        <w:t xml:space="preserve">: the anterior ventricle of the brain houses the sensitive soul and imaginative soul, with their respective domains directed toward the sensory world and the world of imagination. The intermediate ventricle accommodates the cogitative and estimative soul, coexisting with the higher faculties of </w:t>
      </w:r>
      <w:r w:rsidRPr="0078242A">
        <w:rPr>
          <w:i/>
          <w:iCs/>
        </w:rPr>
        <w:t>ratio</w:t>
      </w:r>
      <w:r w:rsidRPr="0078242A">
        <w:t xml:space="preserve">, </w:t>
      </w:r>
      <w:r w:rsidRPr="0078242A">
        <w:rPr>
          <w:i/>
          <w:iCs/>
        </w:rPr>
        <w:t>intellectus</w:t>
      </w:r>
      <w:r w:rsidRPr="0078242A">
        <w:t xml:space="preserve">, and </w:t>
      </w:r>
      <w:r w:rsidRPr="0078242A">
        <w:rPr>
          <w:i/>
          <w:iCs/>
        </w:rPr>
        <w:t>mens</w:t>
      </w:r>
      <w:r w:rsidRPr="0078242A">
        <w:t>, which facilitate man</w:t>
      </w:r>
      <w:r>
        <w:t>’</w:t>
      </w:r>
      <w:r w:rsidRPr="0078242A">
        <w:t xml:space="preserve">s access to the realm of the intelligible, where God and angelic hierarchies reside. </w:t>
      </w:r>
      <w:r w:rsidR="00B5623A">
        <w:t>T</w:t>
      </w:r>
      <w:r w:rsidRPr="0078242A">
        <w:t xml:space="preserve">he </w:t>
      </w:r>
      <w:r>
        <w:t>‘</w:t>
      </w:r>
      <w:r w:rsidRPr="0078242A">
        <w:t>mind</w:t>
      </w:r>
      <w:r w:rsidR="00B5623A">
        <w:t>,</w:t>
      </w:r>
      <w:r>
        <w:t>’</w:t>
      </w:r>
      <w:r w:rsidRPr="0078242A">
        <w:t xml:space="preserve"> represent</w:t>
      </w:r>
      <w:r w:rsidR="00B5623A">
        <w:t>ing</w:t>
      </w:r>
      <w:r w:rsidRPr="0078242A">
        <w:t xml:space="preserve"> the </w:t>
      </w:r>
      <w:r w:rsidRPr="0078242A">
        <w:lastRenderedPageBreak/>
        <w:t>pinnacle of human soul faculties, shar</w:t>
      </w:r>
      <w:r w:rsidR="00B5623A">
        <w:t>ed</w:t>
      </w:r>
      <w:r w:rsidRPr="0078242A">
        <w:t xml:space="preserve"> an essential nature with the divine mind, endowing it with the capacity to mirror divine actions, albeit on a smaller scale. Lastly, the posterior ventricle encompasses the faculties of memory and motion</w:t>
      </w:r>
      <w:r>
        <w:t>.</w:t>
      </w:r>
      <w:r>
        <w:rPr>
          <w:rStyle w:val="FootnoteReference"/>
        </w:rPr>
        <w:footnoteReference w:id="443"/>
      </w:r>
      <w:r>
        <w:t xml:space="preserve"> </w:t>
      </w:r>
      <w:r w:rsidRPr="0078242A">
        <w:t>According to Fludd, geomancy acts as a means for the human mind</w:t>
      </w:r>
      <w:r w:rsidR="00B5623A">
        <w:t xml:space="preserve"> – </w:t>
      </w:r>
      <w:r w:rsidRPr="0078242A">
        <w:t xml:space="preserve"> through its various faculties</w:t>
      </w:r>
      <w:r w:rsidR="00B5623A">
        <w:t xml:space="preserve">, </w:t>
      </w:r>
      <w:r w:rsidRPr="0078242A">
        <w:t>including intellec</w:t>
      </w:r>
      <w:r>
        <w:t>t</w:t>
      </w:r>
      <w:r w:rsidRPr="0078242A">
        <w:t>, imagination, and senses</w:t>
      </w:r>
      <w:r w:rsidR="00B5623A">
        <w:t xml:space="preserve"> –</w:t>
      </w:r>
      <w:r w:rsidRPr="0078242A">
        <w:t xml:space="preserve"> to deploy its divine virtue. This deployment is </w:t>
      </w:r>
      <w:r w:rsidR="00EE30A4">
        <w:t>similar</w:t>
      </w:r>
      <w:r w:rsidRPr="0078242A">
        <w:t xml:space="preserve"> to the operation of prophecy, though geomantic knowledge is considered </w:t>
      </w:r>
      <w:r>
        <w:t>less</w:t>
      </w:r>
      <w:r w:rsidRPr="0078242A">
        <w:t xml:space="preserve"> direct and </w:t>
      </w:r>
      <w:r>
        <w:t xml:space="preserve">thus also less </w:t>
      </w:r>
      <w:r w:rsidRPr="0078242A">
        <w:t>potent</w:t>
      </w:r>
      <w:r>
        <w:t>:</w:t>
      </w:r>
    </w:p>
    <w:p w14:paraId="170F565C" w14:textId="77777777" w:rsidR="00244FB6" w:rsidRDefault="00244FB6" w:rsidP="00244FB6"/>
    <w:p w14:paraId="4270C936" w14:textId="02DE2EB2" w:rsidR="00244FB6" w:rsidRDefault="00244FB6" w:rsidP="00244FB6">
      <w:pPr>
        <w:ind w:left="567" w:firstLine="0"/>
      </w:pPr>
      <w:r w:rsidRPr="00D22E4D">
        <w:rPr>
          <w:sz w:val="20"/>
          <w:szCs w:val="20"/>
        </w:rPr>
        <w:t xml:space="preserve">Therefore, this knowledge is divine, since it enables one to divine. It is close to prophecy, since through it the mind performs with its own power, albeit weakly, what it </w:t>
      </w:r>
      <w:r w:rsidRPr="00FB21C4">
        <w:rPr>
          <w:sz w:val="20"/>
          <w:szCs w:val="20"/>
        </w:rPr>
        <w:t xml:space="preserve">usually performs </w:t>
      </w:r>
      <w:r>
        <w:rPr>
          <w:sz w:val="20"/>
          <w:szCs w:val="20"/>
        </w:rPr>
        <w:t xml:space="preserve">the other (prophecy) - </w:t>
      </w:r>
      <w:r w:rsidRPr="00D22E4D">
        <w:rPr>
          <w:sz w:val="20"/>
          <w:szCs w:val="20"/>
        </w:rPr>
        <w:t>but more powerfully and openly because of the multitude of higher rays united at the same time</w:t>
      </w:r>
      <w:r>
        <w:rPr>
          <w:sz w:val="20"/>
          <w:szCs w:val="20"/>
        </w:rPr>
        <w:t xml:space="preserve"> -</w:t>
      </w:r>
      <w:r w:rsidRPr="00D22E4D">
        <w:rPr>
          <w:sz w:val="20"/>
          <w:szCs w:val="20"/>
        </w:rPr>
        <w:t xml:space="preserve"> united and conjoined with the divine mind.</w:t>
      </w:r>
      <w:r>
        <w:rPr>
          <w:sz w:val="20"/>
          <w:szCs w:val="20"/>
        </w:rPr>
        <w:t xml:space="preserve"> </w:t>
      </w:r>
      <w:r w:rsidRPr="002C4D4D">
        <w:rPr>
          <w:sz w:val="20"/>
          <w:szCs w:val="20"/>
        </w:rPr>
        <w:t xml:space="preserve">And therefore, having considered them in due manner, we see that the human mind is of the same essence as the divine mind, since it tends to perform the same </w:t>
      </w:r>
      <w:r>
        <w:rPr>
          <w:sz w:val="20"/>
          <w:szCs w:val="20"/>
        </w:rPr>
        <w:t>with</w:t>
      </w:r>
      <w:r w:rsidRPr="002C4D4D">
        <w:rPr>
          <w:sz w:val="20"/>
          <w:szCs w:val="20"/>
        </w:rPr>
        <w:t xml:space="preserve"> a lesser power as it</w:t>
      </w:r>
      <w:r>
        <w:rPr>
          <w:sz w:val="20"/>
          <w:szCs w:val="20"/>
        </w:rPr>
        <w:t xml:space="preserve"> (the divine mind)</w:t>
      </w:r>
      <w:r w:rsidRPr="002C4D4D">
        <w:rPr>
          <w:sz w:val="20"/>
          <w:szCs w:val="20"/>
        </w:rPr>
        <w:t xml:space="preserve"> performs in a greater: for a greater power produces a greater effect, and consequently a </w:t>
      </w:r>
      <w:r>
        <w:rPr>
          <w:sz w:val="20"/>
          <w:szCs w:val="20"/>
        </w:rPr>
        <w:t>weaker (power) a smaller (effect)</w:t>
      </w:r>
      <w:r>
        <w:t>.</w:t>
      </w:r>
      <w:r>
        <w:rPr>
          <w:rStyle w:val="FootnoteReference"/>
        </w:rPr>
        <w:footnoteReference w:id="444"/>
      </w:r>
    </w:p>
    <w:p w14:paraId="0E2193E6" w14:textId="77777777" w:rsidR="00B87B45" w:rsidRPr="002C4D4D" w:rsidRDefault="00B87B45" w:rsidP="00244FB6">
      <w:pPr>
        <w:ind w:left="567" w:firstLine="0"/>
        <w:rPr>
          <w:sz w:val="20"/>
          <w:szCs w:val="20"/>
        </w:rPr>
      </w:pPr>
    </w:p>
    <w:p w14:paraId="7BE3E286" w14:textId="0B95A4A1" w:rsidR="00244FB6" w:rsidRDefault="00244FB6" w:rsidP="00244FB6">
      <w:r>
        <w:t xml:space="preserve">The first chapter of Fludd’s geomantic treatise in the History of the Microcosm, entitled </w:t>
      </w:r>
      <w:r w:rsidRPr="00985877">
        <w:rPr>
          <w:i/>
          <w:iCs/>
        </w:rPr>
        <w:t>Quos scientia geomantica sit verus animae intellectualis actus</w:t>
      </w:r>
      <w:r>
        <w:t xml:space="preserve"> (That geomantic knowledge is the true act of the intellectual soul),</w:t>
      </w:r>
      <w:r w:rsidRPr="00277222">
        <w:t xml:space="preserve"> confronts the occult nature of geomancy</w:t>
      </w:r>
      <w:r>
        <w:t>.</w:t>
      </w:r>
      <w:r w:rsidRPr="00277222">
        <w:t xml:space="preserve"> Fludd acknowledges the inherent challenge of elucidating this intricate science, thereby leading the uninformed to brand geomancy as a frivolous and </w:t>
      </w:r>
      <w:r>
        <w:t>foolish</w:t>
      </w:r>
      <w:r w:rsidRPr="00277222">
        <w:t xml:space="preserve"> practice</w:t>
      </w:r>
      <w:r w:rsidRPr="002E1D8E">
        <w:t>.</w:t>
      </w:r>
      <w:r>
        <w:t xml:space="preserve"> </w:t>
      </w:r>
      <w:r w:rsidRPr="00277222">
        <w:t xml:space="preserve">This misperception arises from </w:t>
      </w:r>
      <w:r>
        <w:t>‘</w:t>
      </w:r>
      <w:r w:rsidRPr="00277222">
        <w:t xml:space="preserve">inability to </w:t>
      </w:r>
      <w:r>
        <w:t>grasp</w:t>
      </w:r>
      <w:r w:rsidRPr="00277222">
        <w:t xml:space="preserve"> the elevated rationality underpinning the actions of </w:t>
      </w:r>
      <w:r>
        <w:t>the mind</w:t>
      </w:r>
      <w:r w:rsidRPr="00277222">
        <w:t xml:space="preserve">, the latent facet of the human soul. To clarify the connection between intellect </w:t>
      </w:r>
      <w:r w:rsidRPr="00277222">
        <w:lastRenderedPageBreak/>
        <w:t>and mind, Fludd employs a metaphor involving a servant entrusted with a sum of money by his master for transport to the city. The servant, in this analogy, remains unaware of his master</w:t>
      </w:r>
      <w:r>
        <w:t>’</w:t>
      </w:r>
      <w:r w:rsidRPr="00277222">
        <w:t xml:space="preserve">s purpose for the money, for that intent resides concealed within the </w:t>
      </w:r>
      <w:r w:rsidR="0057003C" w:rsidRPr="00277222">
        <w:t>master’s</w:t>
      </w:r>
      <w:r w:rsidRPr="00277222">
        <w:t xml:space="preserve"> mind.</w:t>
      </w:r>
      <w:r>
        <w:rPr>
          <w:rStyle w:val="FootnoteReference"/>
        </w:rPr>
        <w:footnoteReference w:id="445"/>
      </w:r>
      <w:r>
        <w:t xml:space="preserve"> </w:t>
      </w:r>
      <w:r w:rsidRPr="001B1188">
        <w:t xml:space="preserve">Similarly, in geomantic practice, intellect and reason direct imagination to convey the impressions of </w:t>
      </w:r>
      <w:r>
        <w:t xml:space="preserve">the </w:t>
      </w:r>
      <w:r w:rsidRPr="001B1188">
        <w:t xml:space="preserve">mind, yet they remain ignorant of </w:t>
      </w:r>
      <w:r>
        <w:t xml:space="preserve">the </w:t>
      </w:r>
      <w:r w:rsidRPr="001B1188">
        <w:t>mind</w:t>
      </w:r>
      <w:r>
        <w:t>’</w:t>
      </w:r>
      <w:r w:rsidRPr="001B1188">
        <w:t>s</w:t>
      </w:r>
      <w:r>
        <w:t xml:space="preserve"> </w:t>
      </w:r>
      <w:r w:rsidRPr="001B1188">
        <w:t>intentions, akin to how the servant, cart, or horses in the metaphor cannot perceive the master</w:t>
      </w:r>
      <w:r>
        <w:t>’</w:t>
      </w:r>
      <w:r w:rsidRPr="001B1188">
        <w:t>s concealed will. While intellect</w:t>
      </w:r>
      <w:r>
        <w:t>’</w:t>
      </w:r>
      <w:r w:rsidRPr="001B1188">
        <w:t>s speculations may be more accurate than imagination and the senses, geomancy</w:t>
      </w:r>
      <w:r>
        <w:t>’</w:t>
      </w:r>
      <w:r w:rsidRPr="001B1188">
        <w:t>s workings, much like those of the mind, elude complete understanding</w:t>
      </w:r>
      <w:r>
        <w:t>.</w:t>
      </w:r>
      <w:r>
        <w:rPr>
          <w:rStyle w:val="FootnoteReference"/>
        </w:rPr>
        <w:footnoteReference w:id="446"/>
      </w:r>
      <w:r>
        <w:t xml:space="preserve"> Another factor contributes to the inaccessibility of understanding the reason behind the functioning of geomancy as well as that of the mind – this is the fact that humans are always hindered by corporeity.</w:t>
      </w:r>
      <w:r w:rsidRPr="00182031">
        <w:t xml:space="preserve"> Unencumbered by the body</w:t>
      </w:r>
      <w:r w:rsidR="001E5E65">
        <w:t>’</w:t>
      </w:r>
      <w:r w:rsidRPr="00182031">
        <w:t>s hindrances, the human mind, free from the obscurities and allurements of the senses, can manifest its prophetic influence, effecting marvels independently, without reliance on divine intervention</w:t>
      </w:r>
      <w:r>
        <w:t>:</w:t>
      </w:r>
    </w:p>
    <w:p w14:paraId="70761A93" w14:textId="77777777" w:rsidR="00244FB6" w:rsidRDefault="00244FB6" w:rsidP="00244FB6"/>
    <w:p w14:paraId="7DE668D1" w14:textId="77777777" w:rsidR="00244FB6" w:rsidRPr="00EC10D9" w:rsidRDefault="00244FB6" w:rsidP="00244FB6">
      <w:pPr>
        <w:ind w:left="567" w:firstLine="0"/>
        <w:rPr>
          <w:sz w:val="20"/>
          <w:szCs w:val="20"/>
        </w:rPr>
      </w:pPr>
      <w:r w:rsidRPr="00EC10D9">
        <w:rPr>
          <w:sz w:val="20"/>
          <w:szCs w:val="20"/>
        </w:rPr>
        <w:t>Therefore, the mind in man by itself, without the addition of divine rays, if only it is preserved from the harm of the body and the flesh and is not obscured by darkness or affected by the allurement of the senses, can pour out its prophetic power into a sensible effect and perform miracles, the effect of which is no more possible to account for than it is possible to recogni</w:t>
      </w:r>
      <w:r>
        <w:rPr>
          <w:sz w:val="20"/>
          <w:szCs w:val="20"/>
        </w:rPr>
        <w:t>s</w:t>
      </w:r>
      <w:r w:rsidRPr="00EC10D9">
        <w:rPr>
          <w:sz w:val="20"/>
          <w:szCs w:val="20"/>
        </w:rPr>
        <w:t>e the nature of prophecy itself.</w:t>
      </w:r>
      <w:r w:rsidRPr="00EC10D9">
        <w:rPr>
          <w:rStyle w:val="FootnoteReference"/>
        </w:rPr>
        <w:footnoteReference w:id="447"/>
      </w:r>
      <w:r w:rsidRPr="00EC10D9">
        <w:t xml:space="preserve"> </w:t>
      </w:r>
    </w:p>
    <w:p w14:paraId="0B501E07" w14:textId="77777777" w:rsidR="00244FB6" w:rsidRDefault="00244FB6" w:rsidP="00244FB6"/>
    <w:p w14:paraId="1B9CAF03" w14:textId="4B1C794E" w:rsidR="00244FB6" w:rsidRDefault="00EE30A4" w:rsidP="00244FB6">
      <w:pPr>
        <w:ind w:firstLine="0"/>
      </w:pPr>
      <w:r>
        <w:t>Mirroring the medieval tradition</w:t>
      </w:r>
      <w:r w:rsidR="00244FB6" w:rsidRPr="00830350">
        <w:t xml:space="preserve">, </w:t>
      </w:r>
      <w:r w:rsidR="00166206">
        <w:t>Fludd’s</w:t>
      </w:r>
      <w:r w:rsidR="00244FB6" w:rsidRPr="00830350">
        <w:t xml:space="preserve"> text provides geomancers with detailed guidance on the purification of their souls, a process integral to achieving the requisite disposition for acquiring prophetic knowledge. This notion of geomancy as a lesser form of prophecy, to be accessed through human effort rather than exclusive divine revelation, draws interesting parallels to the perspective on geomancy previously conveyed by Ibn </w:t>
      </w:r>
      <w:r w:rsidR="00B95CDD">
        <w:t>Khaldūn</w:t>
      </w:r>
      <w:r w:rsidR="00244FB6" w:rsidRPr="00830350">
        <w:t xml:space="preserve">. The common thread running through these distinct accounts reflects </w:t>
      </w:r>
      <w:r w:rsidR="00A654F9">
        <w:t>the</w:t>
      </w:r>
      <w:r w:rsidR="00244FB6" w:rsidRPr="00830350">
        <w:t xml:space="preserve"> belief</w:t>
      </w:r>
      <w:r w:rsidR="00244FB6">
        <w:t xml:space="preserve"> – criticised by Ibn </w:t>
      </w:r>
      <w:r w:rsidR="00B95CDD">
        <w:t>Khaldūn</w:t>
      </w:r>
      <w:r w:rsidR="00244FB6">
        <w:t xml:space="preserve"> –</w:t>
      </w:r>
      <w:r w:rsidR="00244FB6" w:rsidRPr="00830350">
        <w:t xml:space="preserve"> in geomancy</w:t>
      </w:r>
      <w:r w:rsidR="00244FB6">
        <w:t>’</w:t>
      </w:r>
      <w:r w:rsidR="00244FB6" w:rsidRPr="00830350">
        <w:t xml:space="preserve">s potential to unlock higher forms of knowledge, akin to prophetic insights, made attainable through </w:t>
      </w:r>
      <w:r w:rsidR="00244FB6">
        <w:t xml:space="preserve">specific practices </w:t>
      </w:r>
      <w:r w:rsidR="00244FB6" w:rsidRPr="00830350">
        <w:t>and spiritual preparation</w:t>
      </w:r>
      <w:r w:rsidR="00244FB6">
        <w:t>.</w:t>
      </w:r>
      <w:r w:rsidR="00244FB6">
        <w:rPr>
          <w:rStyle w:val="FootnoteReference"/>
        </w:rPr>
        <w:footnoteReference w:id="448"/>
      </w:r>
    </w:p>
    <w:p w14:paraId="64F2CFF8" w14:textId="6E9D7DA5" w:rsidR="00244FB6" w:rsidRDefault="00244FB6" w:rsidP="00244FB6">
      <w:r w:rsidRPr="00C74388">
        <w:t>Fludd emphasi</w:t>
      </w:r>
      <w:r>
        <w:t>s</w:t>
      </w:r>
      <w:r w:rsidRPr="00C74388">
        <w:t xml:space="preserve">es the profound significance of the </w:t>
      </w:r>
      <w:r w:rsidR="002F2BE4">
        <w:t>points</w:t>
      </w:r>
      <w:r w:rsidRPr="00C74388">
        <w:t xml:space="preserve"> created by the geomancer</w:t>
      </w:r>
      <w:r>
        <w:t>’</w:t>
      </w:r>
      <w:r w:rsidRPr="00C74388">
        <w:t xml:space="preserve">s hand, attributing them to the disposition of the mind. These </w:t>
      </w:r>
      <w:r w:rsidR="002F2BE4">
        <w:t>points</w:t>
      </w:r>
      <w:r w:rsidRPr="00C74388">
        <w:t xml:space="preserve">, he contends, contain hidden </w:t>
      </w:r>
      <w:r>
        <w:t>meanings</w:t>
      </w:r>
      <w:r w:rsidRPr="00C74388">
        <w:t>, representing not only the twelve zodiac signs, seven planets, and four elements but also concealing a message from the soul.</w:t>
      </w:r>
      <w:r>
        <w:t xml:space="preserve"> </w:t>
      </w:r>
      <w:r w:rsidRPr="00C74388">
        <w:t>The macrocosmic medium through which this message descends from the mind to humans is ether, working in conjunction with the four natural elements. Consequently, the hand</w:t>
      </w:r>
      <w:r>
        <w:t>’</w:t>
      </w:r>
      <w:r w:rsidRPr="00C74388">
        <w:t>s movement during geomantic practice is not arbitrary; it is an expression of the soul</w:t>
      </w:r>
      <w:r>
        <w:t>’</w:t>
      </w:r>
      <w:r w:rsidRPr="00C74388">
        <w:t>s essence and acts independently, barring interference from bodily and sensory distractions</w:t>
      </w:r>
      <w:r>
        <w:t>:</w:t>
      </w:r>
    </w:p>
    <w:p w14:paraId="52213AAE" w14:textId="77777777" w:rsidR="00244FB6" w:rsidRPr="00846873" w:rsidRDefault="00244FB6" w:rsidP="00244FB6">
      <w:pPr>
        <w:ind w:left="567"/>
        <w:rPr>
          <w:sz w:val="20"/>
          <w:szCs w:val="20"/>
        </w:rPr>
      </w:pPr>
    </w:p>
    <w:p w14:paraId="5FD4FA07" w14:textId="2A54661D" w:rsidR="00244FB6" w:rsidRDefault="00244FB6" w:rsidP="00244FB6">
      <w:pPr>
        <w:ind w:left="567" w:firstLine="0"/>
      </w:pPr>
      <w:r w:rsidRPr="00846873">
        <w:rPr>
          <w:sz w:val="20"/>
          <w:szCs w:val="20"/>
        </w:rPr>
        <w:t>Many things, however, are hidden under the multitude of points: namely, the prediction of the soul itself, carried by the ethereal and elemental vehicles of the Microcosm, in so far as the twelve signs, the seven planets, and the four elements, and their virtues are hidden under such points. For as the mind and intellect in man could not descend without the aforesaid vehicles of the Macrocosm, so also nothing real and essential proceeds from the mind, as from its origin, unless it passes through these means. Therefore</w:t>
      </w:r>
      <w:r w:rsidR="0057003C">
        <w:rPr>
          <w:sz w:val="20"/>
          <w:szCs w:val="20"/>
        </w:rPr>
        <w:t>,</w:t>
      </w:r>
      <w:r w:rsidRPr="00846873">
        <w:rPr>
          <w:sz w:val="20"/>
          <w:szCs w:val="20"/>
        </w:rPr>
        <w:t xml:space="preserve"> this movement is not accidental, insofar as it proceeds from the human soul, which is the complete essence of man, and acts essentially and by itself, unless it is hindered by the accidents of the flesh and the senses</w:t>
      </w:r>
      <w:r w:rsidRPr="00846873">
        <w:t>.</w:t>
      </w:r>
      <w:r>
        <w:rPr>
          <w:rStyle w:val="FootnoteReference"/>
        </w:rPr>
        <w:footnoteReference w:id="449"/>
      </w:r>
      <w:r>
        <w:t xml:space="preserve"> </w:t>
      </w:r>
    </w:p>
    <w:p w14:paraId="0888D010" w14:textId="77777777" w:rsidR="00244FB6" w:rsidRDefault="00244FB6" w:rsidP="00244FB6"/>
    <w:p w14:paraId="03A2B069" w14:textId="77777777" w:rsidR="00244FB6" w:rsidRDefault="00244FB6" w:rsidP="00244FB6">
      <w:pPr>
        <w:ind w:firstLine="0"/>
      </w:pPr>
      <w:r w:rsidRPr="00315A28">
        <w:t>Addressing concerns of impurity in the flesh, Fludd acknowledges that, indeed, the impurity of the body can obstruct the motion of the mind</w:t>
      </w:r>
      <w:r>
        <w:t>’</w:t>
      </w:r>
      <w:r w:rsidRPr="00315A28">
        <w:t>s rays, diminishing the effectiveness of its influence. To illustrate, he employs the metaphor of light rays obstructed by clouds, rendering them unable to reach their intended destination. Similarly, he likens the body</w:t>
      </w:r>
      <w:r>
        <w:t>’</w:t>
      </w:r>
      <w:r w:rsidRPr="00315A28">
        <w:t xml:space="preserve">s strength and the flesh to </w:t>
      </w:r>
      <w:r>
        <w:t>‘</w:t>
      </w:r>
      <w:r w:rsidRPr="00315A28">
        <w:t>artificial clouds of matter</w:t>
      </w:r>
      <w:r>
        <w:t>’</w:t>
      </w:r>
      <w:r w:rsidRPr="00315A28">
        <w:t xml:space="preserve"> that impede the rays of the mind. Therefore, Fludd underscores the importance of purifying the body through acts of abstinence, aligning the mind</w:t>
      </w:r>
      <w:r>
        <w:t>’</w:t>
      </w:r>
      <w:r w:rsidRPr="00315A28">
        <w:t>s rays towards a central focal point, which is the unity of the mind itself</w:t>
      </w:r>
      <w:r w:rsidRPr="00DE4DD8">
        <w:t>.</w:t>
      </w:r>
      <w:r>
        <w:rPr>
          <w:rStyle w:val="FootnoteReference"/>
        </w:rPr>
        <w:footnoteReference w:id="450"/>
      </w:r>
      <w:r>
        <w:t xml:space="preserve"> </w:t>
      </w:r>
    </w:p>
    <w:p w14:paraId="13566146" w14:textId="6D49266F" w:rsidR="00244FB6" w:rsidRDefault="00244FB6" w:rsidP="00244FB6">
      <w:r w:rsidRPr="00BA5B72">
        <w:t xml:space="preserve">In the third chapter of the </w:t>
      </w:r>
      <w:r w:rsidRPr="00BA5B72">
        <w:rPr>
          <w:i/>
          <w:iCs/>
        </w:rPr>
        <w:t>De animae intellectualis scientia seu Geomantia</w:t>
      </w:r>
      <w:r w:rsidRPr="00BA5B72">
        <w:t xml:space="preserve">, Fludd delves into the practical aspects of </w:t>
      </w:r>
      <w:r w:rsidR="00525A70">
        <w:t>the preparation that the</w:t>
      </w:r>
      <w:r w:rsidRPr="00BA5B72">
        <w:t xml:space="preserve"> geomantic practitioner, or </w:t>
      </w:r>
      <w:r w:rsidRPr="00BA5B72">
        <w:rPr>
          <w:i/>
          <w:iCs/>
        </w:rPr>
        <w:t>homo geomanticus</w:t>
      </w:r>
      <w:r w:rsidR="00525A70">
        <w:t xml:space="preserve">, must follow </w:t>
      </w:r>
      <w:r w:rsidRPr="00BA5B72">
        <w:t xml:space="preserve">to ensure the clear </w:t>
      </w:r>
      <w:r w:rsidR="00445EAF" w:rsidRPr="00BA5B72">
        <w:t>emanation</w:t>
      </w:r>
      <w:r w:rsidRPr="00BA5B72">
        <w:t xml:space="preserve"> of their mind</w:t>
      </w:r>
      <w:r>
        <w:t>’</w:t>
      </w:r>
      <w:r w:rsidRPr="00BA5B72">
        <w:t>s intentions</w:t>
      </w:r>
      <w:r>
        <w:t>.</w:t>
      </w:r>
      <w:r>
        <w:rPr>
          <w:rStyle w:val="FootnoteReference"/>
        </w:rPr>
        <w:footnoteReference w:id="451"/>
      </w:r>
      <w:r>
        <w:t xml:space="preserve"> </w:t>
      </w:r>
      <w:r w:rsidRPr="002C2DFA">
        <w:t>He emphasi</w:t>
      </w:r>
      <w:r>
        <w:t>s</w:t>
      </w:r>
      <w:r w:rsidRPr="002C2DFA">
        <w:t>es that the practice of geomancy relies on the body</w:t>
      </w:r>
      <w:r>
        <w:t>’</w:t>
      </w:r>
      <w:r w:rsidRPr="002C2DFA">
        <w:t xml:space="preserve">s cooperation, particularly the senses and the faculty of imagination, to interpret the </w:t>
      </w:r>
      <w:r>
        <w:t>set of geomantic figures inserted in the chart</w:t>
      </w:r>
      <w:r w:rsidRPr="002C2DFA">
        <w:t>. Therefore, it is vital to regulate and govern the human body so that the more intellectual aspect of the mind is not overwhelmed by physical indulgence, and the imaginative spirit remains sharp and unblemished. The initial step in this preparation involves purifying the imaginative spirit, making it a suitable vessel for the guidance of the mind and intellect. A pure spirit is receptive to the mind</w:t>
      </w:r>
      <w:r>
        <w:t>’</w:t>
      </w:r>
      <w:r w:rsidRPr="002C2DFA">
        <w:t>s rays without obstruction, accurately reflecting its objects like a mirror. Such alignment ensures that bodily sensations and movements align precisely with the mind</w:t>
      </w:r>
      <w:r>
        <w:t>’</w:t>
      </w:r>
      <w:r w:rsidRPr="002C2DFA">
        <w:t>s intentions</w:t>
      </w:r>
      <w:r w:rsidRPr="00097D86">
        <w:t>.</w:t>
      </w:r>
      <w:r>
        <w:rPr>
          <w:rStyle w:val="FootnoteReference"/>
        </w:rPr>
        <w:footnoteReference w:id="452"/>
      </w:r>
      <w:r>
        <w:t xml:space="preserve"> To approach prophetic knowledge, therefore, the spirit must be pure and calm. To this state contribute religious meditation, moderate diet, a balanced temperament, as well as not being bothered by poverty, hunger, vices or diseases.</w:t>
      </w:r>
      <w:r>
        <w:rPr>
          <w:rStyle w:val="FootnoteReference"/>
        </w:rPr>
        <w:footnoteReference w:id="453"/>
      </w:r>
      <w:r w:rsidRPr="0020528E">
        <w:t xml:space="preserve"> These disruptive elements have the potential to disturb the diviner</w:t>
      </w:r>
      <w:r>
        <w:t>’</w:t>
      </w:r>
      <w:r w:rsidRPr="0020528E">
        <w:t>s spirit, causing refraction of the mind</w:t>
      </w:r>
      <w:r>
        <w:t>’</w:t>
      </w:r>
      <w:r w:rsidRPr="0020528E">
        <w:t xml:space="preserve">s rays and resulting in the presentation of falsities instead of truth. Fludd advises those interested in practicing geomancy to consider abstaining from food for a day or even three days. This practice is inspired by the examples of </w:t>
      </w:r>
      <w:r>
        <w:t>religious</w:t>
      </w:r>
      <w:r w:rsidRPr="0020528E">
        <w:t xml:space="preserve"> figures like Ezra the Priest, </w:t>
      </w:r>
      <w:r>
        <w:t>the p</w:t>
      </w:r>
      <w:r w:rsidRPr="0020528E">
        <w:t>rophet Daniel, and Moses, who, before approaching God, observed periods of fasting and purification.</w:t>
      </w:r>
      <w:r w:rsidRPr="0020528E">
        <w:rPr>
          <w:rStyle w:val="FootnoteReference"/>
        </w:rPr>
        <w:t xml:space="preserve"> </w:t>
      </w:r>
      <w:r>
        <w:rPr>
          <w:rStyle w:val="FootnoteReference"/>
        </w:rPr>
        <w:footnoteReference w:id="454"/>
      </w:r>
      <w:r w:rsidRPr="0020528E">
        <w:t xml:space="preserve"> In Fludd</w:t>
      </w:r>
      <w:r>
        <w:t>’</w:t>
      </w:r>
      <w:r w:rsidRPr="0020528E">
        <w:t xml:space="preserve">s </w:t>
      </w:r>
      <w:r>
        <w:t>thought</w:t>
      </w:r>
      <w:r w:rsidRPr="0020528E">
        <w:t xml:space="preserve">, this spiritual and physical cleansing process </w:t>
      </w:r>
      <w:r>
        <w:t>thus assume</w:t>
      </w:r>
      <w:r w:rsidRPr="0020528E">
        <w:t xml:space="preserve"> paramount importance for geomantic practice</w:t>
      </w:r>
      <w:r>
        <w:t xml:space="preserve">: </w:t>
      </w:r>
    </w:p>
    <w:p w14:paraId="73DE6596" w14:textId="77777777" w:rsidR="00244FB6" w:rsidRDefault="00244FB6" w:rsidP="00244FB6"/>
    <w:p w14:paraId="35EC1D4F" w14:textId="77777777" w:rsidR="00244FB6" w:rsidRPr="00300C8A" w:rsidRDefault="00244FB6" w:rsidP="00244FB6">
      <w:pPr>
        <w:ind w:left="567" w:firstLine="0"/>
        <w:rPr>
          <w:sz w:val="20"/>
          <w:szCs w:val="20"/>
        </w:rPr>
      </w:pPr>
      <w:r w:rsidRPr="00300C8A">
        <w:rPr>
          <w:sz w:val="20"/>
          <w:szCs w:val="20"/>
        </w:rPr>
        <w:t>It is necessary that he who desires to devote himself faithfully to this form of divination</w:t>
      </w:r>
      <w:r>
        <w:rPr>
          <w:sz w:val="20"/>
          <w:szCs w:val="20"/>
        </w:rPr>
        <w:t xml:space="preserve"> (i.e. geomancy)</w:t>
      </w:r>
      <w:r w:rsidRPr="00300C8A">
        <w:rPr>
          <w:sz w:val="20"/>
          <w:szCs w:val="20"/>
        </w:rPr>
        <w:t>, should be delighted not with carnal intercourse, but with spiritual union, not with wine, but with the light of the mind</w:t>
      </w:r>
      <w:r>
        <w:rPr>
          <w:sz w:val="20"/>
          <w:szCs w:val="20"/>
        </w:rPr>
        <w:t>’</w:t>
      </w:r>
      <w:r w:rsidRPr="00300C8A">
        <w:rPr>
          <w:sz w:val="20"/>
          <w:szCs w:val="20"/>
        </w:rPr>
        <w:t xml:space="preserve">s </w:t>
      </w:r>
      <w:r>
        <w:rPr>
          <w:sz w:val="20"/>
          <w:szCs w:val="20"/>
        </w:rPr>
        <w:t>fluid</w:t>
      </w:r>
      <w:r w:rsidRPr="00300C8A">
        <w:rPr>
          <w:sz w:val="20"/>
          <w:szCs w:val="20"/>
        </w:rPr>
        <w:t>, to be intoxicated, not with worldly riches, but with the infinite affluence of the divine intellect</w:t>
      </w:r>
      <w:r>
        <w:rPr>
          <w:sz w:val="20"/>
          <w:szCs w:val="20"/>
        </w:rPr>
        <w:t>,</w:t>
      </w:r>
      <w:r w:rsidRPr="00300C8A">
        <w:rPr>
          <w:sz w:val="20"/>
          <w:szCs w:val="20"/>
        </w:rPr>
        <w:t xml:space="preserve"> to be filled not with gluttony, but with spiritual food.</w:t>
      </w:r>
      <w:r>
        <w:rPr>
          <w:rStyle w:val="FootnoteReference"/>
          <w:sz w:val="20"/>
          <w:szCs w:val="20"/>
        </w:rPr>
        <w:footnoteReference w:id="455"/>
      </w:r>
    </w:p>
    <w:p w14:paraId="3E2D363E" w14:textId="77777777" w:rsidR="00244FB6" w:rsidRDefault="00244FB6" w:rsidP="00244FB6">
      <w:pPr>
        <w:ind w:firstLine="0"/>
      </w:pPr>
    </w:p>
    <w:p w14:paraId="6786BA7E" w14:textId="3A15EA93" w:rsidR="00244FB6" w:rsidRDefault="00244FB6" w:rsidP="00244FB6">
      <w:pPr>
        <w:ind w:firstLine="567"/>
      </w:pPr>
      <w:r w:rsidRPr="00B80AFC">
        <w:t xml:space="preserve">Towards the conclusion of the chapter, Fludd supplements his geomantic theory by referencing an </w:t>
      </w:r>
      <w:r>
        <w:t>“</w:t>
      </w:r>
      <w:r w:rsidRPr="00B80AFC">
        <w:t>old French manuscript on the secret of geomancy</w:t>
      </w:r>
      <w:r>
        <w:t>”</w:t>
      </w:r>
      <w:r w:rsidRPr="00B80AFC">
        <w:t xml:space="preserve"> that mirrors a similar explanation of this esoteric art</w:t>
      </w:r>
      <w:r>
        <w:t>.</w:t>
      </w:r>
      <w:r>
        <w:rPr>
          <w:rStyle w:val="FootnoteReference"/>
        </w:rPr>
        <w:footnoteReference w:id="456"/>
      </w:r>
      <w:r>
        <w:t xml:space="preserve"> According to Fludd, t</w:t>
      </w:r>
      <w:r w:rsidRPr="00B80AFC">
        <w:t>his French text emphasi</w:t>
      </w:r>
      <w:r>
        <w:t>s</w:t>
      </w:r>
      <w:r w:rsidRPr="00B80AFC">
        <w:t xml:space="preserve">es that during the process of casting the </w:t>
      </w:r>
      <w:r w:rsidR="002F2BE4">
        <w:t>points</w:t>
      </w:r>
      <w:r w:rsidRPr="00B80AFC">
        <w:t>, practitioners must refrain from counting them, as doing so may yield unfavourable outcomes. This caution is rooted in the belief that geomancy is fundamentally a science connected to the soul, and thus, the number of points should express the soul</w:t>
      </w:r>
      <w:r>
        <w:t>’</w:t>
      </w:r>
      <w:r w:rsidRPr="00B80AFC">
        <w:t>s intention rather than satisfying the senses</w:t>
      </w:r>
      <w:r>
        <w:t>’</w:t>
      </w:r>
      <w:r w:rsidRPr="00B80AFC">
        <w:t xml:space="preserve"> desires. Consequently, the diviner must refrain from making predictions unless their heart is in a state of serenity, their conscience is pure and untroubled, and their spirit is free from malice, harbouring no ill intentions towards others. Following these preparations, the practitioner should direct their trust toward God, accompanying their practice with earnest prayers. In these supplications, they </w:t>
      </w:r>
      <w:r>
        <w:t>ask</w:t>
      </w:r>
      <w:r w:rsidRPr="00B80AFC">
        <w:t xml:space="preserve"> the divine to unveil the truth through the power of geomantic knowledge. Fludd aligns himself with these statements, finding them entirely agreeable and supportive of his own views on the practice of geomancy.</w:t>
      </w:r>
      <w:r>
        <w:rPr>
          <w:rStyle w:val="FootnoteReference"/>
        </w:rPr>
        <w:footnoteReference w:id="457"/>
      </w:r>
    </w:p>
    <w:p w14:paraId="36AD6909" w14:textId="0A423030" w:rsidR="00244FB6" w:rsidRDefault="00244FB6" w:rsidP="00244FB6">
      <w:pPr>
        <w:ind w:firstLine="0"/>
      </w:pPr>
      <w:r>
        <w:tab/>
      </w:r>
      <w:r w:rsidRPr="00D847FE">
        <w:t>Having addressed the procedures related to the preparation of the geomancer</w:t>
      </w:r>
      <w:r>
        <w:t>’</w:t>
      </w:r>
      <w:r w:rsidRPr="00D847FE">
        <w:t>s body, Fludd shifts his focus to the</w:t>
      </w:r>
      <w:r>
        <w:t xml:space="preserve"> preparation of the</w:t>
      </w:r>
      <w:r w:rsidRPr="00D847FE">
        <w:t xml:space="preserve"> soul, </w:t>
      </w:r>
      <w:r>
        <w:t xml:space="preserve">focussing in </w:t>
      </w:r>
      <w:r w:rsidRPr="00D847FE">
        <w:t>particul</w:t>
      </w:r>
      <w:r>
        <w:t>ar</w:t>
      </w:r>
      <w:r w:rsidRPr="00D847FE">
        <w:t xml:space="preserve"> </w:t>
      </w:r>
      <w:r>
        <w:t>on</w:t>
      </w:r>
      <w:r w:rsidRPr="00D847FE">
        <w:t xml:space="preserve"> the rays it emits. In Fludd</w:t>
      </w:r>
      <w:r>
        <w:t>’</w:t>
      </w:r>
      <w:r w:rsidRPr="00D847FE">
        <w:t>s perspective, individuals aspiring to be recogni</w:t>
      </w:r>
      <w:r w:rsidR="001E5E65">
        <w:t>s</w:t>
      </w:r>
      <w:r w:rsidRPr="00D847FE">
        <w:t xml:space="preserve">ed as </w:t>
      </w:r>
      <w:r>
        <w:t>‘</w:t>
      </w:r>
      <w:r w:rsidRPr="00D847FE">
        <w:t>prophets of Geomancy</w:t>
      </w:r>
      <w:r>
        <w:t>’</w:t>
      </w:r>
      <w:r w:rsidRPr="00D847FE">
        <w:t xml:space="preserve"> must ensure that the primary virtue of geomancy, characteri</w:t>
      </w:r>
      <w:r>
        <w:t>s</w:t>
      </w:r>
      <w:r w:rsidRPr="00D847FE">
        <w:t>ed by the illumination of the soul, is maintained. This illumination entails the perception of genuine truths within the soul</w:t>
      </w:r>
      <w:r>
        <w:t>’</w:t>
      </w:r>
      <w:r w:rsidRPr="00D847FE">
        <w:t>s divine light, much like gazing into a mirror of truth. To achieve this, it is imperative that the rays of one</w:t>
      </w:r>
      <w:r>
        <w:t>’</w:t>
      </w:r>
      <w:r w:rsidRPr="00D847FE">
        <w:t>s soul are not dispersed unevenly in all directions.</w:t>
      </w:r>
      <w:r>
        <w:rPr>
          <w:rStyle w:val="FootnoteReference"/>
        </w:rPr>
        <w:footnoteReference w:id="458"/>
      </w:r>
      <w:r>
        <w:t xml:space="preserve"> Fludd provides two analogies to elucidate the concept of how dispersed rays of the soul can weaken its influence, while a soul with its rays concentrated at a single point can be more potent. The first analogy involves light: it is observed that the rays emitted by a candle or flame within a confined space yield remarkable illumination due to the constriction of these rays within the limited environment. Conversely, when the same candle is positioned in a vast and open area, its radiance becomes considerably subdued and dim, owing to the dispersion of its rays across a wider expanse. The second analogy draws upon the dyeing properties of saffron. Fludd points out that if a small quantity of saffron is placed in a pound of water, the resulting dye is intense; however, when that same quantity is diluted in a hundred pounds of water, the dye becomes exceedingly faint and nearly imperceptible.</w:t>
      </w:r>
      <w:r>
        <w:rPr>
          <w:rStyle w:val="FootnoteReference"/>
        </w:rPr>
        <w:footnoteReference w:id="459"/>
      </w:r>
      <w:r>
        <w:t xml:space="preserve"> Similarly, Fludd likens the soul to “the torch of human life, with the human body as its candlestick” (</w:t>
      </w:r>
      <w:r w:rsidRPr="0053646F">
        <w:rPr>
          <w:i/>
          <w:iCs/>
        </w:rPr>
        <w:t>anima vitae humanae lampas – cujus candelabrum est corpus humanum</w:t>
      </w:r>
      <w:r>
        <w:t>). If the soul extends its rays toward a multitude of external concerns, encompassing matters such as legal disputes, familial issues, emotional distress, anger, engagement in various arts or fields of knowledge, vices, and the diverse temptations of the flesh, its influence is significantly weakened, and its capacity to illuminate the body is greatly constrained</w:t>
      </w:r>
      <w:r w:rsidRPr="000B21C1">
        <w:t>.</w:t>
      </w:r>
      <w:r>
        <w:rPr>
          <w:rStyle w:val="FootnoteReference"/>
        </w:rPr>
        <w:footnoteReference w:id="460"/>
      </w:r>
    </w:p>
    <w:p w14:paraId="35A36260" w14:textId="1064276C" w:rsidR="00244FB6" w:rsidRDefault="00244FB6" w:rsidP="00244FB6">
      <w:pPr>
        <w:ind w:firstLine="0"/>
      </w:pPr>
      <w:r>
        <w:tab/>
      </w:r>
      <w:r w:rsidRPr="004C2FC3">
        <w:t>In the fifth chapter of his work, Fludd delves into the mental state required of geomancers, characteri</w:t>
      </w:r>
      <w:r>
        <w:t>s</w:t>
      </w:r>
      <w:r w:rsidRPr="004C2FC3">
        <w:t>ing it as a type of ecstatic experience or rapture. He defines this rapture as the process of abstracting, alienating, and illuminating the human mind, which flows directly from God and serves as the wellspring of prophecy</w:t>
      </w:r>
      <w:r>
        <w:t>.</w:t>
      </w:r>
      <w:r>
        <w:rPr>
          <w:rStyle w:val="FootnoteReference"/>
        </w:rPr>
        <w:footnoteReference w:id="461"/>
      </w:r>
      <w:r>
        <w:t xml:space="preserve"> </w:t>
      </w:r>
      <w:r w:rsidRPr="004C2FC3">
        <w:t xml:space="preserve">Although the form of ecstasy demanded for geomantic divination is not an immediate illumination from God, it shares </w:t>
      </w:r>
      <w:r>
        <w:t>similarities</w:t>
      </w:r>
      <w:r w:rsidRPr="004C2FC3">
        <w:t xml:space="preserve"> with divine rapture. It entails an expansion of the mind</w:t>
      </w:r>
      <w:r>
        <w:t>’</w:t>
      </w:r>
      <w:r w:rsidRPr="004C2FC3">
        <w:t>s rays and their convergence within the human body, allowing the divinatory soul (</w:t>
      </w:r>
      <w:r w:rsidRPr="004C2FC3">
        <w:rPr>
          <w:i/>
          <w:iCs/>
        </w:rPr>
        <w:t>anima divinatrix</w:t>
      </w:r>
      <w:r w:rsidRPr="004C2FC3">
        <w:t>) to perceive</w:t>
      </w:r>
      <w:r w:rsidR="00B368A8" w:rsidRPr="00B368A8">
        <w:t xml:space="preserve"> </w:t>
      </w:r>
      <w:r w:rsidR="00B368A8" w:rsidRPr="004C2FC3">
        <w:t>more distinctly</w:t>
      </w:r>
      <w:r w:rsidRPr="004C2FC3">
        <w:t xml:space="preserve"> the truth</w:t>
      </w:r>
      <w:r>
        <w:t>.</w:t>
      </w:r>
      <w:r>
        <w:rPr>
          <w:rStyle w:val="FootnoteReference"/>
        </w:rPr>
        <w:footnoteReference w:id="462"/>
      </w:r>
      <w:r>
        <w:t xml:space="preserve"> </w:t>
      </w:r>
      <w:r w:rsidRPr="001F7C29">
        <w:t>Just as in the prophetic rapture, where the mind and soul</w:t>
      </w:r>
      <w:r>
        <w:t>’</w:t>
      </w:r>
      <w:r w:rsidRPr="001F7C29">
        <w:t xml:space="preserve">s rays ascend to the divine essence or the realm of the mental world, the </w:t>
      </w:r>
      <w:r>
        <w:t>‘</w:t>
      </w:r>
      <w:r w:rsidRPr="001F7C29">
        <w:t>minor rapture</w:t>
      </w:r>
      <w:r>
        <w:t>’</w:t>
      </w:r>
      <w:r w:rsidRPr="001F7C29">
        <w:t xml:space="preserve"> of the human soul recalls the outwardly dispersed rays to their core and reflects them within the mind. In this state, a person, previously enshrouded in darkness due to the dispersion of their own light, becomes illuminated and radiant through the aggregation of their soul</w:t>
      </w:r>
      <w:r>
        <w:t>’</w:t>
      </w:r>
      <w:r w:rsidRPr="001F7C29">
        <w:t>s expanded rays.</w:t>
      </w:r>
      <w:r>
        <w:rPr>
          <w:rStyle w:val="FootnoteReference"/>
        </w:rPr>
        <w:footnoteReference w:id="463"/>
      </w:r>
      <w:r>
        <w:t xml:space="preserve"> </w:t>
      </w:r>
      <w:r w:rsidRPr="007E4946">
        <w:t>Fludd employs an analogy, likening this process to the scattering of light on the third day of Creation, where the rays filled the sky, seemingly intermingling with darkness. However, on the fourth day, all the rays congregated within the body of the sun, yielding a brilliant manifestation of light, described as a place where God Himself has positioned His abode.</w:t>
      </w:r>
      <w:r w:rsidRPr="007E4946">
        <w:rPr>
          <w:rStyle w:val="FootnoteReference"/>
        </w:rPr>
        <w:t xml:space="preserve"> </w:t>
      </w:r>
      <w:r>
        <w:rPr>
          <w:rStyle w:val="FootnoteReference"/>
        </w:rPr>
        <w:footnoteReference w:id="464"/>
      </w:r>
      <w:r w:rsidRPr="007E4946">
        <w:t xml:space="preserve"> Furthermore, Fludd likens the human body to a fortress, with the rays of the mind and soul serving as its soldiers. The gathering of these rays within the fortress represents a transformation of a person</w:t>
      </w:r>
      <w:r>
        <w:t>’</w:t>
      </w:r>
      <w:r w:rsidRPr="007E4946">
        <w:t xml:space="preserve">s inner nature, reducing multiplicity to unity, an ideal condition for practicing divination. This </w:t>
      </w:r>
      <w:r w:rsidR="0057003C" w:rsidRPr="007E4946">
        <w:t>m</w:t>
      </w:r>
      <w:r w:rsidR="0057003C">
        <w:t>o</w:t>
      </w:r>
      <w:r w:rsidR="0057003C" w:rsidRPr="007E4946">
        <w:t>ve</w:t>
      </w:r>
      <w:r w:rsidRPr="007E4946">
        <w:t xml:space="preserve"> towards unity, detachment from external influences, and a diminishing of the divide between humanity and the divine serve as a clear mirror that reflects not only worldly matters but also those of a celestial nature.</w:t>
      </w:r>
      <w:r>
        <w:rPr>
          <w:rStyle w:val="FootnoteReference"/>
        </w:rPr>
        <w:footnoteReference w:id="465"/>
      </w:r>
    </w:p>
    <w:p w14:paraId="5801CA20" w14:textId="6052F199" w:rsidR="00244FB6" w:rsidRPr="00775B5F" w:rsidRDefault="00244FB6" w:rsidP="00244FB6">
      <w:pPr>
        <w:ind w:firstLine="0"/>
      </w:pPr>
      <w:r>
        <w:tab/>
        <w:t>In the sixth chapter of this treatise, Fludd delves into the properties of geomantic figures, emphasising that beneath the seemingly simple series of points in geomantic configurations, a host of concealed meanings are hidden. In his view, these figures represent not only the human body but also the entire universe, making them a microcosm of sorts.</w:t>
      </w:r>
      <w:r>
        <w:rPr>
          <w:rStyle w:val="FootnoteReference"/>
        </w:rPr>
        <w:footnoteReference w:id="466"/>
      </w:r>
      <w:r>
        <w:t xml:space="preserve"> </w:t>
      </w:r>
      <w:r w:rsidRPr="001F7E66">
        <w:t>Similar to the composition of the macrocosm, the geomantic figures incorporate the four natural elements</w:t>
      </w:r>
      <w:r w:rsidR="000507AE">
        <w:t xml:space="preserve"> –</w:t>
      </w:r>
      <w:r w:rsidRPr="001F7E66">
        <w:t>fire, air, water, and earth</w:t>
      </w:r>
      <w:r w:rsidR="000507AE">
        <w:t xml:space="preserve"> – </w:t>
      </w:r>
      <w:r w:rsidRPr="001F7E66">
        <w:t>as well as the influence of the seven planets and the twelve zodiacal signs. These enigmatic aspects are veiled within the numerical arrangements and proportions of geomantic points</w:t>
      </w:r>
      <w:r>
        <w:t xml:space="preserve">. To unlock their meaning, </w:t>
      </w:r>
      <w:r w:rsidRPr="001F7E66">
        <w:t>one must venture into the sanctum of the mind, where they will encounter ether, the mind</w:t>
      </w:r>
      <w:r>
        <w:t>’</w:t>
      </w:r>
      <w:r w:rsidRPr="001F7E66">
        <w:t>s thought and execution, the preparation of the elements, and the outcomes resulting from the mind</w:t>
      </w:r>
      <w:r>
        <w:t>’</w:t>
      </w:r>
      <w:r w:rsidRPr="001F7E66">
        <w:t>s will, reason, and actions.</w:t>
      </w:r>
      <w:r>
        <w:rPr>
          <w:rStyle w:val="FootnoteReference"/>
        </w:rPr>
        <w:footnoteReference w:id="467"/>
      </w:r>
      <w:r>
        <w:t xml:space="preserve"> </w:t>
      </w:r>
      <w:r w:rsidRPr="001F7E66">
        <w:t xml:space="preserve">Fludd concludes this chapter with an assertion reminiscent of Ibn </w:t>
      </w:r>
      <w:r w:rsidR="00B95CDD">
        <w:t>Khaldūn</w:t>
      </w:r>
      <w:r>
        <w:t>’</w:t>
      </w:r>
      <w:r w:rsidRPr="001F7E66">
        <w:t xml:space="preserve">s </w:t>
      </w:r>
      <w:r>
        <w:t>discussion</w:t>
      </w:r>
      <w:r w:rsidRPr="001F7E66">
        <w:t xml:space="preserve"> on geomancy: just as inspired prophecy involves the union of the divine and human minds, uninspired forms of prophecy can also occur. In these instances, the human soul, with its rays focused inward, connects with its pinnacle</w:t>
      </w:r>
      <w:r>
        <w:t xml:space="preserve"> – </w:t>
      </w:r>
      <w:r w:rsidRPr="001F7E66">
        <w:t>the human mind</w:t>
      </w:r>
      <w:r>
        <w:t xml:space="preserve"> – </w:t>
      </w:r>
      <w:r w:rsidRPr="001F7E66">
        <w:t>and is capable of significant achievements, manifesting a lesser form of rapture.</w:t>
      </w:r>
      <w:r>
        <w:rPr>
          <w:rStyle w:val="FootnoteReference"/>
        </w:rPr>
        <w:footnoteReference w:id="468"/>
      </w:r>
      <w:r>
        <w:t xml:space="preserve"> </w:t>
      </w:r>
      <w:r w:rsidRPr="008C6F5D">
        <w:t xml:space="preserve">Chapter seven, which concludes the treatise, provides a concise overview of various divinatory practices, including hydromancy, lecanomancy, aeromancy, and pyromancy. Additionally, Fludd offers a brief inventory of geomantic texts known to him, featuring the works </w:t>
      </w:r>
      <w:r>
        <w:t>of Pietro d’Abano, Gerard of Cremona, Johannes Geber, Bartholomew Cocles, Cristopher Cattan and Nonius Marcellus Saya.</w:t>
      </w:r>
      <w:r>
        <w:rPr>
          <w:rStyle w:val="FootnoteReference"/>
        </w:rPr>
        <w:footnoteReference w:id="469"/>
      </w:r>
      <w:r>
        <w:t xml:space="preserve"> </w:t>
      </w:r>
    </w:p>
    <w:p w14:paraId="57B411E1" w14:textId="77777777" w:rsidR="00244FB6" w:rsidRDefault="00244FB6" w:rsidP="00244FB6">
      <w:pPr>
        <w:ind w:firstLine="0"/>
      </w:pPr>
      <w:r>
        <w:tab/>
      </w:r>
    </w:p>
    <w:p w14:paraId="1B52057D" w14:textId="4DCA1C73" w:rsidR="003B4C7A" w:rsidRDefault="00244FB6" w:rsidP="00B12F36">
      <w:r w:rsidRPr="005059DC">
        <w:t>In this second volume of Fludd</w:t>
      </w:r>
      <w:r>
        <w:t>’</w:t>
      </w:r>
      <w:r w:rsidRPr="005059DC">
        <w:t xml:space="preserve">s </w:t>
      </w:r>
      <w:r w:rsidRPr="005059DC">
        <w:rPr>
          <w:i/>
          <w:iCs/>
        </w:rPr>
        <w:t>Utriusque Cosmi…Historia</w:t>
      </w:r>
      <w:r w:rsidRPr="005059DC">
        <w:t xml:space="preserve">, his exposition of geomancy stands out for its enhanced depth and originality when compared to his earlier work, </w:t>
      </w:r>
      <w:r w:rsidRPr="005059DC">
        <w:rPr>
          <w:i/>
          <w:iCs/>
        </w:rPr>
        <w:t>De Naturae Simia</w:t>
      </w:r>
      <w:r w:rsidRPr="005059DC">
        <w:t xml:space="preserve">. This suggests that Fludd further developed and refined his </w:t>
      </w:r>
      <w:r>
        <w:t>theory</w:t>
      </w:r>
      <w:r w:rsidRPr="005059DC">
        <w:t xml:space="preserve"> o</w:t>
      </w:r>
      <w:r>
        <w:t>f</w:t>
      </w:r>
      <w:r w:rsidRPr="005059DC">
        <w:t xml:space="preserve"> geomancy after his experiences, particularly his stay in Avignon. The section on geomancy in </w:t>
      </w:r>
      <w:r>
        <w:t xml:space="preserve">his </w:t>
      </w:r>
      <w:r w:rsidRPr="00187E59">
        <w:rPr>
          <w:i/>
          <w:iCs/>
        </w:rPr>
        <w:t>History of the Microcosm</w:t>
      </w:r>
      <w:r w:rsidRPr="005059DC">
        <w:t xml:space="preserve"> departs from the conventional structure of geomantic texts. Fludd</w:t>
      </w:r>
      <w:r>
        <w:t>’</w:t>
      </w:r>
      <w:r w:rsidRPr="005059DC">
        <w:t>s primary aim here is to illuminate the underlying mechanism that enables geomantic divination. Notably, he emphasi</w:t>
      </w:r>
      <w:r>
        <w:t>s</w:t>
      </w:r>
      <w:r w:rsidRPr="005059DC">
        <w:t xml:space="preserve">es the flow of geomantic knowledge from the unconscious to the conscious, originating in the </w:t>
      </w:r>
      <w:r w:rsidRPr="007055BC">
        <w:rPr>
          <w:i/>
          <w:iCs/>
        </w:rPr>
        <w:t>mens</w:t>
      </w:r>
      <w:r w:rsidRPr="005059DC">
        <w:t xml:space="preserve">, moving through the </w:t>
      </w:r>
      <w:r w:rsidRPr="007055BC">
        <w:rPr>
          <w:i/>
          <w:iCs/>
        </w:rPr>
        <w:t>intellectus</w:t>
      </w:r>
      <w:r w:rsidRPr="005059DC">
        <w:t xml:space="preserve"> and </w:t>
      </w:r>
      <w:r w:rsidRPr="007055BC">
        <w:rPr>
          <w:i/>
          <w:iCs/>
        </w:rPr>
        <w:t>imaginatio</w:t>
      </w:r>
      <w:r w:rsidRPr="005059DC">
        <w:t xml:space="preserve">, and ultimately becoming perceptible to the senses. </w:t>
      </w:r>
      <w:r w:rsidR="003B4C7A">
        <w:t>Many elements in Fludd’s work make him a continuator of the medieval geomantic tradition. While he includes original elements to his geomantic theory</w:t>
      </w:r>
      <w:r w:rsidR="00B12F36">
        <w:t xml:space="preserve"> –</w:t>
      </w:r>
      <w:r w:rsidR="003B4C7A">
        <w:t xml:space="preserve"> incorporating in it his theory of </w:t>
      </w:r>
      <w:r w:rsidR="00DF4818">
        <w:t>the</w:t>
      </w:r>
      <w:r w:rsidR="003B4C7A">
        <w:t xml:space="preserve"> structure</w:t>
      </w:r>
      <w:r w:rsidR="00DF4818">
        <w:t xml:space="preserve"> of the human soul</w:t>
      </w:r>
      <w:r w:rsidR="00B12F36">
        <w:t xml:space="preserve"> and the concept of rays – Fludd also integrates numerous facets derived from previous geomantic texts, such as</w:t>
      </w:r>
      <w:r w:rsidR="003B4C7A">
        <w:t xml:space="preserve"> the attention to the mathematical structure underlining the geomantic technique, the importance attributed to invoking God before making a forecast, the ack</w:t>
      </w:r>
      <w:r w:rsidR="00B12F36">
        <w:t xml:space="preserve">nowledgement of the occult and complex character of the geomantic technique, the mention of figures such as the prophet Daniel as pertaining to the geomantic tradition, and the importance attributed to the human faculty of imagination to interpret the geomantic figures, that together with </w:t>
      </w:r>
      <w:r w:rsidR="00B12F36" w:rsidRPr="00B12F36">
        <w:rPr>
          <w:i/>
          <w:iCs/>
        </w:rPr>
        <w:t>aestimatio</w:t>
      </w:r>
      <w:r w:rsidR="00B12F36">
        <w:t xml:space="preserve"> was responsible for the attainment of prophetic knowledge. Moreover, Fludd’s approach </w:t>
      </w:r>
      <w:r w:rsidR="00B12F36" w:rsidRPr="005059DC">
        <w:t xml:space="preserve">underscores geomancy as the </w:t>
      </w:r>
      <w:r w:rsidR="00B12F36">
        <w:t>‘</w:t>
      </w:r>
      <w:r w:rsidR="00B12F36" w:rsidRPr="005059DC">
        <w:t>science of the intellectual soul</w:t>
      </w:r>
      <w:r w:rsidR="00B12F36">
        <w:t xml:space="preserve">,’ </w:t>
      </w:r>
      <w:r w:rsidR="00B12F36" w:rsidRPr="003D5833">
        <w:t>plac</w:t>
      </w:r>
      <w:r w:rsidR="00B12F36">
        <w:t>ing</w:t>
      </w:r>
      <w:r w:rsidR="00B12F36" w:rsidRPr="003D5833">
        <w:t xml:space="preserve"> </w:t>
      </w:r>
      <w:r w:rsidR="00B12F36">
        <w:t>particular</w:t>
      </w:r>
      <w:r w:rsidR="00B12F36" w:rsidRPr="003D5833">
        <w:t xml:space="preserve"> emphasis on the </w:t>
      </w:r>
      <w:r w:rsidR="00B12F36">
        <w:t>mental state</w:t>
      </w:r>
      <w:r w:rsidR="00B12F36" w:rsidRPr="003D5833">
        <w:t xml:space="preserve"> of the practitioner, </w:t>
      </w:r>
      <w:r w:rsidR="00B12F36">
        <w:t xml:space="preserve">and </w:t>
      </w:r>
      <w:r w:rsidR="00B12F36" w:rsidRPr="003D5833">
        <w:t>delving extensively into the role of the geomancer</w:t>
      </w:r>
      <w:r w:rsidR="00B12F36">
        <w:t>’</w:t>
      </w:r>
      <w:r w:rsidR="00B12F36" w:rsidRPr="003D5833">
        <w:t>s soul i</w:t>
      </w:r>
      <w:r w:rsidR="00B12F36">
        <w:t>n the act of divining</w:t>
      </w:r>
      <w:r w:rsidR="00B12F36" w:rsidRPr="003D5833">
        <w:t>.</w:t>
      </w:r>
    </w:p>
    <w:p w14:paraId="12892EAA" w14:textId="6ECF0E85" w:rsidR="00187E59" w:rsidRDefault="00244FB6" w:rsidP="003A423F">
      <w:r w:rsidRPr="005059DC">
        <w:t xml:space="preserve"> </w:t>
      </w:r>
      <w:r w:rsidR="00B12F36">
        <w:t>G</w:t>
      </w:r>
      <w:r w:rsidRPr="005059DC">
        <w:t>eomancy holds a significant position in both volumes of Fludd</w:t>
      </w:r>
      <w:r>
        <w:t>’</w:t>
      </w:r>
      <w:r w:rsidRPr="005059DC">
        <w:t xml:space="preserve">s work, serving as a comprehensive science that guides individuals in the external as well as the internal </w:t>
      </w:r>
      <w:r>
        <w:t>portions of reality</w:t>
      </w:r>
      <w:r w:rsidRPr="005059DC">
        <w:t xml:space="preserve">. The sixteen geomantic figures themselves serve as a representation of the cosmos, encompassing elements such as the seven planets, four natural elements, and the human soul. What was once considered </w:t>
      </w:r>
      <w:r>
        <w:t>a ‘</w:t>
      </w:r>
      <w:r w:rsidRPr="005059DC">
        <w:t>minor astrology</w:t>
      </w:r>
      <w:r>
        <w:t>’</w:t>
      </w:r>
      <w:r w:rsidRPr="005059DC">
        <w:t xml:space="preserve"> or </w:t>
      </w:r>
      <w:r>
        <w:t>‘</w:t>
      </w:r>
      <w:r w:rsidRPr="005059DC">
        <w:t>short astrology</w:t>
      </w:r>
      <w:r>
        <w:t>’</w:t>
      </w:r>
      <w:r w:rsidRPr="005059DC">
        <w:t xml:space="preserve"> is elevated by Fludd to the status of </w:t>
      </w:r>
      <w:r>
        <w:t>‘</w:t>
      </w:r>
      <w:r w:rsidRPr="005059DC">
        <w:t>lesser prophecy,</w:t>
      </w:r>
      <w:r>
        <w:t>’</w:t>
      </w:r>
      <w:r w:rsidRPr="005059DC">
        <w:t xml:space="preserve"> positioning </w:t>
      </w:r>
      <w:r>
        <w:t>geomancy</w:t>
      </w:r>
      <w:r w:rsidRPr="005059DC">
        <w:t xml:space="preserve"> just beneath the highest form of knowledge, which derives its illumination directly from God. In this context, geomancy shifts closer to the literal definition of </w:t>
      </w:r>
      <w:r w:rsidR="00951F42">
        <w:t>‘</w:t>
      </w:r>
      <w:r w:rsidRPr="005059DC">
        <w:t>divination</w:t>
      </w:r>
      <w:r w:rsidR="00951F42">
        <w:t>’</w:t>
      </w:r>
      <w:r w:rsidRPr="005059DC">
        <w:t xml:space="preserve"> and aligns more with prophecy than astrology.</w:t>
      </w:r>
      <w:r w:rsidR="00471087">
        <w:t xml:space="preserve"> </w:t>
      </w:r>
    </w:p>
    <w:p w14:paraId="429B922E" w14:textId="77777777" w:rsidR="00D55451" w:rsidRDefault="00D55451" w:rsidP="00244FB6"/>
    <w:p w14:paraId="2E3072CD" w14:textId="069BA872" w:rsidR="00E43B85" w:rsidRDefault="00E43B85" w:rsidP="00E43B85">
      <w:pPr>
        <w:ind w:firstLine="0"/>
        <w:jc w:val="center"/>
      </w:pPr>
      <w:r>
        <w:rPr>
          <w:noProof/>
        </w:rPr>
        <w:drawing>
          <wp:inline distT="0" distB="0" distL="0" distR="0" wp14:anchorId="1C99DF47" wp14:editId="60CCDF40">
            <wp:extent cx="5271473" cy="8161867"/>
            <wp:effectExtent l="0" t="0" r="5715" b="0"/>
            <wp:docPr id="834508175" name="Picture 2" descr="A close-up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08175" name="Picture 2" descr="A close-up of a book cov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6420" cy="8169527"/>
                    </a:xfrm>
                    <a:prstGeom prst="rect">
                      <a:avLst/>
                    </a:prstGeom>
                  </pic:spPr>
                </pic:pic>
              </a:graphicData>
            </a:graphic>
          </wp:inline>
        </w:drawing>
      </w:r>
    </w:p>
    <w:p w14:paraId="71F6B398" w14:textId="442A3776" w:rsidR="00E43B85" w:rsidRPr="00E43B85" w:rsidRDefault="00E43B85" w:rsidP="009757FC">
      <w:pPr>
        <w:spacing w:line="240" w:lineRule="auto"/>
        <w:ind w:firstLine="0"/>
        <w:jc w:val="center"/>
        <w:rPr>
          <w:sz w:val="20"/>
          <w:szCs w:val="20"/>
        </w:rPr>
      </w:pPr>
      <w:bookmarkStart w:id="116" w:name="_Hlk150942680"/>
      <w:r w:rsidRPr="00E43B85">
        <w:rPr>
          <w:b/>
          <w:bCs/>
          <w:sz w:val="20"/>
          <w:szCs w:val="20"/>
        </w:rPr>
        <w:t>Figure 12.</w:t>
      </w:r>
      <w:r>
        <w:rPr>
          <w:sz w:val="20"/>
          <w:szCs w:val="20"/>
        </w:rPr>
        <w:t xml:space="preserve"> </w:t>
      </w:r>
      <w:r w:rsidR="00A027C0">
        <w:rPr>
          <w:sz w:val="20"/>
          <w:szCs w:val="20"/>
        </w:rPr>
        <w:t xml:space="preserve">Robert Fludd, </w:t>
      </w:r>
      <w:r w:rsidRPr="00E43B85">
        <w:rPr>
          <w:i/>
          <w:iCs/>
          <w:sz w:val="20"/>
          <w:szCs w:val="20"/>
        </w:rPr>
        <w:t>De naturae simia</w:t>
      </w:r>
      <w:r w:rsidR="00A027C0">
        <w:rPr>
          <w:sz w:val="20"/>
          <w:szCs w:val="20"/>
        </w:rPr>
        <w:t xml:space="preserve">, </w:t>
      </w:r>
      <w:r>
        <w:rPr>
          <w:sz w:val="20"/>
          <w:szCs w:val="20"/>
        </w:rPr>
        <w:t>title page.</w:t>
      </w:r>
      <w:r w:rsidR="0033343F">
        <w:rPr>
          <w:sz w:val="20"/>
          <w:szCs w:val="20"/>
        </w:rPr>
        <w:t xml:space="preserve"> Courtesy of the Warburg Library. </w:t>
      </w:r>
      <w:r w:rsidR="009757FC" w:rsidRPr="009757FC">
        <w:rPr>
          <w:sz w:val="20"/>
          <w:szCs w:val="20"/>
        </w:rPr>
        <w:t>Further reproduction by any means is prohibited.</w:t>
      </w:r>
    </w:p>
    <w:bookmarkEnd w:id="116"/>
    <w:p w14:paraId="60B5C31C" w14:textId="05993E55" w:rsidR="00244FB6" w:rsidRDefault="00E43B85" w:rsidP="00E43B85">
      <w:pPr>
        <w:ind w:firstLine="0"/>
        <w:jc w:val="center"/>
        <w:rPr>
          <w:sz w:val="20"/>
          <w:szCs w:val="20"/>
        </w:rPr>
      </w:pPr>
      <w:r>
        <w:rPr>
          <w:noProof/>
          <w:sz w:val="20"/>
          <w:szCs w:val="20"/>
        </w:rPr>
        <w:drawing>
          <wp:inline distT="0" distB="0" distL="0" distR="0" wp14:anchorId="62F8F1EF" wp14:editId="447BB9EC">
            <wp:extent cx="5083588" cy="8372475"/>
            <wp:effectExtent l="0" t="0" r="0" b="0"/>
            <wp:docPr id="2130852064" name="Picture 3" descr="A black and white picture of a circle with a person holding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52064" name="Picture 3" descr="A black and white picture of a circle with a person holding a sta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6284" cy="8393385"/>
                    </a:xfrm>
                    <a:prstGeom prst="rect">
                      <a:avLst/>
                    </a:prstGeom>
                  </pic:spPr>
                </pic:pic>
              </a:graphicData>
            </a:graphic>
          </wp:inline>
        </w:drawing>
      </w:r>
    </w:p>
    <w:p w14:paraId="2541A037" w14:textId="55B076A1" w:rsidR="00E43B85" w:rsidRDefault="00E43B85" w:rsidP="009757FC">
      <w:pPr>
        <w:spacing w:line="240" w:lineRule="auto"/>
        <w:ind w:firstLine="0"/>
        <w:jc w:val="center"/>
        <w:rPr>
          <w:sz w:val="20"/>
          <w:szCs w:val="20"/>
        </w:rPr>
      </w:pPr>
      <w:bookmarkStart w:id="117" w:name="_Hlk150942657"/>
      <w:r w:rsidRPr="00E43B85">
        <w:rPr>
          <w:b/>
          <w:bCs/>
          <w:sz w:val="20"/>
          <w:szCs w:val="20"/>
        </w:rPr>
        <w:t>Figure 13.</w:t>
      </w:r>
      <w:r>
        <w:rPr>
          <w:sz w:val="20"/>
          <w:szCs w:val="20"/>
        </w:rPr>
        <w:t xml:space="preserve"> </w:t>
      </w:r>
      <w:r w:rsidR="00A027C0">
        <w:rPr>
          <w:sz w:val="20"/>
          <w:szCs w:val="20"/>
        </w:rPr>
        <w:t xml:space="preserve">Robert Fludd, </w:t>
      </w:r>
      <w:r w:rsidRPr="00E43B85">
        <w:rPr>
          <w:i/>
          <w:iCs/>
          <w:sz w:val="20"/>
          <w:szCs w:val="20"/>
        </w:rPr>
        <w:t>De technica Microcosmi historia</w:t>
      </w:r>
      <w:r w:rsidR="00A027C0">
        <w:rPr>
          <w:sz w:val="20"/>
          <w:szCs w:val="20"/>
        </w:rPr>
        <w:t xml:space="preserve">, </w:t>
      </w:r>
      <w:r>
        <w:rPr>
          <w:sz w:val="20"/>
          <w:szCs w:val="20"/>
        </w:rPr>
        <w:t>title page.</w:t>
      </w:r>
      <w:r w:rsidR="009757FC" w:rsidRPr="009757FC">
        <w:t xml:space="preserve"> </w:t>
      </w:r>
      <w:r w:rsidR="009757FC" w:rsidRPr="009757FC">
        <w:rPr>
          <w:sz w:val="20"/>
          <w:szCs w:val="20"/>
        </w:rPr>
        <w:t>Courtesy of the Warburg Library. Further reproduction by any means is prohibited.</w:t>
      </w:r>
    </w:p>
    <w:bookmarkEnd w:id="117"/>
    <w:p w14:paraId="3D37B08D" w14:textId="7CE89249" w:rsidR="00E43B85" w:rsidRDefault="00E43B85" w:rsidP="00E43B85">
      <w:pPr>
        <w:ind w:firstLine="0"/>
        <w:jc w:val="center"/>
        <w:rPr>
          <w:sz w:val="20"/>
          <w:szCs w:val="20"/>
        </w:rPr>
      </w:pPr>
      <w:r>
        <w:rPr>
          <w:noProof/>
          <w:sz w:val="20"/>
          <w:szCs w:val="20"/>
        </w:rPr>
        <w:drawing>
          <wp:inline distT="0" distB="0" distL="0" distR="0" wp14:anchorId="0140FDF3" wp14:editId="4871392E">
            <wp:extent cx="5514623" cy="8271933"/>
            <wp:effectExtent l="0" t="0" r="0" b="0"/>
            <wp:docPr id="1633118547" name="Picture 4" descr="An open book with a c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18547" name="Picture 4" descr="An open book with a cres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0984" cy="8281475"/>
                    </a:xfrm>
                    <a:prstGeom prst="rect">
                      <a:avLst/>
                    </a:prstGeom>
                  </pic:spPr>
                </pic:pic>
              </a:graphicData>
            </a:graphic>
          </wp:inline>
        </w:drawing>
      </w:r>
    </w:p>
    <w:p w14:paraId="294F8964" w14:textId="4A58A902" w:rsidR="00E43B85" w:rsidRDefault="00E43B85" w:rsidP="00230CF5">
      <w:pPr>
        <w:spacing w:line="240" w:lineRule="auto"/>
        <w:ind w:firstLine="0"/>
        <w:jc w:val="center"/>
        <w:rPr>
          <w:sz w:val="20"/>
          <w:szCs w:val="20"/>
        </w:rPr>
      </w:pPr>
      <w:bookmarkStart w:id="118" w:name="_Hlk150942624"/>
      <w:r w:rsidRPr="00E43B85">
        <w:rPr>
          <w:b/>
          <w:bCs/>
          <w:sz w:val="20"/>
          <w:szCs w:val="20"/>
        </w:rPr>
        <w:t>Figure 14.</w:t>
      </w:r>
      <w:r w:rsidRPr="00E43B85">
        <w:rPr>
          <w:sz w:val="20"/>
          <w:szCs w:val="20"/>
        </w:rPr>
        <w:t xml:space="preserve"> </w:t>
      </w:r>
      <w:r w:rsidR="00A027C0">
        <w:rPr>
          <w:sz w:val="20"/>
          <w:szCs w:val="20"/>
        </w:rPr>
        <w:t xml:space="preserve">Robert Fludd, </w:t>
      </w:r>
      <w:r w:rsidRPr="00FF09B4">
        <w:rPr>
          <w:i/>
          <w:iCs/>
          <w:sz w:val="20"/>
          <w:szCs w:val="20"/>
        </w:rPr>
        <w:t>De amimae intellectualis sciantia seu Geomantia</w:t>
      </w:r>
      <w:r w:rsidR="00A027C0">
        <w:rPr>
          <w:sz w:val="20"/>
          <w:szCs w:val="20"/>
        </w:rPr>
        <w:t xml:space="preserve">, </w:t>
      </w:r>
      <w:r>
        <w:rPr>
          <w:sz w:val="20"/>
          <w:szCs w:val="20"/>
        </w:rPr>
        <w:t>title page.</w:t>
      </w:r>
      <w:r w:rsidR="009757FC" w:rsidRPr="009757FC">
        <w:rPr>
          <w:sz w:val="20"/>
          <w:szCs w:val="20"/>
        </w:rPr>
        <w:t xml:space="preserve"> </w:t>
      </w:r>
      <w:r w:rsidR="009757FC">
        <w:rPr>
          <w:sz w:val="20"/>
          <w:szCs w:val="20"/>
        </w:rPr>
        <w:t xml:space="preserve">Courtesy of the Warburg Library. </w:t>
      </w:r>
      <w:r w:rsidR="009757FC" w:rsidRPr="009757FC">
        <w:rPr>
          <w:sz w:val="20"/>
          <w:szCs w:val="20"/>
        </w:rPr>
        <w:t>Further reproduction by any means is prohibited.</w:t>
      </w:r>
    </w:p>
    <w:bookmarkEnd w:id="118"/>
    <w:p w14:paraId="7E0875BB" w14:textId="77777777" w:rsidR="00E43B85" w:rsidRPr="00E43B85" w:rsidRDefault="00E43B85" w:rsidP="00E43B85">
      <w:pPr>
        <w:ind w:firstLine="0"/>
        <w:jc w:val="center"/>
        <w:rPr>
          <w:sz w:val="20"/>
          <w:szCs w:val="20"/>
        </w:rPr>
      </w:pPr>
    </w:p>
    <w:p w14:paraId="380AE51C" w14:textId="38E05216" w:rsidR="00244FB6" w:rsidRPr="00A443F5" w:rsidRDefault="00244FB6" w:rsidP="00A443F5">
      <w:pPr>
        <w:pStyle w:val="Heading2"/>
        <w:ind w:firstLine="0"/>
        <w:rPr>
          <w:rFonts w:asciiTheme="majorBidi" w:hAnsiTheme="majorBidi"/>
          <w:color w:val="auto"/>
          <w:sz w:val="20"/>
          <w:szCs w:val="20"/>
        </w:rPr>
      </w:pPr>
      <w:bookmarkStart w:id="119" w:name="_Toc165108671"/>
      <w:r w:rsidRPr="00A443F5">
        <w:rPr>
          <w:rFonts w:asciiTheme="majorBidi" w:hAnsiTheme="majorBidi"/>
          <w:color w:val="auto"/>
          <w:sz w:val="20"/>
          <w:szCs w:val="20"/>
        </w:rPr>
        <w:t>VI.</w:t>
      </w:r>
      <w:r w:rsidR="001250EA">
        <w:rPr>
          <w:rFonts w:asciiTheme="majorBidi" w:hAnsiTheme="majorBidi"/>
          <w:color w:val="auto"/>
          <w:sz w:val="20"/>
          <w:szCs w:val="20"/>
        </w:rPr>
        <w:t>3</w:t>
      </w:r>
      <w:r w:rsidRPr="00A443F5">
        <w:rPr>
          <w:rFonts w:asciiTheme="majorBidi" w:hAnsiTheme="majorBidi"/>
          <w:color w:val="auto"/>
          <w:sz w:val="20"/>
          <w:szCs w:val="20"/>
        </w:rPr>
        <w:t xml:space="preserve"> GEOMANCY, ALCHEMY AND ROSICRUCIANISM</w:t>
      </w:r>
      <w:bookmarkEnd w:id="119"/>
    </w:p>
    <w:p w14:paraId="15043825" w14:textId="77777777" w:rsidR="00244FB6" w:rsidRDefault="00244FB6" w:rsidP="00244FB6">
      <w:pPr>
        <w:ind w:firstLine="0"/>
      </w:pPr>
    </w:p>
    <w:p w14:paraId="5DEA962B" w14:textId="6DCD8841" w:rsidR="00244FB6" w:rsidRDefault="00244FB6" w:rsidP="00244FB6">
      <w:r w:rsidRPr="003A712D">
        <w:t>The notion of a connection between geomancy and alchemy is a recurrent theme found in various early modern sources. During this period, it was not uncommon to encounter associations between geomantic figures and metals or natural elements</w:t>
      </w:r>
      <w:r>
        <w:t>.</w:t>
      </w:r>
      <w:r w:rsidR="00114F06">
        <w:t xml:space="preserve"> This is not surprising, </w:t>
      </w:r>
      <w:r w:rsidR="002F2BE4">
        <w:t xml:space="preserve">as </w:t>
      </w:r>
      <w:r w:rsidR="00114F06">
        <w:t>after all, geomancy was the art of divination through earth.</w:t>
      </w:r>
      <w:r>
        <w:t xml:space="preserve"> </w:t>
      </w:r>
      <w:r w:rsidRPr="003A712D">
        <w:t>An illustrative example can be found in Bartholomew Cocles</w:t>
      </w:r>
      <w:r w:rsidR="000B245D">
        <w:t>’</w:t>
      </w:r>
      <w:r w:rsidRPr="003A712D">
        <w:t>s geomantic work from 1550, where an entire section is dedicated to the interpretation of geomantic figures in the context of various metals, including tin, copper, gold, and quicksilver (mercury).</w:t>
      </w:r>
      <w:r>
        <w:rPr>
          <w:rStyle w:val="FootnoteReference"/>
        </w:rPr>
        <w:footnoteReference w:id="470"/>
      </w:r>
      <w:r>
        <w:t xml:space="preserve"> </w:t>
      </w:r>
      <w:r w:rsidRPr="00E278CC">
        <w:t>A more explicit exploration of the relationship between geomancy and alchemy is presented in the work of Cristophe of Cattan, published in 1558. In this text, it is posited that geomancy is intricately connected with both astrology and alchemy, forming a unified science of the stars</w:t>
      </w:r>
      <w:r>
        <w:t>: “Why, it is easy to know that Geomancy is nothing but Astrology. Which is also divided into three parts, the first of which is heavenly, the second terrestrial – which is Geomancy, and the third is in between, that is, it participates of these two – which is Alchemy.”</w:t>
      </w:r>
      <w:r w:rsidRPr="004E346D">
        <w:rPr>
          <w:rStyle w:val="FootnoteReference"/>
        </w:rPr>
        <w:footnoteReference w:id="471"/>
      </w:r>
      <w:r w:rsidRPr="00E278CC">
        <w:t xml:space="preserve"> </w:t>
      </w:r>
      <w:r>
        <w:t>Cattan’s work</w:t>
      </w:r>
      <w:r w:rsidRPr="00E278CC">
        <w:t xml:space="preserve"> includes diagrams that correlate each row of geomantic figures with one of the four natural elements. This scheme illustrates how each geomantic figure represents a unique combination of elements in specific proportions, thereby reinforcing the notion of </w:t>
      </w:r>
      <w:r>
        <w:t>‘</w:t>
      </w:r>
      <w:r w:rsidRPr="00E278CC">
        <w:t>terrestrial astrology</w:t>
      </w:r>
      <w:r>
        <w:t>’</w:t>
      </w:r>
      <w:r w:rsidRPr="00E278CC">
        <w:t xml:space="preserve"> and its close connection to the realm of alchemy</w:t>
      </w:r>
      <w:r>
        <w:t>,</w:t>
      </w:r>
      <w:r w:rsidRPr="00E278CC">
        <w:t xml:space="preserve"> a discipline</w:t>
      </w:r>
      <w:r>
        <w:t xml:space="preserve"> that</w:t>
      </w:r>
      <w:r w:rsidRPr="00E278CC">
        <w:t xml:space="preserve"> examined the transmutation of metals into nobler forms, considering them as compounds rather than fundamental elements.</w:t>
      </w:r>
      <w:r>
        <w:rPr>
          <w:rStyle w:val="FootnoteReference"/>
        </w:rPr>
        <w:footnoteReference w:id="472"/>
      </w:r>
      <w:r>
        <w:rPr>
          <w:color w:val="0070C0"/>
        </w:rPr>
        <w:t xml:space="preserve"> </w:t>
      </w:r>
      <w:r w:rsidR="00FA3C6F">
        <w:t>Following Cattan’s idea of a strong connection between geomancy and alchemy</w:t>
      </w:r>
      <w:r w:rsidRPr="004020B8">
        <w:t xml:space="preserve">, it is worth noting that geomancy </w:t>
      </w:r>
      <w:r w:rsidR="00A93CEA">
        <w:t>was a matter of interest to</w:t>
      </w:r>
      <w:r w:rsidRPr="004020B8">
        <w:t xml:space="preserve"> some of the most renowned alchemists </w:t>
      </w:r>
      <w:r w:rsidR="00FA3C6F">
        <w:t>of</w:t>
      </w:r>
      <w:r w:rsidRPr="004020B8">
        <w:t xml:space="preserve"> the early modern period, with notable figures like Robert Fludd.</w:t>
      </w:r>
      <w:r>
        <w:rPr>
          <w:rStyle w:val="FootnoteReference"/>
        </w:rPr>
        <w:footnoteReference w:id="473"/>
      </w:r>
      <w:r w:rsidRPr="004020B8">
        <w:t xml:space="preserve"> Another prominent individual with a keen interest in both alchemy and geomancy</w:t>
      </w:r>
      <w:r w:rsidR="00A93CEA">
        <w:t>, and linked this two disciplines together,</w:t>
      </w:r>
      <w:r w:rsidRPr="004020B8">
        <w:t xml:space="preserve"> was the Englishman John Heydon (1629</w:t>
      </w:r>
      <w:r w:rsidR="00D159A9">
        <w:t>-</w:t>
      </w:r>
      <w:r w:rsidRPr="004020B8">
        <w:t xml:space="preserve">c.1667). </w:t>
      </w:r>
    </w:p>
    <w:p w14:paraId="0B8FC857" w14:textId="725FEB9A" w:rsidR="00244FB6" w:rsidRDefault="00244FB6" w:rsidP="00244FB6">
      <w:r>
        <w:t xml:space="preserve">A third shared interest that binds these two authors is their affinity for Rosicrucian theories. In the works of Heydon, in particular, geomancy is intricately interwoven with two of the prevailing intellectual currents coursing through seventeenth-century Europe. The forthcoming section will delve into the interplay between geomancy, alchemy, and Rosicrucianism as articulated in Heydon’s thought. This scrutiny of Heydon’s geomantic theory endeavours to demonstrate how his approach left an indelible imprint on later conceptions of this divinatory practice in nineteenth and twentieth-century occultism. Furthermore, the argument will be made that John Heydon’s portrayal of geomancy in his work is highly contaminated, bearing little resemblance to the early modern sources examined in the preceding chapters or their medieval antecedents. Heydon’s approach to geomancy can be viewed as emblematic of a significant rupture in the </w:t>
      </w:r>
      <w:r w:rsidR="0091114A">
        <w:t>Latin</w:t>
      </w:r>
      <w:r>
        <w:t xml:space="preserve"> geomantic tradition, serving as an early example of how geomancy is subsequently handled in the realm of modern occultism.</w:t>
      </w:r>
    </w:p>
    <w:p w14:paraId="2605677B" w14:textId="77777777" w:rsidR="00244FB6" w:rsidRDefault="00244FB6" w:rsidP="00244FB6">
      <w:pPr>
        <w:ind w:firstLine="0"/>
        <w:rPr>
          <w:i/>
          <w:iCs/>
        </w:rPr>
      </w:pPr>
    </w:p>
    <w:p w14:paraId="385FA42A" w14:textId="352ECD2C" w:rsidR="00244FB6" w:rsidRPr="00A443F5" w:rsidRDefault="00244FB6" w:rsidP="00A443F5">
      <w:pPr>
        <w:pStyle w:val="Heading3"/>
        <w:ind w:firstLine="0"/>
        <w:rPr>
          <w:rFonts w:asciiTheme="majorBidi" w:hAnsiTheme="majorBidi"/>
          <w:b/>
          <w:bCs/>
          <w:color w:val="auto"/>
        </w:rPr>
      </w:pPr>
      <w:bookmarkStart w:id="121" w:name="_Toc165108672"/>
      <w:r w:rsidRPr="00A443F5">
        <w:rPr>
          <w:rFonts w:asciiTheme="majorBidi" w:hAnsiTheme="majorBidi"/>
          <w:b/>
          <w:bCs/>
          <w:color w:val="auto"/>
        </w:rPr>
        <w:t>John Heydon</w:t>
      </w:r>
      <w:bookmarkEnd w:id="121"/>
    </w:p>
    <w:p w14:paraId="7A0508D8" w14:textId="77777777" w:rsidR="003044B5" w:rsidRPr="003044B5" w:rsidRDefault="003044B5" w:rsidP="00244FB6">
      <w:pPr>
        <w:ind w:firstLine="0"/>
        <w:rPr>
          <w:b/>
          <w:bCs/>
        </w:rPr>
      </w:pPr>
    </w:p>
    <w:p w14:paraId="4829A7DD" w14:textId="06AD1609" w:rsidR="00244FB6" w:rsidRDefault="00244FB6" w:rsidP="00244FB6">
      <w:r>
        <w:t xml:space="preserve">John Heydon was an occultist, astrologer, attorney and supporter of Rosicrucian philosophy born in England 1629. A detailed and at points rather fantastic biography of Heydon is found in the work </w:t>
      </w:r>
      <w:r w:rsidRPr="00862709">
        <w:rPr>
          <w:i/>
          <w:iCs/>
        </w:rPr>
        <w:t>English Physician's Guide</w:t>
      </w:r>
      <w:r>
        <w:rPr>
          <w:i/>
          <w:iCs/>
        </w:rPr>
        <w:t xml:space="preserve"> </w:t>
      </w:r>
      <w:r>
        <w:t xml:space="preserve">and in </w:t>
      </w:r>
      <w:r w:rsidRPr="00862709">
        <w:rPr>
          <w:i/>
          <w:iCs/>
        </w:rPr>
        <w:t>The Life of John Heydon</w:t>
      </w:r>
      <w:r>
        <w:t xml:space="preserve"> by Frederick Talbot (though possibly written by Heydon himself) in Heydon’s </w:t>
      </w:r>
      <w:r w:rsidRPr="00862709">
        <w:rPr>
          <w:i/>
          <w:iCs/>
        </w:rPr>
        <w:t>The Wise Mans Crown, or the Glory of the Rosie Cross</w:t>
      </w:r>
      <w:r>
        <w:t xml:space="preserve">, published in 1664. Frances Yates in her </w:t>
      </w:r>
      <w:r w:rsidRPr="00520F3C">
        <w:rPr>
          <w:i/>
          <w:iCs/>
        </w:rPr>
        <w:t>The Rosicrucian Enlightenment</w:t>
      </w:r>
      <w:r>
        <w:t xml:space="preserve"> described him as “an astrologer, geomancer, alchemist of a most extreme type”.</w:t>
      </w:r>
      <w:r>
        <w:rPr>
          <w:rStyle w:val="FootnoteReference"/>
        </w:rPr>
        <w:footnoteReference w:id="474"/>
      </w:r>
      <w:r>
        <w:t xml:space="preserve"> Elias Ashmole (</w:t>
      </w:r>
      <w:r w:rsidR="00CE165F">
        <w:t>b.</w:t>
      </w:r>
      <w:r>
        <w:t>1617</w:t>
      </w:r>
      <w:r w:rsidR="00CE165F">
        <w:t xml:space="preserve"> </w:t>
      </w:r>
      <w:r>
        <w:t>-</w:t>
      </w:r>
      <w:r w:rsidR="00CE165F">
        <w:t xml:space="preserve"> d.</w:t>
      </w:r>
      <w:r>
        <w:t>1692) referred to him as “</w:t>
      </w:r>
      <w:r w:rsidRPr="00E335F6">
        <w:t xml:space="preserve">an </w:t>
      </w:r>
      <w:r>
        <w:t>I</w:t>
      </w:r>
      <w:r w:rsidRPr="00E335F6">
        <w:t xml:space="preserve">gnoramus and a </w:t>
      </w:r>
      <w:r>
        <w:t>C</w:t>
      </w:r>
      <w:r w:rsidRPr="00E335F6">
        <w:t>heate</w:t>
      </w:r>
      <w:r>
        <w:t>.”</w:t>
      </w:r>
      <w:r>
        <w:rPr>
          <w:rStyle w:val="FootnoteReference"/>
        </w:rPr>
        <w:footnoteReference w:id="475"/>
      </w:r>
      <w:r w:rsidRPr="006637CF">
        <w:t xml:space="preserve"> </w:t>
      </w:r>
      <w:r>
        <w:t>N</w:t>
      </w:r>
      <w:r w:rsidRPr="006637CF">
        <w:t>otably, Heydon faced allegations of plagiarism, with extensive passages in his works borrowed from authors such as Francis Bacon, John Cleveland, Thomas Vaughan, and Nicholas Culpeper, among others</w:t>
      </w:r>
      <w:r>
        <w:t>.</w:t>
      </w:r>
      <w:r>
        <w:rPr>
          <w:rStyle w:val="FootnoteReference"/>
        </w:rPr>
        <w:footnoteReference w:id="476"/>
      </w:r>
      <w:r>
        <w:t xml:space="preserve"> </w:t>
      </w:r>
      <w:r w:rsidRPr="00E86646">
        <w:t>Between 1655 and 1665, Heydon produced a prolific body of work. However, upon closer examination, it becomes evident that his writings not only featured substantial unattributed content from other authors but also exhibited a tendency to reissue the same work under different titles. Sometimes these reissues would include additional pages or a shift in the overall topic while retaining much of the original material</w:t>
      </w:r>
      <w:r>
        <w:t>.</w:t>
      </w:r>
      <w:r>
        <w:rPr>
          <w:rStyle w:val="FootnoteReference"/>
        </w:rPr>
        <w:footnoteReference w:id="477"/>
      </w:r>
      <w:r>
        <w:t xml:space="preserve"> </w:t>
      </w:r>
      <w:r w:rsidRPr="00E86646">
        <w:t>A recurrent theme across the majority of Heydon</w:t>
      </w:r>
      <w:r>
        <w:t>’</w:t>
      </w:r>
      <w:r w:rsidRPr="00E86646">
        <w:t xml:space="preserve">s publications is the prominent label </w:t>
      </w:r>
      <w:r>
        <w:t>‘</w:t>
      </w:r>
      <w:r w:rsidRPr="00E86646">
        <w:t>Rosicrucian,</w:t>
      </w:r>
      <w:r>
        <w:t>’</w:t>
      </w:r>
      <w:r w:rsidRPr="00E86646">
        <w:t xml:space="preserve"> under which he categori</w:t>
      </w:r>
      <w:r>
        <w:t>s</w:t>
      </w:r>
      <w:r w:rsidRPr="00E86646">
        <w:t>ed a wide array of occult doctrines and forms</w:t>
      </w:r>
      <w:r>
        <w:t xml:space="preserve"> of divination</w:t>
      </w:r>
      <w:r w:rsidRPr="00E86646">
        <w:t>, encompassing alchemy, numerology, geomancy, and various other subjects</w:t>
      </w:r>
      <w:r>
        <w:t>.</w:t>
      </w:r>
      <w:r>
        <w:rPr>
          <w:rStyle w:val="FootnoteReference"/>
        </w:rPr>
        <w:footnoteReference w:id="478"/>
      </w:r>
    </w:p>
    <w:p w14:paraId="0119A381" w14:textId="47875E76" w:rsidR="00244FB6" w:rsidRDefault="00244FB6" w:rsidP="00244FB6">
      <w:r w:rsidRPr="004F4D44">
        <w:t>Geomancy assumes a more prominent role in John Heydon</w:t>
      </w:r>
      <w:r>
        <w:t>’</w:t>
      </w:r>
      <w:r w:rsidRPr="004F4D44">
        <w:t xml:space="preserve">s body of work in two publications: </w:t>
      </w:r>
      <w:r w:rsidRPr="0059058E">
        <w:rPr>
          <w:i/>
          <w:iCs/>
        </w:rPr>
        <w:t>The Temple of Wisdome,</w:t>
      </w:r>
      <w:r w:rsidRPr="004F4D44">
        <w:t xml:space="preserve"> released in 1664, and </w:t>
      </w:r>
      <w:r w:rsidRPr="0059058E">
        <w:rPr>
          <w:i/>
          <w:iCs/>
        </w:rPr>
        <w:t>The English Physitians Tutor</w:t>
      </w:r>
      <w:r w:rsidRPr="004F4D44">
        <w:t>,</w:t>
      </w:r>
      <w:r>
        <w:t xml:space="preserve"> also titled </w:t>
      </w:r>
      <w:r w:rsidRPr="0059058E">
        <w:rPr>
          <w:i/>
          <w:iCs/>
        </w:rPr>
        <w:t>Elhavareuna</w:t>
      </w:r>
      <w:r>
        <w:t>,</w:t>
      </w:r>
      <w:r w:rsidRPr="004F4D44">
        <w:t xml:space="preserve"> published in 1665. </w:t>
      </w:r>
      <w:r w:rsidRPr="00735BBA">
        <w:rPr>
          <w:i/>
          <w:iCs/>
        </w:rPr>
        <w:t>The Temple of Wisdome</w:t>
      </w:r>
      <w:r w:rsidRPr="004F4D44">
        <w:t xml:space="preserve"> boldly announces its exploration of </w:t>
      </w:r>
      <w:r>
        <w:t>“</w:t>
      </w:r>
      <w:r w:rsidRPr="004F4D44">
        <w:t>The Mysterious Vertues of the Characters of the Stars with the Genii, Ideas and Figures of Geomancy…</w:t>
      </w:r>
      <w:r>
        <w:t>”</w:t>
      </w:r>
      <w:r w:rsidRPr="004F4D44">
        <w:t xml:space="preserve"> right on the title page.</w:t>
      </w:r>
      <w:r>
        <w:rPr>
          <w:rStyle w:val="FootnoteReference"/>
        </w:rPr>
        <w:footnoteReference w:id="479"/>
      </w:r>
      <w:r>
        <w:t xml:space="preserve"> </w:t>
      </w:r>
      <w:r w:rsidRPr="004F4D44">
        <w:t xml:space="preserve">Throughout </w:t>
      </w:r>
      <w:r w:rsidRPr="0059058E">
        <w:rPr>
          <w:i/>
          <w:iCs/>
        </w:rPr>
        <w:t>The Temple of Wisdome</w:t>
      </w:r>
      <w:r w:rsidRPr="004F4D44">
        <w:t xml:space="preserve">, representations of the geomantic figures are pervasive, and the text commences by instructing readers in </w:t>
      </w:r>
      <w:r>
        <w:t>“</w:t>
      </w:r>
      <w:r w:rsidRPr="004F4D44">
        <w:t>How to project a Figure, the Rosie Crucian way.</w:t>
      </w:r>
      <w:r>
        <w:t>”</w:t>
      </w:r>
      <w:r w:rsidRPr="004F4D44">
        <w:t xml:space="preserve"> However, this method closely adheres to the traditional practice of casting a geomantic chart</w:t>
      </w:r>
      <w:r>
        <w:t>.</w:t>
      </w:r>
      <w:r>
        <w:rPr>
          <w:rStyle w:val="FootnoteReference"/>
        </w:rPr>
        <w:footnoteReference w:id="480"/>
      </w:r>
      <w:r>
        <w:t xml:space="preserve"> </w:t>
      </w:r>
      <w:r w:rsidRPr="000A360B">
        <w:t>What distinguishes this work from conventional geomantic literature is Heydon</w:t>
      </w:r>
      <w:r>
        <w:t>’</w:t>
      </w:r>
      <w:r w:rsidRPr="000A360B">
        <w:t xml:space="preserve">s linkage of the figures to entities he </w:t>
      </w:r>
      <w:r>
        <w:t>calls ‘</w:t>
      </w:r>
      <w:r w:rsidRPr="000A360B">
        <w:t>rulers,</w:t>
      </w:r>
      <w:r>
        <w:t>’</w:t>
      </w:r>
      <w:r w:rsidRPr="000A360B">
        <w:t xml:space="preserve"> </w:t>
      </w:r>
      <w:r>
        <w:t>‘</w:t>
      </w:r>
      <w:r w:rsidRPr="000A360B">
        <w:t>ideas,</w:t>
      </w:r>
      <w:r>
        <w:t>’</w:t>
      </w:r>
      <w:r w:rsidRPr="000A360B">
        <w:t xml:space="preserve"> and </w:t>
      </w:r>
      <w:r>
        <w:t>‘</w:t>
      </w:r>
      <w:r w:rsidRPr="000A360B">
        <w:t>genii.</w:t>
      </w:r>
      <w:r>
        <w:t>’</w:t>
      </w:r>
      <w:r w:rsidRPr="000A360B">
        <w:t xml:space="preserve"> He presents these entities using magical characters and seals, which purportedly serve in the creation of talismans</w:t>
      </w:r>
      <w:r>
        <w:t>.</w:t>
      </w:r>
      <w:r>
        <w:rPr>
          <w:rStyle w:val="FootnoteReference"/>
        </w:rPr>
        <w:footnoteReference w:id="481"/>
      </w:r>
      <w:r>
        <w:t xml:space="preserve"> </w:t>
      </w:r>
      <w:r w:rsidRPr="000A360B">
        <w:t xml:space="preserve">Within the pages of </w:t>
      </w:r>
      <w:r w:rsidRPr="0059058E">
        <w:rPr>
          <w:i/>
          <w:iCs/>
        </w:rPr>
        <w:t>The Temple of Wisdome</w:t>
      </w:r>
      <w:r w:rsidRPr="000A360B">
        <w:t xml:space="preserve">, Heydon dedicates extensive content to describing these entities and their significance, particularly in relation to geomantic prediction. In Book III of the work, Heydon delves into the connection between the geomantic figures and these seals. This exploration reaches a point where a geomantic shield chart is featured, with these characters replacing the traditional geomantic figures (as seen in </w:t>
      </w:r>
      <w:r w:rsidR="002D2207">
        <w:t>Figure 15)</w:t>
      </w:r>
      <w:r>
        <w:t>.</w:t>
      </w:r>
      <w:r>
        <w:rPr>
          <w:rStyle w:val="FootnoteReference"/>
        </w:rPr>
        <w:footnoteReference w:id="482"/>
      </w:r>
      <w:r>
        <w:t xml:space="preserve"> </w:t>
      </w:r>
      <w:r w:rsidRPr="00CC6DFD">
        <w:t xml:space="preserve">The material from </w:t>
      </w:r>
      <w:r w:rsidRPr="007E1342">
        <w:rPr>
          <w:i/>
          <w:iCs/>
        </w:rPr>
        <w:t>The Temple of Wisdome</w:t>
      </w:r>
      <w:r w:rsidRPr="00CC6DFD">
        <w:t>, including some diagrams displaying geomantic figures, reappears in Heydon</w:t>
      </w:r>
      <w:r>
        <w:t>’</w:t>
      </w:r>
      <w:r w:rsidRPr="00CC6DFD">
        <w:t xml:space="preserve">s </w:t>
      </w:r>
      <w:r w:rsidRPr="00E150D9">
        <w:rPr>
          <w:i/>
          <w:iCs/>
        </w:rPr>
        <w:t>Elhavareuna</w:t>
      </w:r>
      <w:r w:rsidRPr="00CC6DFD">
        <w:t>, which was published the following year. In this later work, Heydon interweaves geomancy with alchemy rather than angelic alphabets, continuing to explore the realm of the esoteric sciences.</w:t>
      </w:r>
    </w:p>
    <w:p w14:paraId="4FA233A6" w14:textId="1DB7844B" w:rsidR="00244FB6" w:rsidRDefault="00244FB6" w:rsidP="00244FB6">
      <w:r>
        <w:t>The title page of this second work declares that the tract will deal with “[…] Miraculous Saphiric Medicines of the Sun and the Moon […] all harmoniously united and o[p]perated by Astromancy and Geomancy […].” The text mixes alchemical, astrological, geomantic and Rosicrucian elements for the preparation of alchemical remedies to cure diseases, and is structured as a dialogue, entitled ‘Elhavareuna or Rosie Crucian Medicines of Mettals’,  performed by two fictitious characters, one Eugenius Philathes, acting as disciple, and Eugenius Theodidactus, the teacher.</w:t>
      </w:r>
      <w:r>
        <w:rPr>
          <w:rStyle w:val="FootnoteReference"/>
        </w:rPr>
        <w:footnoteReference w:id="483"/>
      </w:r>
      <w:r w:rsidRPr="004576ED">
        <w:t xml:space="preserve"> The primary focus of the text revolves around the preparation of seven elixirs</w:t>
      </w:r>
      <w:r>
        <w:t xml:space="preserve">, corresponding to the seven planets, </w:t>
      </w:r>
      <w:r w:rsidRPr="004576ED">
        <w:t>each symboli</w:t>
      </w:r>
      <w:r w:rsidR="003F4480">
        <w:t>s</w:t>
      </w:r>
      <w:r w:rsidRPr="004576ED">
        <w:t>ing a distinct disease</w:t>
      </w:r>
      <w:r>
        <w:t>. Each elixir also corresponds to a sign of the zodiac, as well as to the sixteen geomantic figures.</w:t>
      </w:r>
      <w:r>
        <w:rPr>
          <w:rStyle w:val="FootnoteReference"/>
        </w:rPr>
        <w:footnoteReference w:id="484"/>
      </w:r>
      <w:r>
        <w:t xml:space="preserve"> </w:t>
      </w:r>
      <w:r w:rsidRPr="00AA4D53">
        <w:t xml:space="preserve">To elucidate this connection, each medicine is accompanied by both an astrological and a geomantic chart, revealing the </w:t>
      </w:r>
      <w:r>
        <w:t>“</w:t>
      </w:r>
      <w:r w:rsidRPr="00AA4D53">
        <w:t>harmony of the preparation.</w:t>
      </w:r>
      <w:r>
        <w:t>”</w:t>
      </w:r>
      <w:r>
        <w:rPr>
          <w:rStyle w:val="FootnoteReference"/>
        </w:rPr>
        <w:footnoteReference w:id="485"/>
      </w:r>
      <w:r>
        <w:t xml:space="preserve"> </w:t>
      </w:r>
      <w:r w:rsidRPr="00AA4D53">
        <w:t xml:space="preserve">In </w:t>
      </w:r>
      <w:r>
        <w:t xml:space="preserve">the </w:t>
      </w:r>
      <w:r w:rsidRPr="00AA4D53">
        <w:rPr>
          <w:i/>
          <w:iCs/>
        </w:rPr>
        <w:t>Elhavareuna</w:t>
      </w:r>
      <w:r w:rsidRPr="00AA4D53">
        <w:t xml:space="preserve">, geomancy is portrayed as a science imparted by the Rosicrucian. It is described as </w:t>
      </w:r>
      <w:r>
        <w:t>“the Mount of God and his Misticall Philosophicall Geomancy, which is nothing else tha</w:t>
      </w:r>
      <w:r w:rsidR="002A67F1">
        <w:t>n</w:t>
      </w:r>
      <w:r>
        <w:t xml:space="preserve"> the highest and purest part of the Earth.”</w:t>
      </w:r>
      <w:r>
        <w:rPr>
          <w:rStyle w:val="FootnoteReference"/>
        </w:rPr>
        <w:footnoteReference w:id="486"/>
      </w:r>
      <w:r>
        <w:t xml:space="preserve"> This definition does not have much to do with the science of the sand imported from the Islamic world in the twelfth century, rather accentuates the relationship that the term has with the element of ‘earth’. </w:t>
      </w:r>
      <w:r w:rsidRPr="00AA4D53">
        <w:t>his association, however, diverges significantly from the geomantic practices originating from the Islamic tradition in the twelfth century, highlighting geomancy</w:t>
      </w:r>
      <w:r>
        <w:t>’</w:t>
      </w:r>
      <w:r w:rsidRPr="00AA4D53">
        <w:t>s link to the nobler metals, particularly gold and silver. These metals were of utmost interest to alchemists, seeking their transmutation from base metals.</w:t>
      </w:r>
      <w:r w:rsidRPr="00484DDA">
        <w:t xml:space="preserve"> Heydon goes further to intertwine the influence of angels with the powers of the stars, planets, and geomantic figures, particularly in relation to the metals forming the basis for each elixir. The inclusion of angelic names and geomantic charts can be observed in one of the illustrations within </w:t>
      </w:r>
      <w:r>
        <w:t>the text</w:t>
      </w:r>
      <w:r w:rsidRPr="00484DDA">
        <w:t>, potentially representing the author</w:t>
      </w:r>
      <w:r>
        <w:t>’</w:t>
      </w:r>
      <w:r w:rsidRPr="00484DDA">
        <w:t>s birth chart through the lens of geomancy</w:t>
      </w:r>
      <w:r>
        <w:t>.</w:t>
      </w:r>
      <w:r>
        <w:rPr>
          <w:rStyle w:val="FootnoteReference"/>
        </w:rPr>
        <w:footnoteReference w:id="487"/>
      </w:r>
      <w:r>
        <w:t xml:space="preserve"> </w:t>
      </w:r>
      <w:r w:rsidRPr="00484DDA">
        <w:t>This approach underscores Heydon’s departure from traditional geomantic practices, which did not typically encompass the drawing of natal charts</w:t>
      </w:r>
      <w:r>
        <w:t>.</w:t>
      </w:r>
    </w:p>
    <w:p w14:paraId="1CA45275" w14:textId="76C54AAC" w:rsidR="00244FB6" w:rsidRDefault="00244FB6" w:rsidP="00244FB6">
      <w:r w:rsidRPr="00D5760D">
        <w:t xml:space="preserve">A particularly </w:t>
      </w:r>
      <w:r>
        <w:t>interesting</w:t>
      </w:r>
      <w:r w:rsidRPr="00D5760D">
        <w:t xml:space="preserve"> facet of the </w:t>
      </w:r>
      <w:r w:rsidRPr="00D5760D">
        <w:rPr>
          <w:i/>
          <w:iCs/>
        </w:rPr>
        <w:t>Elhavareuna</w:t>
      </w:r>
      <w:r w:rsidRPr="00D5760D">
        <w:t xml:space="preserve"> is the series of engravings depicting the seven elixirs discussed in the text. These emblems comprise intricate combinations of alchemical symbols and motifs, sourced from various origins, some of which are discernible. While most elements in these engravings change from one to the next, two components are consistent throughout all seven: an alchemical vessel and a tree.</w:t>
      </w:r>
      <w:r>
        <w:t xml:space="preserve"> The example used here is the emblem representing the elixir of Mercury (</w:t>
      </w:r>
      <w:r w:rsidR="002D2207">
        <w:t>Figure 16</w:t>
      </w:r>
      <w:r>
        <w:t>).</w:t>
      </w:r>
      <w:r>
        <w:rPr>
          <w:rStyle w:val="FootnoteReference"/>
        </w:rPr>
        <w:footnoteReference w:id="488"/>
      </w:r>
      <w:r>
        <w:t xml:space="preserve"> </w:t>
      </w:r>
      <w:r w:rsidRPr="00601781">
        <w:t xml:space="preserve">Commencing from the right side of the page, </w:t>
      </w:r>
      <w:r>
        <w:t>the first image is that of</w:t>
      </w:r>
      <w:r w:rsidRPr="00601781">
        <w:t xml:space="preserve"> the tree. Its root bears the inscription </w:t>
      </w:r>
      <w:r>
        <w:t>‘</w:t>
      </w:r>
      <w:r w:rsidRPr="00601781">
        <w:t>A. vivum,</w:t>
      </w:r>
      <w:r>
        <w:t>’</w:t>
      </w:r>
      <w:r w:rsidRPr="00601781">
        <w:t xml:space="preserve"> specifying the metal from which the preparation is derived, with </w:t>
      </w:r>
      <w:r>
        <w:t>‘</w:t>
      </w:r>
      <w:r w:rsidRPr="00601781">
        <w:t>argentum vivum</w:t>
      </w:r>
      <w:r>
        <w:t>’</w:t>
      </w:r>
      <w:r w:rsidRPr="00601781">
        <w:t xml:space="preserve"> being the Latin term for Quicksilver or Mercury. </w:t>
      </w:r>
      <w:r>
        <w:t>By ascending</w:t>
      </w:r>
      <w:r w:rsidRPr="00601781">
        <w:t xml:space="preserve"> the tree</w:t>
      </w:r>
      <w:r>
        <w:t>’</w:t>
      </w:r>
      <w:r w:rsidRPr="00601781">
        <w:t xml:space="preserve">s trunk, two geomantic figures, </w:t>
      </w:r>
      <w:r w:rsidRPr="000C0EC8">
        <w:rPr>
          <w:i/>
          <w:iCs/>
        </w:rPr>
        <w:t>Albus</w:t>
      </w:r>
      <w:r w:rsidRPr="00601781">
        <w:t xml:space="preserve"> and </w:t>
      </w:r>
      <w:r w:rsidRPr="000C0EC8">
        <w:rPr>
          <w:i/>
          <w:iCs/>
        </w:rPr>
        <w:t>Coniunctio</w:t>
      </w:r>
      <w:r w:rsidRPr="00601781">
        <w:t xml:space="preserve"> (possibly), appear as star</w:t>
      </w:r>
      <w:r>
        <w:t xml:space="preserve"> clusters</w:t>
      </w:r>
      <w:r w:rsidRPr="00601781">
        <w:t xml:space="preserve">, along with somewhat challenging-to-decipher astrological coordinates denoting the position of the planet Mercury in the zodiac. Above these is the word </w:t>
      </w:r>
      <w:r>
        <w:t>‘</w:t>
      </w:r>
      <w:r w:rsidRPr="00601781">
        <w:t>sublimation.</w:t>
      </w:r>
      <w:r>
        <w:t xml:space="preserve">’ </w:t>
      </w:r>
      <w:r w:rsidRPr="00601781">
        <w:t xml:space="preserve">Proceeding onward, two branches extend from the main trunk, with the left one inscribed as </w:t>
      </w:r>
      <w:r>
        <w:t>‘</w:t>
      </w:r>
      <w:r w:rsidRPr="00601781">
        <w:t>calcination – solution</w:t>
      </w:r>
      <w:r>
        <w:t>’</w:t>
      </w:r>
      <w:r w:rsidRPr="00601781">
        <w:t xml:space="preserve"> and the right as </w:t>
      </w:r>
      <w:r>
        <w:t>‘</w:t>
      </w:r>
      <w:r w:rsidRPr="00601781">
        <w:t>precipitation-fixed oyle.</w:t>
      </w:r>
      <w:r>
        <w:t>’</w:t>
      </w:r>
      <w:r w:rsidRPr="00601781">
        <w:t xml:space="preserve"> Continuing up the central trunk</w:t>
      </w:r>
      <w:r>
        <w:t xml:space="preserve"> are the terms</w:t>
      </w:r>
      <w:r w:rsidRPr="00601781">
        <w:t xml:space="preserve"> </w:t>
      </w:r>
      <w:r>
        <w:t>‘</w:t>
      </w:r>
      <w:r w:rsidRPr="00601781">
        <w:t>inceration,</w:t>
      </w:r>
      <w:r>
        <w:t>’</w:t>
      </w:r>
      <w:r w:rsidRPr="00601781">
        <w:t xml:space="preserve"> </w:t>
      </w:r>
      <w:r>
        <w:t>‘</w:t>
      </w:r>
      <w:r w:rsidRPr="00601781">
        <w:t>disiccation,</w:t>
      </w:r>
      <w:r>
        <w:t>’</w:t>
      </w:r>
      <w:r w:rsidRPr="00601781">
        <w:t xml:space="preserve"> </w:t>
      </w:r>
      <w:r>
        <w:t>‘</w:t>
      </w:r>
      <w:r w:rsidRPr="00601781">
        <w:t>contrition,</w:t>
      </w:r>
      <w:r>
        <w:t>’</w:t>
      </w:r>
      <w:r w:rsidRPr="00601781">
        <w:t xml:space="preserve"> and </w:t>
      </w:r>
      <w:r>
        <w:t>‘</w:t>
      </w:r>
      <w:r w:rsidRPr="00601781">
        <w:t>fermentation.</w:t>
      </w:r>
      <w:r>
        <w:t>’</w:t>
      </w:r>
      <w:r w:rsidRPr="00601781">
        <w:t xml:space="preserve"> At the tree</w:t>
      </w:r>
      <w:r>
        <w:t>’</w:t>
      </w:r>
      <w:r w:rsidRPr="00601781">
        <w:t xml:space="preserve">s top, within a circular frame, the inscription </w:t>
      </w:r>
      <w:r>
        <w:t>‘</w:t>
      </w:r>
      <w:r w:rsidRPr="00601781">
        <w:t>The Red Elixer</w:t>
      </w:r>
      <w:r>
        <w:t>’</w:t>
      </w:r>
      <w:r w:rsidRPr="00601781">
        <w:t xml:space="preserve"> is featured. The tree represents the successive stages in the preparation of the remedy utili</w:t>
      </w:r>
      <w:r>
        <w:t>s</w:t>
      </w:r>
      <w:r w:rsidRPr="00601781">
        <w:t xml:space="preserve">ing the metal quicksilver, with the order of stages moving from the base of the tree upwards. This progression also incorporates consideration of a particular astrological and geomantic context. In alchemical emblems, it is common to depict the stages of preparation along a staircase, yet the tree is another recurring symbol found in alchemical imagery, such as the </w:t>
      </w:r>
      <w:r>
        <w:t>‘</w:t>
      </w:r>
      <w:r w:rsidRPr="00601781">
        <w:t>Philosophical tree</w:t>
      </w:r>
      <w:r>
        <w:t>’</w:t>
      </w:r>
      <w:r w:rsidRPr="00601781">
        <w:t xml:space="preserve"> in the Ripley Scroll</w:t>
      </w:r>
      <w:r>
        <w:t>,</w:t>
      </w:r>
      <w:r>
        <w:rPr>
          <w:rStyle w:val="FootnoteReference"/>
        </w:rPr>
        <w:footnoteReference w:id="489"/>
      </w:r>
      <w:r>
        <w:t xml:space="preserve"> the trees of the Sun and the Moon in the </w:t>
      </w:r>
      <w:r w:rsidRPr="00FA65B9">
        <w:rPr>
          <w:i/>
          <w:iCs/>
        </w:rPr>
        <w:t>Rosarium philosophorum</w:t>
      </w:r>
      <w:r>
        <w:t>,</w:t>
      </w:r>
      <w:r>
        <w:rPr>
          <w:rStyle w:val="FootnoteReference"/>
        </w:rPr>
        <w:footnoteReference w:id="490"/>
      </w:r>
      <w:r>
        <w:t xml:space="preserve"> a</w:t>
      </w:r>
      <w:r w:rsidRPr="00601781">
        <w:t>nd within Kabbalistic representations like the Sephiroth</w:t>
      </w:r>
      <w:r>
        <w:t>ic</w:t>
      </w:r>
      <w:r w:rsidRPr="00601781">
        <w:t xml:space="preserve"> tree</w:t>
      </w:r>
      <w:r>
        <w:t>.</w:t>
      </w:r>
      <w:r>
        <w:rPr>
          <w:rStyle w:val="FootnoteReference"/>
        </w:rPr>
        <w:footnoteReference w:id="491"/>
      </w:r>
    </w:p>
    <w:p w14:paraId="66FC07B3" w14:textId="76B12493" w:rsidR="00244FB6" w:rsidRDefault="00244FB6" w:rsidP="00244FB6">
      <w:r>
        <w:t xml:space="preserve">At the centre of the page is a depiction of a vessel, featuring the symbol of Mercury adorning its cap. Within the vessel, a dove is shown ascending toward its upper section, while various layers of a composite substance are depicted beneath it. This imagery was </w:t>
      </w:r>
      <w:r w:rsidR="00CE165F">
        <w:t>probably</w:t>
      </w:r>
      <w:r>
        <w:t xml:space="preserve"> sourced by Heydon from an anonymous alchemical compilation known as </w:t>
      </w:r>
      <w:r w:rsidRPr="0081182C">
        <w:rPr>
          <w:i/>
          <w:iCs/>
        </w:rPr>
        <w:t>Coronatio naturae</w:t>
      </w:r>
      <w:r>
        <w:t xml:space="preserve"> or ‘The Crowning of Nature.’ This work has been found in numerous manuscript copies from the sixteenth century onward and employs allegorical representations to illustrate the stages of the alchemical process for creating the philosopher’s stone. Within an alchemical vessel, sometimes represented as a simple circle, the figures in the </w:t>
      </w:r>
      <w:r w:rsidRPr="00837BE5">
        <w:rPr>
          <w:i/>
          <w:iCs/>
        </w:rPr>
        <w:t>Coronatio naturae</w:t>
      </w:r>
      <w:r>
        <w:t xml:space="preserve"> symbolise various alchemical substances that combine, separate, dissolve, evaporate, and transmute. Among these figures, one may encounter depictions of lions, toads, birds, angels, celestial bodies (moon and stars), as well as </w:t>
      </w:r>
      <w:r w:rsidR="002E7650">
        <w:t>a</w:t>
      </w:r>
      <w:r>
        <w:t xml:space="preserve"> king and queen. These illustrations typically number sixty-six and bear titles indicating the name of the respective stage in the alchemical experiment, accompanied at times by explanatory text in either English or Latin. The clear correspondence between Heydon’s representation of the vessel for the elixir of Mercury and the vessel denoting the stage of ‘Separation’ in the </w:t>
      </w:r>
      <w:r w:rsidRPr="00F1338A">
        <w:rPr>
          <w:i/>
          <w:iCs/>
        </w:rPr>
        <w:t>Coronatio naturae</w:t>
      </w:r>
      <w:r>
        <w:t xml:space="preserve"> is readily evident when comparing the two images (</w:t>
      </w:r>
      <w:r w:rsidR="003E03A0">
        <w:t>Figure 16</w:t>
      </w:r>
      <w:r>
        <w:t xml:space="preserve"> and </w:t>
      </w:r>
      <w:r w:rsidR="003E03A0">
        <w:t>Figure 17</w:t>
      </w:r>
      <w:r>
        <w:t>)</w:t>
      </w:r>
      <w:r w:rsidRPr="00F62B19">
        <w:t>.</w:t>
      </w:r>
      <w:r w:rsidRPr="00F62B19">
        <w:rPr>
          <w:rStyle w:val="FootnoteReference"/>
        </w:rPr>
        <w:footnoteReference w:id="492"/>
      </w:r>
      <w:r>
        <w:t xml:space="preserve"> </w:t>
      </w:r>
      <w:r w:rsidRPr="00F1338A">
        <w:t xml:space="preserve">Notably, </w:t>
      </w:r>
      <w:r w:rsidR="00AE7C32">
        <w:t>figure 16</w:t>
      </w:r>
      <w:r w:rsidRPr="00F1338A">
        <w:t xml:space="preserve"> feature</w:t>
      </w:r>
      <w:r w:rsidR="00AE7C32">
        <w:t>s</w:t>
      </w:r>
      <w:r w:rsidRPr="00F1338A">
        <w:t xml:space="preserve"> an ouroboros (a serpent or dragon consuming its own tail), </w:t>
      </w:r>
      <w:r w:rsidR="00AE7C32">
        <w:t xml:space="preserve">a symbol also found in some of the images of the </w:t>
      </w:r>
      <w:r w:rsidR="00AE7C32" w:rsidRPr="00AE7C32">
        <w:rPr>
          <w:i/>
          <w:iCs/>
        </w:rPr>
        <w:t>Coronatio Naturae</w:t>
      </w:r>
      <w:r w:rsidR="00AE7C32">
        <w:t xml:space="preserve">, and </w:t>
      </w:r>
      <w:r w:rsidRPr="00F1338A">
        <w:t>which bears a striking resemblance to the ouroboros found in Michael Maier</w:t>
      </w:r>
      <w:r>
        <w:t>’</w:t>
      </w:r>
      <w:r w:rsidRPr="00F1338A">
        <w:t xml:space="preserve">s </w:t>
      </w:r>
      <w:r w:rsidRPr="00F1338A">
        <w:rPr>
          <w:i/>
          <w:iCs/>
        </w:rPr>
        <w:t>Atalanta Fugiens</w:t>
      </w:r>
      <w:r w:rsidRPr="00F1338A">
        <w:t>, published in 1618</w:t>
      </w:r>
      <w:r>
        <w:t>.</w:t>
      </w:r>
      <w:r>
        <w:rPr>
          <w:rStyle w:val="FootnoteReference"/>
        </w:rPr>
        <w:footnoteReference w:id="493"/>
      </w:r>
      <w:r>
        <w:t xml:space="preserve"> A</w:t>
      </w:r>
      <w:r w:rsidRPr="00F1338A">
        <w:t>dditionally, to the left of the vessel in Heydon</w:t>
      </w:r>
      <w:r>
        <w:t>’</w:t>
      </w:r>
      <w:r w:rsidRPr="00F1338A">
        <w:t xml:space="preserve">s illustration is an image of a candle, accompanied by the inscriptions </w:t>
      </w:r>
      <w:r>
        <w:t>‘</w:t>
      </w:r>
      <w:r w:rsidRPr="00F1338A">
        <w:t>naturae lumen,</w:t>
      </w:r>
      <w:r>
        <w:t>’</w:t>
      </w:r>
      <w:r w:rsidRPr="00F1338A">
        <w:t xml:space="preserve"> and the phrases </w:t>
      </w:r>
      <w:r>
        <w:t>‘</w:t>
      </w:r>
      <w:r w:rsidRPr="00F1338A">
        <w:t>Terra in aerem, Aer in aquam, Aqua in Ignem, Ignis in Terram.</w:t>
      </w:r>
      <w:r>
        <w:t>’</w:t>
      </w:r>
      <w:r w:rsidRPr="00F1338A">
        <w:t xml:space="preserve"> These terms, whether expressed in English or Latin, </w:t>
      </w:r>
      <w:r>
        <w:t xml:space="preserve">also </w:t>
      </w:r>
      <w:r w:rsidRPr="00F1338A">
        <w:t xml:space="preserve">correspond to the figure </w:t>
      </w:r>
      <w:r>
        <w:t>‘</w:t>
      </w:r>
      <w:r w:rsidRPr="00F1338A">
        <w:t>Separation</w:t>
      </w:r>
      <w:r>
        <w:t>’</w:t>
      </w:r>
      <w:r w:rsidRPr="00F1338A">
        <w:t xml:space="preserve"> in</w:t>
      </w:r>
      <w:r>
        <w:t xml:space="preserve"> the</w:t>
      </w:r>
      <w:r w:rsidRPr="00F1338A">
        <w:t xml:space="preserve"> </w:t>
      </w:r>
      <w:r w:rsidRPr="00F1338A">
        <w:rPr>
          <w:i/>
          <w:iCs/>
        </w:rPr>
        <w:t>Coronatio naturae</w:t>
      </w:r>
      <w:r w:rsidRPr="00F1338A">
        <w:t>.</w:t>
      </w:r>
    </w:p>
    <w:p w14:paraId="6DC05CE1" w14:textId="68BED3DD" w:rsidR="00244FB6" w:rsidRDefault="00244FB6" w:rsidP="00244FB6">
      <w:r>
        <w:t>The works of John Heydon can be found in a spurious work dating from the eighteenth century, entitled</w:t>
      </w:r>
      <w:r w:rsidRPr="00BF0F05">
        <w:rPr>
          <w:i/>
          <w:iCs/>
        </w:rPr>
        <w:t xml:space="preserve"> </w:t>
      </w:r>
      <w:r w:rsidRPr="00DB6802">
        <w:rPr>
          <w:i/>
          <w:iCs/>
        </w:rPr>
        <w:t>The Rosie Crucian Secrets, Their excellent Method of making Medicines of Mettals. Also their Lawes and Mysteries</w:t>
      </w:r>
      <w:r>
        <w:t xml:space="preserve">, preserved uniquely in the manuscript London, British Library, Harley MS 6485, dated 1713. The text is attributed to John Dee (1527-1608 AD), mathematician and astrologer at the court of Elizabeth I, and </w:t>
      </w:r>
      <w:r w:rsidRPr="00390EED">
        <w:t xml:space="preserve">each quire of </w:t>
      </w:r>
      <w:r>
        <w:t>four</w:t>
      </w:r>
      <w:r w:rsidRPr="00390EED">
        <w:t xml:space="preserve"> folios contains an inscription </w:t>
      </w:r>
      <w:r>
        <w:t>in the top left corner ‘</w:t>
      </w:r>
      <w:r w:rsidRPr="00390EED">
        <w:t xml:space="preserve">the first </w:t>
      </w:r>
      <w:r w:rsidR="0070361C">
        <w:t>(</w:t>
      </w:r>
      <w:r w:rsidRPr="00390EED">
        <w:t>second, etc</w:t>
      </w:r>
      <w:r w:rsidR="0070361C">
        <w:t>)</w:t>
      </w:r>
      <w:r w:rsidRPr="00390EED">
        <w:t xml:space="preserve"> sheet Dr Dee.</w:t>
      </w:r>
      <w:r>
        <w:t>’</w:t>
      </w:r>
      <w:r w:rsidRPr="00213027">
        <w:t xml:space="preserve"> The attribution of this spurious work to Dee is noteworthy, particularly in light of Frances Yates</w:t>
      </w:r>
      <w:r>
        <w:t>’</w:t>
      </w:r>
      <w:r w:rsidRPr="00213027">
        <w:t xml:space="preserve"> studies. She identified Dee</w:t>
      </w:r>
      <w:r>
        <w:t>’</w:t>
      </w:r>
      <w:r w:rsidRPr="00213027">
        <w:t xml:space="preserve">s contributions as the source of the philosophical foundation underlying the first publications of the Rosicrucian Manifestos, specifically the </w:t>
      </w:r>
      <w:r w:rsidRPr="00213027">
        <w:rPr>
          <w:i/>
          <w:iCs/>
        </w:rPr>
        <w:t>Fama Fraternitatis</w:t>
      </w:r>
      <w:r w:rsidRPr="00213027">
        <w:t xml:space="preserve"> in 1614, the </w:t>
      </w:r>
      <w:r w:rsidRPr="00213027">
        <w:rPr>
          <w:i/>
          <w:iCs/>
        </w:rPr>
        <w:t>Confessio Fraternitatis</w:t>
      </w:r>
      <w:r w:rsidRPr="00213027">
        <w:t xml:space="preserve"> in 1615, and </w:t>
      </w:r>
      <w:r w:rsidRPr="00213027">
        <w:rPr>
          <w:i/>
          <w:iCs/>
        </w:rPr>
        <w:t>The Chemical Wedding of Christian Rosenkreutz</w:t>
      </w:r>
      <w:r w:rsidRPr="00213027">
        <w:t xml:space="preserve"> in 1616</w:t>
      </w:r>
      <w:r>
        <w:t>.</w:t>
      </w:r>
      <w:r>
        <w:rPr>
          <w:rStyle w:val="FootnoteReference"/>
        </w:rPr>
        <w:footnoteReference w:id="494"/>
      </w:r>
      <w:r>
        <w:t xml:space="preserve"> </w:t>
      </w:r>
      <w:r w:rsidRPr="003B04C9">
        <w:t xml:space="preserve">The text itself is divided into three distinct parts. The first section, spanning from folio 1r to 376r, contains </w:t>
      </w:r>
      <w:r>
        <w:t>‘</w:t>
      </w:r>
      <w:r w:rsidRPr="003B04C9">
        <w:t>The Rosie Crucian Secrets.</w:t>
      </w:r>
      <w:r>
        <w:t>’</w:t>
      </w:r>
      <w:r w:rsidRPr="003B04C9">
        <w:t xml:space="preserve"> This section provides a wealth of alchemical and medical material that focuses on the preparation of medicinal substances from metals. It also delves into the alchemical and philosophical principles associated with the Rosicrucian Order. It becomes apparent that this section draws inspiration from Heydon's works, including </w:t>
      </w:r>
      <w:r w:rsidRPr="00BC09B3">
        <w:rPr>
          <w:i/>
          <w:iCs/>
        </w:rPr>
        <w:t>Elhavareuna</w:t>
      </w:r>
      <w:r w:rsidRPr="003B04C9">
        <w:t xml:space="preserve"> and </w:t>
      </w:r>
      <w:r>
        <w:t>‘</w:t>
      </w:r>
      <w:r w:rsidRPr="003B04C9">
        <w:t>The Wise Man</w:t>
      </w:r>
      <w:r>
        <w:t>’</w:t>
      </w:r>
      <w:r w:rsidRPr="003B04C9">
        <w:t>s Crown.</w:t>
      </w:r>
      <w:r>
        <w:t>’</w:t>
      </w:r>
      <w:r>
        <w:rPr>
          <w:rStyle w:val="FootnoteReference"/>
        </w:rPr>
        <w:footnoteReference w:id="495"/>
      </w:r>
      <w:r>
        <w:t xml:space="preserve"> The second section, from </w:t>
      </w:r>
      <w:r w:rsidRPr="008C3ED3">
        <w:t>f</w:t>
      </w:r>
      <w:r>
        <w:t>olio</w:t>
      </w:r>
      <w:r w:rsidRPr="008C3ED3">
        <w:t xml:space="preserve"> 377</w:t>
      </w:r>
      <w:r>
        <w:t xml:space="preserve">r to </w:t>
      </w:r>
      <w:r w:rsidRPr="008C3ED3">
        <w:t>404v</w:t>
      </w:r>
      <w:r>
        <w:t xml:space="preserve">, contains </w:t>
      </w:r>
      <w:r w:rsidRPr="008C3ED3">
        <w:t>an alchemical lexicon</w:t>
      </w:r>
      <w:r>
        <w:t xml:space="preserve"> entitled</w:t>
      </w:r>
      <w:r w:rsidRPr="008C3ED3">
        <w:t xml:space="preserve"> </w:t>
      </w:r>
      <w:r w:rsidRPr="008C3ED3">
        <w:rPr>
          <w:i/>
          <w:iCs/>
        </w:rPr>
        <w:t>Clavis Chymicus. Or an Explanation of certain Chymical hard Words used in Dr Dee's Works, Alphabetically digested</w:t>
      </w:r>
      <w:r>
        <w:t>. Finally, the section between folios</w:t>
      </w:r>
      <w:r w:rsidRPr="008C3ED3">
        <w:t xml:space="preserve"> 405r</w:t>
      </w:r>
      <w:r>
        <w:t xml:space="preserve"> and </w:t>
      </w:r>
      <w:r w:rsidRPr="008C3ED3">
        <w:t>501r</w:t>
      </w:r>
      <w:r>
        <w:t xml:space="preserve"> contains</w:t>
      </w:r>
      <w:r w:rsidRPr="008C3ED3">
        <w:t xml:space="preserve"> an adapted translation of </w:t>
      </w:r>
      <w:r>
        <w:t xml:space="preserve">the </w:t>
      </w:r>
      <w:r w:rsidRPr="008C3ED3">
        <w:rPr>
          <w:i/>
          <w:iCs/>
        </w:rPr>
        <w:t>Themis Aurea</w:t>
      </w:r>
      <w:r>
        <w:rPr>
          <w:i/>
          <w:iCs/>
        </w:rPr>
        <w:t xml:space="preserve">, </w:t>
      </w:r>
      <w:r>
        <w:t xml:space="preserve">here under the title </w:t>
      </w:r>
      <w:r w:rsidRPr="008C3ED3">
        <w:rPr>
          <w:i/>
          <w:iCs/>
        </w:rPr>
        <w:t>Of the Laws and Mysteries of the Rosie Crucians</w:t>
      </w:r>
      <w:r>
        <w:rPr>
          <w:i/>
          <w:iCs/>
        </w:rPr>
        <w:t>,</w:t>
      </w:r>
      <w:r>
        <w:t xml:space="preserve"> written by </w:t>
      </w:r>
      <w:r w:rsidRPr="008C3ED3">
        <w:t>Michael Maier</w:t>
      </w:r>
      <w:r>
        <w:t xml:space="preserve"> (</w:t>
      </w:r>
      <w:r w:rsidRPr="00B51B4F">
        <w:t>1568–1622</w:t>
      </w:r>
      <w:r>
        <w:t xml:space="preserve"> AD), alchemist and physician at the court of Rudolf II.</w:t>
      </w:r>
      <w:r>
        <w:rPr>
          <w:rStyle w:val="FootnoteReference"/>
        </w:rPr>
        <w:footnoteReference w:id="496"/>
      </w:r>
    </w:p>
    <w:p w14:paraId="07B81170" w14:textId="0161073F" w:rsidR="00244FB6" w:rsidRDefault="00244FB6" w:rsidP="00244FB6">
      <w:r w:rsidRPr="00BC09B3">
        <w:t xml:space="preserve">The initial section of </w:t>
      </w:r>
      <w:r w:rsidRPr="005E59A9">
        <w:rPr>
          <w:i/>
          <w:iCs/>
        </w:rPr>
        <w:t>The Rosie Crucian Secrets</w:t>
      </w:r>
      <w:r w:rsidRPr="00BC09B3">
        <w:t>, which is adapted from John Heydon</w:t>
      </w:r>
      <w:r>
        <w:t>’</w:t>
      </w:r>
      <w:r w:rsidRPr="00BC09B3">
        <w:t>s work, prominently features material related to geomancy. This content is heavily influenced by Heydon</w:t>
      </w:r>
      <w:r>
        <w:t>’</w:t>
      </w:r>
      <w:r w:rsidRPr="00BC09B3">
        <w:t xml:space="preserve">s </w:t>
      </w:r>
      <w:r w:rsidRPr="00BC09B3">
        <w:rPr>
          <w:i/>
          <w:iCs/>
        </w:rPr>
        <w:t>Elhavareuna</w:t>
      </w:r>
      <w:r>
        <w:t>,</w:t>
      </w:r>
      <w:r w:rsidRPr="00BC09B3">
        <w:t xml:space="preserve"> and includes details about planetary elixirs. Notably, it incorporates representations of </w:t>
      </w:r>
      <w:r>
        <w:t xml:space="preserve">alchemical </w:t>
      </w:r>
      <w:r w:rsidRPr="00BC09B3">
        <w:t>trees, similar to those found in the original engravings from Heydon</w:t>
      </w:r>
      <w:r>
        <w:t>’</w:t>
      </w:r>
      <w:r w:rsidRPr="00BC09B3">
        <w:t xml:space="preserve">s work. However, the additional elements present in the original engravings are notably absent in this adaptation. Another reference to geomancy appears in the </w:t>
      </w:r>
      <w:r w:rsidRPr="00BC09B3">
        <w:rPr>
          <w:i/>
          <w:iCs/>
        </w:rPr>
        <w:t>Clavis Chymicus,</w:t>
      </w:r>
      <w:r w:rsidRPr="00BC09B3">
        <w:t xml:space="preserve"> a section of the text that serves as an alphabetically organi</w:t>
      </w:r>
      <w:r w:rsidR="002E7650">
        <w:t>s</w:t>
      </w:r>
      <w:r w:rsidRPr="00BC09B3">
        <w:t xml:space="preserve">ed alchemical lexicon containing terms purportedly used by John Dee. Under the letter </w:t>
      </w:r>
      <w:r>
        <w:t>‘</w:t>
      </w:r>
      <w:r w:rsidRPr="00BC09B3">
        <w:t>G,</w:t>
      </w:r>
      <w:r>
        <w:t>’</w:t>
      </w:r>
      <w:r w:rsidRPr="00BC09B3">
        <w:t xml:space="preserve"> the entry for geomancy provides the following definition: </w:t>
      </w:r>
      <w:r>
        <w:t>“Geomancy is the most known Art of the Earth, but in this place it is taken for the stars of the Earth, manifesting themselves to men, so that thereby they may take sure ground for presaging.”</w:t>
      </w:r>
      <w:r>
        <w:rPr>
          <w:rStyle w:val="FootnoteReference"/>
        </w:rPr>
        <w:footnoteReference w:id="497"/>
      </w:r>
      <w:r>
        <w:t xml:space="preserve"> </w:t>
      </w:r>
      <w:r w:rsidRPr="00BC09B3">
        <w:t xml:space="preserve">This definition reaffirms the widespread popularity and recognition of geomancy during the early modern era. Furthermore, the </w:t>
      </w:r>
      <w:r w:rsidRPr="00BC09B3">
        <w:rPr>
          <w:i/>
          <w:iCs/>
        </w:rPr>
        <w:t>Clavis Chymicus</w:t>
      </w:r>
      <w:r>
        <w:t xml:space="preserve"> </w:t>
      </w:r>
      <w:r w:rsidRPr="00BC09B3">
        <w:t xml:space="preserve">aligns with the belief, prevalent in both medieval and early modern sources, that geomancy is essentially a form of astrology. It suggests that the combinations of </w:t>
      </w:r>
      <w:r w:rsidR="002F2BE4">
        <w:t>points</w:t>
      </w:r>
      <w:r w:rsidRPr="00BC09B3">
        <w:t xml:space="preserve"> that form the sixteen geomantic figures correspond to specific configurations in the celestial realm. This perspective is consistent with the geomantic theory presented in the earlier part of the text, where geomancy is portrayed as a terrestrial form of astrology nested within a vertical hierarchy of causes originating in the heavens.</w:t>
      </w:r>
    </w:p>
    <w:p w14:paraId="77D08719" w14:textId="055B4D0E" w:rsidR="00244FB6" w:rsidRDefault="00244FB6" w:rsidP="00244FB6">
      <w:pPr>
        <w:ind w:firstLine="0"/>
        <w:rPr>
          <w:i/>
          <w:iCs/>
        </w:rPr>
      </w:pPr>
    </w:p>
    <w:p w14:paraId="15DBD53A" w14:textId="04835FA0" w:rsidR="00244FB6" w:rsidRPr="002701EF" w:rsidRDefault="00244FB6" w:rsidP="00244FB6">
      <w:r>
        <w:t>John Heydon’s contributions to geomancy represent a distinctive phase in the evolution of geomantic practices in Europe. Unlike the early modern texts</w:t>
      </w:r>
      <w:r w:rsidR="000A732C">
        <w:t xml:space="preserve"> previously</w:t>
      </w:r>
      <w:r>
        <w:t xml:space="preserve"> discusse</w:t>
      </w:r>
      <w:r w:rsidR="000A732C">
        <w:t>d</w:t>
      </w:r>
      <w:r>
        <w:t xml:space="preserve"> in this chapter, Heydon’s works deviate significantly from the medieval tradition. While works by figures like Robert Fludd, Bartholomew Cocles, and Cristophe de Cattan maintain</w:t>
      </w:r>
      <w:r w:rsidR="00033882">
        <w:t>ed</w:t>
      </w:r>
      <w:r>
        <w:t xml:space="preserve"> a connection to their medieval sources, Heydon’s approach signals a profound departure from previous geomantic </w:t>
      </w:r>
      <w:r w:rsidR="00033882">
        <w:t>production</w:t>
      </w:r>
      <w:r>
        <w:t xml:space="preserve">. The first part of this chapter highlighted both elements of continuity and change between medieval and early modern geomantic texts. The earlier works and those </w:t>
      </w:r>
      <w:r w:rsidR="00A47853">
        <w:t>by</w:t>
      </w:r>
      <w:r>
        <w:t xml:space="preserve"> Robert Fludd, while incorporating some innovative elements, still remain within the framework of traditional geomantic doctrine and practices. Robert Fludd’s exploration of geomancy situates it within a structured universe, where there’s a strong connection between the microcosm and macrocosm, each divided into the intelligible, celestial, and terrestrial realms. Even the more elaborate theories in his </w:t>
      </w:r>
      <w:r w:rsidRPr="00165919">
        <w:rPr>
          <w:i/>
          <w:iCs/>
        </w:rPr>
        <w:t>History of the Microcosm</w:t>
      </w:r>
      <w:r>
        <w:t xml:space="preserve"> maintain some similarities with how geomancy is depicted in Ibn </w:t>
      </w:r>
      <w:r w:rsidR="00B95CDD">
        <w:t>Khaldūn</w:t>
      </w:r>
      <w:r>
        <w:t xml:space="preserve">’s </w:t>
      </w:r>
      <w:r w:rsidRPr="000F75D8">
        <w:rPr>
          <w:i/>
          <w:iCs/>
        </w:rPr>
        <w:t>Muqaddima</w:t>
      </w:r>
      <w:r>
        <w:t xml:space="preserve">. </w:t>
      </w:r>
      <w:r w:rsidR="00A47853">
        <w:t>Moreover, it is evident that Fludd was a skilled geomancer himself, and had read a wide array of medieval and contemporary geomantic texts</w:t>
      </w:r>
      <w:r w:rsidR="006D57A5">
        <w:t>;</w:t>
      </w:r>
      <w:r w:rsidR="00A47853">
        <w:t xml:space="preserve"> this is evident both by his wide and detailed knowledge of this discipline</w:t>
      </w:r>
      <w:r w:rsidR="006D57A5">
        <w:t xml:space="preserve"> that emerges in his works</w:t>
      </w:r>
      <w:r w:rsidR="00A47853">
        <w:t xml:space="preserve">, and by the fact that he lists many of his sources </w:t>
      </w:r>
      <w:r w:rsidR="006D57A5">
        <w:t xml:space="preserve">on geomancy </w:t>
      </w:r>
      <w:r w:rsidR="00A47853">
        <w:t xml:space="preserve">in the </w:t>
      </w:r>
      <w:r w:rsidR="00A47853" w:rsidRPr="00A47853">
        <w:rPr>
          <w:i/>
          <w:iCs/>
        </w:rPr>
        <w:t>Ustriusque Cosmi…Historia</w:t>
      </w:r>
      <w:r w:rsidR="00A47853">
        <w:t xml:space="preserve">. </w:t>
      </w:r>
      <w:r>
        <w:t xml:space="preserve">Conversely, John Heydon’s approach to geomancy is markedly distinct. In his works, the traditional use of geomancy for predictions </w:t>
      </w:r>
      <w:r w:rsidR="00B13068">
        <w:t>similar to those made in</w:t>
      </w:r>
      <w:r>
        <w:t xml:space="preserve"> </w:t>
      </w:r>
      <w:r w:rsidR="00B13068">
        <w:t xml:space="preserve">astrological </w:t>
      </w:r>
      <w:r>
        <w:t>elections and interrogations is largely set aside. Heydon introduces a nativity chart based on geomancy, where the geomantic figures are integrated into alchemical preparations, forming part of a cosmological hierarchy that includes angels, planets, ideas, the zodiac, the figures, and metals. While Fludd also demonstrated an interest in Rosicrucianism,</w:t>
      </w:r>
      <w:r>
        <w:rPr>
          <w:rStyle w:val="FootnoteReference"/>
        </w:rPr>
        <w:footnoteReference w:id="498"/>
      </w:r>
      <w:r>
        <w:t xml:space="preserve"> Heydon expanded the label of ‘Rosicrucian’ to encompass not just geomancy but various occult, magical, and esoteric doctrines. His writings appear as an unorganised amalgamation of ideas from Rosicrucianism, Kabbalah, alchemy, astrology, geomancy, and other sources. Moreover, Heydon’s approach foreshadows the </w:t>
      </w:r>
      <w:r w:rsidR="00DA60E1">
        <w:t>direction</w:t>
      </w:r>
      <w:r>
        <w:t xml:space="preserve"> </w:t>
      </w:r>
      <w:r w:rsidR="00DA60E1">
        <w:t>taken</w:t>
      </w:r>
      <w:r>
        <w:t xml:space="preserve"> </w:t>
      </w:r>
      <w:r w:rsidR="00F36DC6">
        <w:t xml:space="preserve">later </w:t>
      </w:r>
      <w:r>
        <w:t xml:space="preserve">in the nineteenth and twentieth-century occultism and the revival of geomancy. This trend is evident among groups such as the Hermetic Order of the Golden Dawn, active in Britain during the late </w:t>
      </w:r>
      <w:r w:rsidR="00B22C9F">
        <w:t>nineteenth</w:t>
      </w:r>
      <w:r>
        <w:t xml:space="preserve"> and early </w:t>
      </w:r>
      <w:r w:rsidR="00B22C9F">
        <w:t>twentieth</w:t>
      </w:r>
      <w:r>
        <w:t xml:space="preserve"> centuries, dedicated to studying occult Hermeticism, metaphysics, magic, and theurgy.</w:t>
      </w:r>
      <w:r w:rsidRPr="000F75D8">
        <w:rPr>
          <w:rStyle w:val="FootnoteReference"/>
        </w:rPr>
        <w:t xml:space="preserve"> </w:t>
      </w:r>
      <w:r>
        <w:rPr>
          <w:rStyle w:val="FootnoteReference"/>
        </w:rPr>
        <w:footnoteReference w:id="499"/>
      </w:r>
      <w:r>
        <w:t xml:space="preserve"> The influence of Heydon’s work on the Hermetic Order of the Golden Dawn has been documented, primarily through A. E. Waite</w:t>
      </w:r>
      <w:r w:rsidR="00D37B58">
        <w:t>’</w:t>
      </w:r>
      <w:r w:rsidR="00A3308F">
        <w:t>s</w:t>
      </w:r>
      <w:r>
        <w:t>s ‘The Real History of the Rosicrucians,’ where Heydon is portrayed as an “extraordinary Royalist, mystic and geomancer.”</w:t>
      </w:r>
      <w:r>
        <w:rPr>
          <w:rStyle w:val="FootnoteReference"/>
        </w:rPr>
        <w:footnoteReference w:id="500"/>
      </w:r>
      <w:r>
        <w:t xml:space="preserve">  Heydon’s works became foundational texts for the study of geomancy within the Hermetic Order of the Golden Dawn, under the guidance of S. L. MacGregor Mathers.</w:t>
      </w:r>
      <w:r w:rsidRPr="000F75D8">
        <w:rPr>
          <w:rStyle w:val="FootnoteReference"/>
        </w:rPr>
        <w:t xml:space="preserve"> </w:t>
      </w:r>
      <w:r>
        <w:rPr>
          <w:rStyle w:val="FootnoteReference"/>
        </w:rPr>
        <w:footnoteReference w:id="501"/>
      </w:r>
      <w:r>
        <w:t xml:space="preserve"> Ultimately, the seventeenth century signifies the conclusion of the </w:t>
      </w:r>
      <w:r w:rsidR="00B95DC9">
        <w:t>European</w:t>
      </w:r>
      <w:r>
        <w:t xml:space="preserve"> geomantic tradition that had its origins in the translation of Arabic geomantic texts during the twelfth century. This chapter offers only a limited overview of geomantic developments during the early modern period. Nevertheless, it provides insights into the legacy of medieval geomancy in early modern times and the diverse traditions and perspectives that arose from it.</w:t>
      </w:r>
    </w:p>
    <w:p w14:paraId="2D8FD163" w14:textId="77777777" w:rsidR="00244FB6" w:rsidRDefault="00244FB6" w:rsidP="00244FB6">
      <w:pPr>
        <w:ind w:firstLine="0"/>
        <w:rPr>
          <w:i/>
          <w:iCs/>
        </w:rPr>
      </w:pPr>
    </w:p>
    <w:p w14:paraId="0160891A" w14:textId="77777777" w:rsidR="00244FB6" w:rsidRPr="00E460DD" w:rsidRDefault="00244FB6" w:rsidP="00244FB6">
      <w:pPr>
        <w:ind w:firstLine="0"/>
        <w:rPr>
          <w:i/>
          <w:iCs/>
        </w:rPr>
      </w:pPr>
    </w:p>
    <w:p w14:paraId="6F785E85" w14:textId="38B68AE2" w:rsidR="00244FB6" w:rsidRDefault="00244FB6" w:rsidP="0019439E">
      <w:pPr>
        <w:ind w:firstLine="0"/>
        <w:jc w:val="center"/>
      </w:pPr>
      <w:r>
        <w:rPr>
          <w:noProof/>
        </w:rPr>
        <w:drawing>
          <wp:inline distT="0" distB="0" distL="0" distR="0" wp14:anchorId="1746A0BC" wp14:editId="6331B7BF">
            <wp:extent cx="5320053" cy="6460067"/>
            <wp:effectExtent l="0" t="0" r="0" b="0"/>
            <wp:docPr id="1182015187" name="Picture 9" descr="A picture containing text, font, number,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15187" name="Picture 9" descr="A picture containing text, font, number, handwriting&#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367780" cy="6518021"/>
                    </a:xfrm>
                    <a:prstGeom prst="rect">
                      <a:avLst/>
                    </a:prstGeom>
                    <a:ln>
                      <a:noFill/>
                    </a:ln>
                  </pic:spPr>
                </pic:pic>
              </a:graphicData>
            </a:graphic>
          </wp:inline>
        </w:drawing>
      </w:r>
    </w:p>
    <w:p w14:paraId="5260C0CA" w14:textId="1BBA4489" w:rsidR="0019439E" w:rsidRPr="00EE4427" w:rsidRDefault="0019439E" w:rsidP="0019439E">
      <w:pPr>
        <w:spacing w:line="240" w:lineRule="auto"/>
        <w:ind w:firstLine="0"/>
        <w:jc w:val="center"/>
        <w:rPr>
          <w:sz w:val="20"/>
          <w:szCs w:val="20"/>
        </w:rPr>
      </w:pPr>
      <w:bookmarkStart w:id="125" w:name="_Hlk150942543"/>
      <w:r w:rsidRPr="0019439E">
        <w:rPr>
          <w:b/>
          <w:bCs/>
          <w:sz w:val="20"/>
          <w:szCs w:val="20"/>
        </w:rPr>
        <w:t xml:space="preserve">Figure </w:t>
      </w:r>
      <w:r>
        <w:rPr>
          <w:b/>
          <w:bCs/>
          <w:sz w:val="20"/>
          <w:szCs w:val="20"/>
        </w:rPr>
        <w:t>15</w:t>
      </w:r>
      <w:r w:rsidRPr="0019439E">
        <w:rPr>
          <w:b/>
          <w:bCs/>
          <w:sz w:val="20"/>
          <w:szCs w:val="20"/>
        </w:rPr>
        <w:t>.</w:t>
      </w:r>
      <w:r>
        <w:rPr>
          <w:b/>
          <w:bCs/>
          <w:sz w:val="20"/>
          <w:szCs w:val="20"/>
        </w:rPr>
        <w:t xml:space="preserve"> </w:t>
      </w:r>
      <w:r w:rsidRPr="0019439E">
        <w:rPr>
          <w:sz w:val="20"/>
          <w:szCs w:val="20"/>
        </w:rPr>
        <w:t xml:space="preserve"> </w:t>
      </w:r>
      <w:r w:rsidR="00D8538D">
        <w:rPr>
          <w:sz w:val="20"/>
          <w:szCs w:val="20"/>
        </w:rPr>
        <w:t>G</w:t>
      </w:r>
      <w:r>
        <w:rPr>
          <w:sz w:val="20"/>
          <w:szCs w:val="20"/>
        </w:rPr>
        <w:t>eomantic chart containing seals instead of figures.</w:t>
      </w:r>
      <w:r w:rsidR="00D8538D" w:rsidRPr="00D8538D">
        <w:rPr>
          <w:sz w:val="20"/>
          <w:szCs w:val="20"/>
        </w:rPr>
        <w:t xml:space="preserve"> </w:t>
      </w:r>
      <w:r w:rsidR="00C97B74">
        <w:rPr>
          <w:sz w:val="20"/>
          <w:szCs w:val="20"/>
        </w:rPr>
        <w:t xml:space="preserve">Source: </w:t>
      </w:r>
      <w:r w:rsidR="00D8538D">
        <w:rPr>
          <w:sz w:val="20"/>
          <w:szCs w:val="20"/>
        </w:rPr>
        <w:t xml:space="preserve">John Heydon, </w:t>
      </w:r>
      <w:r w:rsidR="00D8538D" w:rsidRPr="00EE4427">
        <w:rPr>
          <w:i/>
          <w:iCs/>
          <w:sz w:val="20"/>
          <w:szCs w:val="20"/>
        </w:rPr>
        <w:t>The Temple of Wisdome</w:t>
      </w:r>
      <w:r w:rsidR="00A55656" w:rsidRPr="00A55656">
        <w:t xml:space="preserve"> </w:t>
      </w:r>
      <w:r w:rsidR="00A55656" w:rsidRPr="00A55656">
        <w:rPr>
          <w:sz w:val="20"/>
          <w:szCs w:val="20"/>
        </w:rPr>
        <w:t>(1664), p. 178</w:t>
      </w:r>
      <w:r w:rsidR="00A55656">
        <w:rPr>
          <w:sz w:val="20"/>
          <w:szCs w:val="20"/>
        </w:rPr>
        <w:t xml:space="preserve">. </w:t>
      </w:r>
      <w:r w:rsidR="006E1772" w:rsidRPr="006E1772">
        <w:rPr>
          <w:sz w:val="20"/>
          <w:szCs w:val="20"/>
        </w:rPr>
        <w:t>Early English Books Online</w:t>
      </w:r>
      <w:r w:rsidR="006E1772">
        <w:rPr>
          <w:sz w:val="20"/>
          <w:szCs w:val="20"/>
        </w:rPr>
        <w:t>:</w:t>
      </w:r>
      <w:r w:rsidR="00C97B74" w:rsidRPr="00C97B74">
        <w:t xml:space="preserve"> </w:t>
      </w:r>
      <w:r w:rsidR="00C97B74" w:rsidRPr="00C97B74">
        <w:rPr>
          <w:sz w:val="20"/>
          <w:szCs w:val="20"/>
        </w:rPr>
        <w:t>https://www.proquest.com/eebo/docview/2240924771/312EA20F61BA489CPQ/15?accountid=213250&amp;sourcetype=Books&amp;imgSeq=1</w:t>
      </w:r>
    </w:p>
    <w:bookmarkEnd w:id="125"/>
    <w:p w14:paraId="00E51F19" w14:textId="64D0F849" w:rsidR="0019439E" w:rsidRDefault="0019439E" w:rsidP="0019439E">
      <w:pPr>
        <w:ind w:firstLine="0"/>
        <w:jc w:val="center"/>
      </w:pPr>
    </w:p>
    <w:p w14:paraId="77CEF75F" w14:textId="41261C65" w:rsidR="00244FB6" w:rsidRDefault="00244FB6" w:rsidP="0019439E">
      <w:pPr>
        <w:ind w:firstLine="0"/>
        <w:jc w:val="center"/>
      </w:pPr>
      <w:r>
        <w:rPr>
          <w:noProof/>
        </w:rPr>
        <w:drawing>
          <wp:inline distT="0" distB="0" distL="0" distR="0" wp14:anchorId="1C4C502D" wp14:editId="41B7F8DA">
            <wp:extent cx="4597400" cy="6896104"/>
            <wp:effectExtent l="0" t="0" r="0" b="0"/>
            <wp:docPr id="915184941" name="Picture 11" descr="A black and white drawing of a bottle and a drag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84941" name="Picture 11" descr="A black and white drawing of a bottle and a dragon&#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4635465" cy="6953201"/>
                    </a:xfrm>
                    <a:prstGeom prst="rect">
                      <a:avLst/>
                    </a:prstGeom>
                  </pic:spPr>
                </pic:pic>
              </a:graphicData>
            </a:graphic>
          </wp:inline>
        </w:drawing>
      </w:r>
    </w:p>
    <w:p w14:paraId="2B15A0E7" w14:textId="223B6624" w:rsidR="0019439E" w:rsidRPr="007E5D47" w:rsidRDefault="0019439E" w:rsidP="009C2ACA">
      <w:pPr>
        <w:spacing w:line="240" w:lineRule="auto"/>
        <w:ind w:firstLine="0"/>
        <w:jc w:val="center"/>
        <w:rPr>
          <w:sz w:val="20"/>
          <w:szCs w:val="20"/>
        </w:rPr>
      </w:pPr>
      <w:bookmarkStart w:id="126" w:name="_Hlk150942507"/>
      <w:r w:rsidRPr="0019439E">
        <w:rPr>
          <w:b/>
          <w:bCs/>
          <w:sz w:val="20"/>
          <w:szCs w:val="20"/>
        </w:rPr>
        <w:t>Figure 16.</w:t>
      </w:r>
      <w:r w:rsidRPr="0019439E">
        <w:rPr>
          <w:sz w:val="20"/>
          <w:szCs w:val="20"/>
        </w:rPr>
        <w:t xml:space="preserve"> </w:t>
      </w:r>
      <w:r w:rsidR="009C2ACA">
        <w:rPr>
          <w:sz w:val="20"/>
          <w:szCs w:val="20"/>
        </w:rPr>
        <w:t xml:space="preserve">The tree of Mercury. Source: </w:t>
      </w:r>
      <w:r>
        <w:rPr>
          <w:sz w:val="20"/>
          <w:szCs w:val="20"/>
        </w:rPr>
        <w:t xml:space="preserve">John Heydon, </w:t>
      </w:r>
      <w:r w:rsidRPr="007E5D47">
        <w:rPr>
          <w:i/>
          <w:iCs/>
          <w:sz w:val="20"/>
          <w:szCs w:val="20"/>
        </w:rPr>
        <w:t>Elhavareuna</w:t>
      </w:r>
      <w:r w:rsidR="009C2ACA">
        <w:rPr>
          <w:sz w:val="20"/>
          <w:szCs w:val="20"/>
        </w:rPr>
        <w:t xml:space="preserve"> (</w:t>
      </w:r>
      <w:r w:rsidR="00827932">
        <w:rPr>
          <w:sz w:val="20"/>
          <w:szCs w:val="20"/>
        </w:rPr>
        <w:t>1665)</w:t>
      </w:r>
      <w:r w:rsidR="00D55B6C">
        <w:rPr>
          <w:sz w:val="20"/>
          <w:szCs w:val="20"/>
        </w:rPr>
        <w:t xml:space="preserve">. </w:t>
      </w:r>
      <w:r w:rsidR="00D55B6C" w:rsidRPr="006E1772">
        <w:rPr>
          <w:sz w:val="20"/>
          <w:szCs w:val="20"/>
        </w:rPr>
        <w:t>Early English Books Online</w:t>
      </w:r>
      <w:r w:rsidR="00D55B6C">
        <w:rPr>
          <w:sz w:val="20"/>
          <w:szCs w:val="20"/>
        </w:rPr>
        <w:t xml:space="preserve">: </w:t>
      </w:r>
      <w:r w:rsidR="00652E75" w:rsidRPr="00652E75">
        <w:rPr>
          <w:sz w:val="20"/>
          <w:szCs w:val="20"/>
        </w:rPr>
        <w:t>https://www.proquest.com/eebo/docview/2240974578/312EA20F61BA489CPQ/6?accountid=213250&amp;sourcetype=Books&amp;imgSeq=1</w:t>
      </w:r>
    </w:p>
    <w:bookmarkEnd w:id="126"/>
    <w:p w14:paraId="2D838F1A" w14:textId="77777777" w:rsidR="0019439E" w:rsidRDefault="0019439E" w:rsidP="0019439E">
      <w:pPr>
        <w:ind w:firstLine="0"/>
        <w:jc w:val="center"/>
      </w:pPr>
    </w:p>
    <w:p w14:paraId="59F4E1D5" w14:textId="463804BF" w:rsidR="00244FB6" w:rsidRDefault="00244FB6" w:rsidP="0019439E">
      <w:pPr>
        <w:ind w:firstLine="0"/>
        <w:jc w:val="center"/>
      </w:pPr>
      <w:r>
        <w:rPr>
          <w:noProof/>
        </w:rPr>
        <w:drawing>
          <wp:inline distT="0" distB="0" distL="0" distR="0" wp14:anchorId="2998060D" wp14:editId="06A198D1">
            <wp:extent cx="4851400" cy="6997211"/>
            <wp:effectExtent l="0" t="0" r="6350" b="0"/>
            <wp:docPr id="260277708" name="Picture 13" descr="A picture containing drawing, child art, letter,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77708" name="Picture 13" descr="A picture containing drawing, child art, letter, sketch&#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875262" cy="7031628"/>
                    </a:xfrm>
                    <a:prstGeom prst="rect">
                      <a:avLst/>
                    </a:prstGeom>
                  </pic:spPr>
                </pic:pic>
              </a:graphicData>
            </a:graphic>
          </wp:inline>
        </w:drawing>
      </w:r>
    </w:p>
    <w:p w14:paraId="276C7EAD" w14:textId="5097E232" w:rsidR="0019439E" w:rsidRPr="0045391B" w:rsidRDefault="0019439E" w:rsidP="003B3D85">
      <w:pPr>
        <w:spacing w:line="240" w:lineRule="auto"/>
        <w:ind w:firstLine="0"/>
        <w:jc w:val="center"/>
        <w:rPr>
          <w:sz w:val="20"/>
          <w:szCs w:val="20"/>
        </w:rPr>
      </w:pPr>
      <w:bookmarkStart w:id="127" w:name="_Hlk150942474"/>
      <w:r w:rsidRPr="0019439E">
        <w:rPr>
          <w:b/>
          <w:bCs/>
          <w:sz w:val="20"/>
          <w:szCs w:val="20"/>
        </w:rPr>
        <w:t>Figure 17</w:t>
      </w:r>
      <w:r>
        <w:rPr>
          <w:i/>
          <w:iCs/>
          <w:sz w:val="20"/>
          <w:szCs w:val="20"/>
        </w:rPr>
        <w:t xml:space="preserve">. </w:t>
      </w:r>
      <w:r>
        <w:rPr>
          <w:sz w:val="20"/>
          <w:szCs w:val="20"/>
        </w:rPr>
        <w:t xml:space="preserve"> </w:t>
      </w:r>
      <w:r w:rsidRPr="0045391B">
        <w:rPr>
          <w:i/>
          <w:iCs/>
          <w:sz w:val="20"/>
          <w:szCs w:val="20"/>
        </w:rPr>
        <w:t>Coronatio naturae</w:t>
      </w:r>
      <w:r>
        <w:rPr>
          <w:sz w:val="20"/>
          <w:szCs w:val="20"/>
        </w:rPr>
        <w:t>, ‘Separation’</w:t>
      </w:r>
      <w:r w:rsidR="00166686">
        <w:rPr>
          <w:sz w:val="20"/>
          <w:szCs w:val="20"/>
        </w:rPr>
        <w:t xml:space="preserve"> (</w:t>
      </w:r>
      <w:r>
        <w:rPr>
          <w:sz w:val="20"/>
          <w:szCs w:val="20"/>
        </w:rPr>
        <w:t xml:space="preserve">Cambridge University Library, </w:t>
      </w:r>
      <w:r w:rsidRPr="0045391B">
        <w:rPr>
          <w:sz w:val="20"/>
          <w:szCs w:val="20"/>
        </w:rPr>
        <w:t>MS Gg. 1.8 f.11</w:t>
      </w:r>
      <w:r>
        <w:rPr>
          <w:sz w:val="20"/>
          <w:szCs w:val="20"/>
        </w:rPr>
        <w:t>3</w:t>
      </w:r>
      <w:r w:rsidRPr="0045391B">
        <w:rPr>
          <w:sz w:val="20"/>
          <w:szCs w:val="20"/>
        </w:rPr>
        <w:t>r</w:t>
      </w:r>
      <w:r w:rsidR="00166686">
        <w:rPr>
          <w:sz w:val="20"/>
          <w:szCs w:val="20"/>
        </w:rPr>
        <w:t>)</w:t>
      </w:r>
      <w:r>
        <w:rPr>
          <w:sz w:val="20"/>
          <w:szCs w:val="20"/>
        </w:rPr>
        <w:t>.</w:t>
      </w:r>
      <w:r w:rsidR="002272FF" w:rsidRPr="002272FF">
        <w:t xml:space="preserve"> </w:t>
      </w:r>
      <w:r w:rsidR="002272FF" w:rsidRPr="002272FF">
        <w:rPr>
          <w:sz w:val="20"/>
          <w:szCs w:val="20"/>
        </w:rPr>
        <w:t>Creative Commons Attribution-Non</w:t>
      </w:r>
      <w:r w:rsidR="00216DE9">
        <w:rPr>
          <w:sz w:val="20"/>
          <w:szCs w:val="20"/>
        </w:rPr>
        <w:t xml:space="preserve"> </w:t>
      </w:r>
      <w:r w:rsidR="002272FF" w:rsidRPr="002272FF">
        <w:rPr>
          <w:sz w:val="20"/>
          <w:szCs w:val="20"/>
        </w:rPr>
        <w:t>Commercial 3.0 Unported License (CC BY-NC 3.0)</w:t>
      </w:r>
      <w:r w:rsidR="00216DE9">
        <w:rPr>
          <w:sz w:val="20"/>
          <w:szCs w:val="20"/>
        </w:rPr>
        <w:t>.</w:t>
      </w:r>
    </w:p>
    <w:bookmarkEnd w:id="127"/>
    <w:p w14:paraId="7DE94E3B" w14:textId="77777777" w:rsidR="00C27EC1" w:rsidRDefault="00C27EC1">
      <w:pPr>
        <w:rPr>
          <w:b/>
          <w:bCs/>
        </w:rPr>
      </w:pPr>
      <w:r>
        <w:rPr>
          <w:b/>
          <w:bCs/>
        </w:rPr>
        <w:br w:type="page"/>
      </w:r>
    </w:p>
    <w:p w14:paraId="7A6B253E" w14:textId="77777777" w:rsidR="00C27EC1" w:rsidRPr="00C27EC1" w:rsidRDefault="00C27EC1" w:rsidP="00C27EC1">
      <w:pPr>
        <w:pStyle w:val="Heading1"/>
        <w:ind w:firstLine="0"/>
        <w:jc w:val="center"/>
        <w:rPr>
          <w:rFonts w:asciiTheme="majorBidi" w:hAnsiTheme="majorBidi"/>
          <w:color w:val="auto"/>
          <w:sz w:val="24"/>
          <w:szCs w:val="24"/>
        </w:rPr>
      </w:pPr>
      <w:bookmarkStart w:id="128" w:name="_Toc165108673"/>
      <w:r w:rsidRPr="00C27EC1">
        <w:rPr>
          <w:rFonts w:asciiTheme="majorBidi" w:hAnsiTheme="majorBidi"/>
          <w:color w:val="auto"/>
          <w:sz w:val="24"/>
          <w:szCs w:val="24"/>
        </w:rPr>
        <w:t>CONCLUSIONS</w:t>
      </w:r>
      <w:bookmarkEnd w:id="128"/>
    </w:p>
    <w:p w14:paraId="7B80A671" w14:textId="77777777" w:rsidR="00C27EC1" w:rsidRDefault="00C27EC1" w:rsidP="00C27EC1">
      <w:pPr>
        <w:ind w:firstLine="0"/>
      </w:pPr>
    </w:p>
    <w:p w14:paraId="117E450C" w14:textId="6A10A257" w:rsidR="00C27EC1" w:rsidRDefault="00C27EC1" w:rsidP="00C27EC1">
      <w:pPr>
        <w:ind w:firstLine="360"/>
      </w:pPr>
      <w:r>
        <w:t xml:space="preserve">This exploration of the epistemological status of geomancy stems from Eugenio Garin’s statement, articulated in his 1976 book </w:t>
      </w:r>
      <w:r w:rsidRPr="00095062">
        <w:rPr>
          <w:i/>
          <w:iCs/>
        </w:rPr>
        <w:t>Lo zodiaco della vita</w:t>
      </w:r>
      <w:r>
        <w:t xml:space="preserve">, of a profound interrelation between geomancy and astrological interrogations and elections. </w:t>
      </w:r>
      <w:r w:rsidRPr="00FD0F5D">
        <w:t>Garin was the first to acknowledge that, more than astrology</w:t>
      </w:r>
      <w:r w:rsidR="00E739E3">
        <w:t xml:space="preserve"> in general</w:t>
      </w:r>
      <w:r w:rsidRPr="00FD0F5D">
        <w:t xml:space="preserve">, geomancy intertwines celestial influences and deep </w:t>
      </w:r>
      <w:r w:rsidRPr="00DF4818">
        <w:t>psychological</w:t>
      </w:r>
      <w:r w:rsidRPr="00FD0F5D">
        <w:t xml:space="preserve"> reactions. </w:t>
      </w:r>
      <w:r w:rsidR="00E739E3">
        <w:t>According to him, g</w:t>
      </w:r>
      <w:r w:rsidRPr="00FD0F5D">
        <w:t>eomantic practice offer</w:t>
      </w:r>
      <w:r>
        <w:t>s</w:t>
      </w:r>
      <w:r w:rsidRPr="00FD0F5D">
        <w:t xml:space="preserve"> a unique avenue for interpreting celestial signs, not solely through astronomical observations or by reading the </w:t>
      </w:r>
      <w:r>
        <w:t>‘</w:t>
      </w:r>
      <w:r w:rsidRPr="00FD0F5D">
        <w:t>book of the stars.</w:t>
      </w:r>
      <w:r>
        <w:t>’</w:t>
      </w:r>
      <w:r w:rsidRPr="00FD0F5D">
        <w:t xml:space="preserve"> Rather, </w:t>
      </w:r>
      <w:r>
        <w:t>it</w:t>
      </w:r>
      <w:r w:rsidRPr="00FD0F5D">
        <w:t xml:space="preserve"> demonstrate</w:t>
      </w:r>
      <w:r>
        <w:t>s</w:t>
      </w:r>
      <w:r w:rsidRPr="00FD0F5D">
        <w:t xml:space="preserve"> how astral influences shape individuals, </w:t>
      </w:r>
      <w:r w:rsidR="00E739E3">
        <w:t>impressing in them the signs of</w:t>
      </w:r>
      <w:r w:rsidRPr="00FD0F5D">
        <w:t xml:space="preserve"> the alignment of the heavens</w:t>
      </w:r>
      <w:r>
        <w:t>, that can be read and deciphered by the skilled practitioner.</w:t>
      </w:r>
      <w:r>
        <w:rPr>
          <w:rStyle w:val="FootnoteReference"/>
        </w:rPr>
        <w:footnoteReference w:id="502"/>
      </w:r>
      <w:r>
        <w:t xml:space="preserve"> With this premise, this thesis has explored the medieval discourse surrounding the acquisition of knowledge through the art of geomancy, as well as the significance ascribed to the</w:t>
      </w:r>
      <w:r w:rsidRPr="00BA2731">
        <w:rPr>
          <w:color w:val="FF0000"/>
        </w:rPr>
        <w:t xml:space="preserve"> </w:t>
      </w:r>
      <w:r w:rsidR="00DF4818" w:rsidRPr="00DF4818">
        <w:t>mental</w:t>
      </w:r>
      <w:r w:rsidRPr="00BA2731">
        <w:rPr>
          <w:color w:val="FF0000"/>
        </w:rPr>
        <w:t xml:space="preserve"> </w:t>
      </w:r>
      <w:r>
        <w:t xml:space="preserve">state of both the practitioner and the individual seeking answers through this practice. Drawing upon an extensive body of literature on geomancy and related subjects, I have argued that the investigation of one’s innermost thoughts constitutes a fundamental element of this predictive art, which </w:t>
      </w:r>
      <w:r w:rsidR="008426FE">
        <w:t>the Latin world</w:t>
      </w:r>
      <w:r>
        <w:t xml:space="preserve"> inherited from the Islamic tradition. Furthermore, I have posited that this particular dimension of geomantic practice, namely, its emphasis on a geomancer’s capacity to delve into the depths of the human </w:t>
      </w:r>
      <w:r w:rsidR="00DF4818" w:rsidRPr="00DF4818">
        <w:t>soul</w:t>
      </w:r>
      <w:r w:rsidRPr="00DF4818">
        <w:t>,</w:t>
      </w:r>
      <w:r>
        <w:t xml:space="preserve"> played a substantial role in shaping the controversial reputation associated with geomancy in the </w:t>
      </w:r>
      <w:r w:rsidR="008426FE">
        <w:t>European</w:t>
      </w:r>
      <w:r>
        <w:t xml:space="preserve"> context.</w:t>
      </w:r>
    </w:p>
    <w:p w14:paraId="342BAAE9" w14:textId="70AA3CEB" w:rsidR="00C27EC1" w:rsidRDefault="00C27EC1" w:rsidP="00C27EC1">
      <w:pPr>
        <w:ind w:firstLine="360"/>
      </w:pPr>
      <w:r>
        <w:t>The first chapter of this thesis has highlighted the contentious character of geomancy, showcasing the various instances in which its practice was condemned as immoral and relegated to the realm of illicit practices, such as necromancy and augur</w:t>
      </w:r>
      <w:r w:rsidR="005716AF">
        <w:t>y</w:t>
      </w:r>
      <w:r>
        <w:t xml:space="preserve">. This viewpoint was adopted in the condemnations promulgated in 1277, 1290 and later in 1605, and was shared by prominent intellectuals such as Albert the Great and Nicole Oresme. The following chapters have cast light on the position occupied by geomancy at the crossroads between natural and supernatural forms of knowledge, and the crucial role played by the investigation of the human soul in this debate. While Latin geomantic literature stresses the role of geomancy as a branch of astrology, highlighting the relationship between astral configurations and the geomantic chart, </w:t>
      </w:r>
      <w:r w:rsidR="000522F2">
        <w:t xml:space="preserve">thus </w:t>
      </w:r>
      <w:r>
        <w:t xml:space="preserve">presenting geomancy as an alternative and an improvement of the other branches of judicial astrology, ecclesiastical and intellectual authorities of the time were seldom convinced of the </w:t>
      </w:r>
      <w:r w:rsidR="00360C13">
        <w:t>legitimacy</w:t>
      </w:r>
      <w:r>
        <w:t xml:space="preserve"> of this practice. Indeed, even when claiming a strong connection with the celestial orbs, geomancy presents an original and innovative way of linking terrestrial events, celestial motions and geomantic figures. The crucial element of innovation consists of the role of the geomancer. Far from being described as a lucid scientist who – akin to the astrologer – is able to free himself from the influences that the celestial bodies exercise on all terrestrial bodies, the geomancer, similarly to a magician, undergoes certain rituals in order to purify himself and become the perfect receptacle to directly receive the astral powers, and thus </w:t>
      </w:r>
      <w:r w:rsidR="004E736B">
        <w:t>actively</w:t>
      </w:r>
      <w:r>
        <w:t xml:space="preserve"> moved by these, achieving a state of ‘preparedness’ </w:t>
      </w:r>
      <w:r w:rsidR="0053639E">
        <w:t xml:space="preserve">that is </w:t>
      </w:r>
      <w:r>
        <w:t xml:space="preserve">compared by Robert Fludd to a form of ecstatic experience. </w:t>
      </w:r>
    </w:p>
    <w:p w14:paraId="5C08AA62" w14:textId="1A54AA47" w:rsidR="00AA6B00" w:rsidRDefault="00C27EC1" w:rsidP="00C27EC1">
      <w:pPr>
        <w:ind w:firstLine="360"/>
      </w:pPr>
      <w:r>
        <w:t>Another source of controversy surrounding</w:t>
      </w:r>
      <w:r w:rsidR="0053639E">
        <w:t xml:space="preserve"> geomancy</w:t>
      </w:r>
      <w:r>
        <w:t xml:space="preserve"> stemmed from assertions found in geomantic treatises that advanced the idea that geomancy was a science revealed by God or the angels and passed down by prophets to humanity.</w:t>
      </w:r>
      <w:r w:rsidRPr="002B232F">
        <w:t xml:space="preserve"> The</w:t>
      </w:r>
      <w:r w:rsidR="00931BCE">
        <w:t>se treatises also</w:t>
      </w:r>
      <w:r w:rsidRPr="002B232F">
        <w:t xml:space="preserve"> proposed that, during the practice of geomancy, practitioners would form </w:t>
      </w:r>
      <w:r>
        <w:t xml:space="preserve">the geomantic </w:t>
      </w:r>
      <w:r w:rsidRPr="002B232F">
        <w:t>figures in a state resembling a vision. This supernatural element in geomantic practice was further emphasi</w:t>
      </w:r>
      <w:r>
        <w:t>s</w:t>
      </w:r>
      <w:r w:rsidRPr="002B232F">
        <w:t xml:space="preserve">ed by the belief that geomancers, through their craft, gained the ability to delve into the depths of the human soul, exposing its most profound </w:t>
      </w:r>
      <w:r w:rsidR="002F39FF">
        <w:t>levels</w:t>
      </w:r>
      <w:r>
        <w:t>,</w:t>
      </w:r>
      <w:r w:rsidRPr="002B232F">
        <w:t xml:space="preserve"> believed to be accessible only to God</w:t>
      </w:r>
      <w:r>
        <w:t xml:space="preserve">, and often referred to in geomantic treatises as ‘intentions.’ </w:t>
      </w:r>
      <w:r w:rsidRPr="00C4127C">
        <w:t>The significance of</w:t>
      </w:r>
      <w:r>
        <w:t xml:space="preserve"> the concept of</w:t>
      </w:r>
      <w:r w:rsidRPr="00C4127C">
        <w:t xml:space="preserve"> intentions in geomantic practice has been previously </w:t>
      </w:r>
      <w:r>
        <w:t xml:space="preserve">addressed in modern scholarly contributions. This thesis represents the first scholarly attempt </w:t>
      </w:r>
      <w:r w:rsidRPr="00C4127C">
        <w:t xml:space="preserve">to comprehensively explore the importance and prevalent presence of </w:t>
      </w:r>
      <w:r w:rsidR="00DF4818" w:rsidRPr="00DF4818">
        <w:t>a study of human thoughts</w:t>
      </w:r>
      <w:r w:rsidRPr="00C4127C">
        <w:t xml:space="preserve"> in the </w:t>
      </w:r>
      <w:r w:rsidR="008426FE">
        <w:t>Latin</w:t>
      </w:r>
      <w:r w:rsidRPr="00C4127C">
        <w:t xml:space="preserve"> </w:t>
      </w:r>
      <w:r>
        <w:t xml:space="preserve">geomantic tradition. </w:t>
      </w:r>
      <w:r w:rsidRPr="00C4127C">
        <w:t>It provides an explanation of the mechanisms involved in revealing human thoughts during geomantic practice and clarifies the meanings concealed within the semantic nuances describing this phenomenon.</w:t>
      </w:r>
      <w:r>
        <w:t xml:space="preserve"> </w:t>
      </w:r>
      <w:r w:rsidRPr="00760E23">
        <w:t xml:space="preserve">In both geomancy and astrological interrogations, </w:t>
      </w:r>
      <w:r w:rsidR="008426FE">
        <w:t>European culture</w:t>
      </w:r>
      <w:r w:rsidRPr="00760E23">
        <w:t xml:space="preserve"> inherited from the Islamic world the notion that</w:t>
      </w:r>
      <w:r w:rsidR="002F39FF">
        <w:t>,</w:t>
      </w:r>
      <w:r w:rsidRPr="00760E23">
        <w:t xml:space="preserve"> through these divinatory techniques, individuals could not only unveil past, present, and future events but also uncover the hidden content of human interiority.</w:t>
      </w:r>
    </w:p>
    <w:p w14:paraId="0A48866A" w14:textId="304181D9" w:rsidR="00C27EC1" w:rsidRDefault="00C27EC1" w:rsidP="00C27EC1">
      <w:pPr>
        <w:ind w:firstLine="360"/>
      </w:pPr>
      <w:r w:rsidRPr="00760E23">
        <w:t xml:space="preserve">Understanding the relationship between Eastern and Western geomantic traditions is crucial when examining the emergence of the </w:t>
      </w:r>
      <w:r w:rsidR="00DF4818">
        <w:t>role of the soul</w:t>
      </w:r>
      <w:r w:rsidRPr="00760E23">
        <w:t xml:space="preserve"> in divination. By comparing Latin and Arabic geomantic sources</w:t>
      </w:r>
      <w:r>
        <w:t xml:space="preserve"> it is possible to </w:t>
      </w:r>
      <w:r w:rsidRPr="00760E23">
        <w:t>clarify the concept of intentio</w:t>
      </w:r>
      <w:r>
        <w:t>n in the context of geomantic predictions</w:t>
      </w:r>
      <w:r w:rsidRPr="00760E23">
        <w:t xml:space="preserve"> and establish </w:t>
      </w:r>
      <w:r>
        <w:t xml:space="preserve">a link </w:t>
      </w:r>
      <w:r w:rsidRPr="00760E23">
        <w:t xml:space="preserve">between </w:t>
      </w:r>
      <w:r>
        <w:t xml:space="preserve">the Latin term </w:t>
      </w:r>
      <w:r w:rsidRPr="00760E23">
        <w:rPr>
          <w:i/>
          <w:iCs/>
        </w:rPr>
        <w:t>intentio</w:t>
      </w:r>
      <w:r>
        <w:t xml:space="preserve"> </w:t>
      </w:r>
      <w:r w:rsidRPr="00760E23">
        <w:t>and</w:t>
      </w:r>
      <w:r>
        <w:t xml:space="preserve"> the Arabic</w:t>
      </w:r>
      <w:r w:rsidRPr="00760E23">
        <w:t xml:space="preserve"> </w:t>
      </w:r>
      <w:r w:rsidRPr="00760E23">
        <w:rPr>
          <w:i/>
          <w:iCs/>
        </w:rPr>
        <w:t>ḍamīr</w:t>
      </w:r>
      <w:r w:rsidRPr="00760E23">
        <w:t>.</w:t>
      </w:r>
      <w:r>
        <w:t xml:space="preserve"> Through this analysis, geomancy emerges as a discipline </w:t>
      </w:r>
      <w:r w:rsidRPr="008028D2">
        <w:t>dedicated to exploring the unconscious aspects of human interiority.</w:t>
      </w:r>
      <w:r>
        <w:t xml:space="preserve"> </w:t>
      </w:r>
      <w:r w:rsidRPr="0049211A">
        <w:t>Geomancy</w:t>
      </w:r>
      <w:r>
        <w:t>’</w:t>
      </w:r>
      <w:r w:rsidRPr="0049211A">
        <w:t>s focus on the mental state of the geomancer, along with the ritualistic and ascetic practices involved in preparation for prediction, aligns it with magical practices. Notably, there is a discernible correspondence between the practitioner creating a geomantic chart and crafting an astral image or talisman. In both cases, individuals prepare themselves to become vessels receiving celestial power, relinquishing their agency to become instruments of the celestial bodies. Simultaneously, geomancy shares striking similarities with oneiromancy, as both forms of divination explore the unconscious dimension of the human soul and do not preclude the possibility of a connection between the human soul and the divine.</w:t>
      </w:r>
    </w:p>
    <w:p w14:paraId="1B5934DA" w14:textId="2D585A6C" w:rsidR="00C27EC1" w:rsidRDefault="00C27EC1" w:rsidP="00C27EC1">
      <w:pPr>
        <w:ind w:firstLine="360"/>
      </w:pPr>
      <w:r w:rsidRPr="009F36C0">
        <w:t>Due to its ambiguous position bridging natural and supernatural realms, situated at the intersection of divination, prognostics, and psychology, categori</w:t>
      </w:r>
      <w:r>
        <w:t>s</w:t>
      </w:r>
      <w:r w:rsidRPr="009F36C0">
        <w:t>ing geomancy and assigning it a precise epistemological status has prove</w:t>
      </w:r>
      <w:r w:rsidR="002F39FF">
        <w:t>d</w:t>
      </w:r>
      <w:r w:rsidRPr="009F36C0">
        <w:t xml:space="preserve"> and continues to be challenging. This challenge is evident not only in the condemnations and anti-divinatory writings from the late Middle Ages and Early Modern Era but also in the post-medieval evolution of geomancy and its diverse trajectories. Examining the developments of geomancy from the fifteenth century onward, alongside endeavours to standardi</w:t>
      </w:r>
      <w:r>
        <w:t>s</w:t>
      </w:r>
      <w:r w:rsidRPr="009F36C0">
        <w:t>e Latin geomancy as a branch of astrology, reveals a coexistence of texts emphasi</w:t>
      </w:r>
      <w:r>
        <w:t>s</w:t>
      </w:r>
      <w:r w:rsidRPr="009F36C0">
        <w:t>ing the crucial role of</w:t>
      </w:r>
      <w:r w:rsidR="00DF4818">
        <w:t xml:space="preserve"> the human soul</w:t>
      </w:r>
      <w:r w:rsidRPr="009F36C0">
        <w:t xml:space="preserve"> in geomantic techniques and others diverging from the earlier Latin tradition</w:t>
      </w:r>
      <w:r>
        <w:t>, that</w:t>
      </w:r>
      <w:r w:rsidRPr="009F36C0">
        <w:t xml:space="preserve"> portray geomancy as a form of wisdom interconnected with various occult practices and philosophies, including alchemy, magic, and </w:t>
      </w:r>
      <w:r>
        <w:t>R</w:t>
      </w:r>
      <w:r w:rsidRPr="009F36C0">
        <w:t>osicrucianism.</w:t>
      </w:r>
      <w:r>
        <w:t xml:space="preserve"> </w:t>
      </w:r>
      <w:r w:rsidRPr="005C6BED">
        <w:t xml:space="preserve">Providing an overview of the </w:t>
      </w:r>
      <w:r w:rsidR="003D6681">
        <w:t>Latin</w:t>
      </w:r>
      <w:r w:rsidRPr="005C6BED">
        <w:t xml:space="preserve"> geomantic tradition</w:t>
      </w:r>
      <w:r>
        <w:t>’</w:t>
      </w:r>
      <w:r w:rsidRPr="005C6BED">
        <w:t xml:space="preserve">s evolution from its beginning in the twelfth century to its gradual decline by the late seventeenth century, this thesis underscores the significance of debates on the epistemological foundation of geomancy and </w:t>
      </w:r>
      <w:r>
        <w:t>their</w:t>
      </w:r>
      <w:r w:rsidRPr="005C6BED">
        <w:t xml:space="preserve"> impact on the shifting fortunes of this predictive practice in </w:t>
      </w:r>
      <w:r w:rsidR="003D6681">
        <w:t>European</w:t>
      </w:r>
      <w:r w:rsidRPr="005C6BED">
        <w:t xml:space="preserve"> culture. Within this discourse, the </w:t>
      </w:r>
      <w:r w:rsidR="00DF4818" w:rsidRPr="00DF4818">
        <w:t>purported ability</w:t>
      </w:r>
      <w:r w:rsidR="00DF4818">
        <w:rPr>
          <w:color w:val="FF0000"/>
        </w:rPr>
        <w:t xml:space="preserve"> </w:t>
      </w:r>
      <w:r w:rsidRPr="005C6BED">
        <w:t xml:space="preserve">of geomancy </w:t>
      </w:r>
      <w:r w:rsidR="00DF4818">
        <w:t xml:space="preserve">to reveal human thoughts and desires </w:t>
      </w:r>
      <w:r w:rsidRPr="005C6BED">
        <w:t>assumes a pivotal role in determining its standing within the medieval hierarchy of sciences and, consequently, its legitimacy. This is exemplified in Plato of Tivoli</w:t>
      </w:r>
      <w:r>
        <w:t>’</w:t>
      </w:r>
      <w:r w:rsidRPr="005C6BED">
        <w:t xml:space="preserve">s </w:t>
      </w:r>
      <w:r w:rsidR="00A3308F" w:rsidRPr="00A3308F">
        <w:rPr>
          <w:i/>
          <w:iCs/>
        </w:rPr>
        <w:t>Liber arenalis scientiae</w:t>
      </w:r>
      <w:r w:rsidR="00A3308F">
        <w:t>,</w:t>
      </w:r>
      <w:r w:rsidRPr="005C6BED">
        <w:t xml:space="preserve"> as found in the Magdalene College manuscript, which attests to the emphasis placed on </w:t>
      </w:r>
      <w:r w:rsidR="00DF4818" w:rsidRPr="00DF4818">
        <w:t>discovering human intentions</w:t>
      </w:r>
      <w:r w:rsidRPr="005C6BED">
        <w:t xml:space="preserve"> in</w:t>
      </w:r>
      <w:r>
        <w:t xml:space="preserve"> the</w:t>
      </w:r>
      <w:r w:rsidRPr="005C6BED">
        <w:t xml:space="preserve"> geomantic technique. This emphasis is further reinforced by numerous references to human intentions found throughout a diverse range of early geomantic texts.</w:t>
      </w:r>
    </w:p>
    <w:p w14:paraId="484D4658" w14:textId="25DC02E3" w:rsidR="00C27EC1" w:rsidRDefault="00C27EC1" w:rsidP="00C27EC1">
      <w:pPr>
        <w:ind w:firstLine="360"/>
      </w:pPr>
      <w:r>
        <w:t xml:space="preserve">The </w:t>
      </w:r>
      <w:r w:rsidR="002F39FF">
        <w:t xml:space="preserve">addition of a </w:t>
      </w:r>
      <w:r w:rsidR="006909E3">
        <w:t>diplomatic</w:t>
      </w:r>
      <w:r>
        <w:t xml:space="preserve"> edition and translation into English of the </w:t>
      </w:r>
      <w:r w:rsidRPr="00B01CD8">
        <w:rPr>
          <w:i/>
          <w:iCs/>
        </w:rPr>
        <w:t>Liber arenalis scientiae</w:t>
      </w:r>
      <w:r w:rsidR="00493698">
        <w:t xml:space="preserve"> in the Appendix of </w:t>
      </w:r>
      <w:r>
        <w:t xml:space="preserve">this thesis contributes to the ongoing initiatives aimed at making previously unpublished geomantic treatises accessible. It also seeks to illuminate the transmission and intertextuality of these texts, enhancing the understanding of the overall </w:t>
      </w:r>
      <w:r w:rsidR="00C46020">
        <w:t>Latin</w:t>
      </w:r>
      <w:r>
        <w:t xml:space="preserve"> geomantic tradition and the trajectory of early translations from Arabic geomantic sources. This examination of a previously overlooked text has provided a unique opportunity to explore the significance of human intentions in the realm of predictions, as this compilation stands out as the sole work exclusively dedicated to elucidating </w:t>
      </w:r>
      <w:r w:rsidR="006D3572">
        <w:t>this methodological dimension</w:t>
      </w:r>
      <w:r>
        <w:t xml:space="preserve"> of geomancy. Through this investigation, the concept of ‘intentions’ in the context of geomancy is clarified, establishing a link with the Arabic term </w:t>
      </w:r>
      <w:r w:rsidRPr="00B01CD8">
        <w:rPr>
          <w:i/>
          <w:iCs/>
        </w:rPr>
        <w:t>ḍamīr</w:t>
      </w:r>
      <w:r>
        <w:t>, encompassing notions of ‘mind,’ ‘secret thought,’ and ‘innermost.’ This term, acknowledged by Anne Regourd in her studies on Arabic geomantic sources, is identified as the focal point of geomantic inquiry in this study. The geomancer’s fundamental task</w:t>
      </w:r>
      <w:r w:rsidR="007C1888">
        <w:t xml:space="preserve"> –</w:t>
      </w:r>
      <w:r>
        <w:t xml:space="preserve"> to unveil hidden thoughts in the human soul</w:t>
      </w:r>
      <w:r w:rsidR="003F2A45">
        <w:t xml:space="preserve"> –</w:t>
      </w:r>
      <w:r>
        <w:t xml:space="preserve"> resonates with the practice of astrological interrogations, providing additional insight into Garin’s assertion regarding the interconnectedness of these two disciplines. Simultaneously, this thesis underscores discrepancies between astrology and geomancy, arguing that delving into the human unconscious within the framework of geomantic practice intensifies the ambiguous nature inherent in this discipline. It accentuates the uncertain foundations of the geomancer’s prognostic abilities, emphasising the dubious epistemological grounds supporting geomancy. </w:t>
      </w:r>
    </w:p>
    <w:p w14:paraId="4AD24307" w14:textId="4257D420" w:rsidR="00635BE6" w:rsidRDefault="00C27EC1" w:rsidP="00C27EC1">
      <w:pPr>
        <w:ind w:firstLine="0"/>
      </w:pPr>
      <w:r>
        <w:tab/>
        <w:t xml:space="preserve">While this thesis has explored overlooked facets of geomancy, its inquiry owes much to the groundwork laid by other scholars in recent years. Their efforts have facilitated access to key medieval geomantic sources, enabling a more comprehensive study. Despite the growing scholarly focus on geomancy, numerous medieval sources on this subject remain </w:t>
      </w:r>
      <w:r w:rsidR="003E3EBD">
        <w:t>without</w:t>
      </w:r>
      <w:r>
        <w:t xml:space="preserve"> modern editions. Consequently, this thesis’s analysis can only offer a partial depiction of the role of </w:t>
      </w:r>
      <w:r w:rsidR="00635BE6" w:rsidRPr="00635BE6">
        <w:t>intentions</w:t>
      </w:r>
      <w:r>
        <w:t xml:space="preserve"> in geomantic practice, drawing from a selection of sources – some edited, others still existing solely in manuscript form. This limitation also extends to astrological sources demonstrating an interest in scrutinising human thoughts, as examined in this study. Nevertheless, I hope that this research underscores the significance of delving into investigations</w:t>
      </w:r>
      <w:r w:rsidR="008B7D70">
        <w:t xml:space="preserve"> of the human soul</w:t>
      </w:r>
      <w:r>
        <w:t xml:space="preserve"> within the realm of divination. It emphasises the unexplored wealth of material on this topic, introducing new avenues of research not only in geomancy and astrology but also in comprehending the tapestry of divinatory and magical practices diffused in late medieval culture. This underscores the importance of considering these practices collectively rather than as isolated disciplines</w:t>
      </w:r>
      <w:r w:rsidR="001729C2">
        <w:t>.</w:t>
      </w:r>
    </w:p>
    <w:p w14:paraId="104F03F7" w14:textId="2A4842DA" w:rsidR="00242EFA" w:rsidRPr="00C27EC1" w:rsidRDefault="00635BE6" w:rsidP="00635BE6">
      <w:r>
        <w:br w:type="page"/>
      </w:r>
    </w:p>
    <w:p w14:paraId="1425B94B" w14:textId="22D91ACE" w:rsidR="00242EFA" w:rsidRPr="008A5442" w:rsidRDefault="00242EFA" w:rsidP="008B4323">
      <w:pPr>
        <w:pStyle w:val="Heading1"/>
        <w:ind w:firstLine="0"/>
        <w:rPr>
          <w:rFonts w:asciiTheme="majorBidi" w:hAnsiTheme="majorBidi"/>
          <w:i/>
          <w:iCs/>
          <w:color w:val="auto"/>
          <w:sz w:val="24"/>
          <w:szCs w:val="24"/>
        </w:rPr>
      </w:pPr>
      <w:bookmarkStart w:id="129" w:name="_Toc165108674"/>
      <w:r w:rsidRPr="008B4323">
        <w:rPr>
          <w:rFonts w:asciiTheme="majorBidi" w:hAnsiTheme="majorBidi"/>
          <w:color w:val="auto"/>
          <w:sz w:val="24"/>
          <w:szCs w:val="24"/>
        </w:rPr>
        <w:t xml:space="preserve">APPENDIX 1: A DESCRIPTION OF THE MANUSCRIPTS OF </w:t>
      </w:r>
      <w:r w:rsidRPr="00875BA6">
        <w:rPr>
          <w:rFonts w:asciiTheme="majorBidi" w:hAnsiTheme="majorBidi"/>
          <w:color w:val="auto"/>
          <w:sz w:val="24"/>
          <w:szCs w:val="24"/>
        </w:rPr>
        <w:t>THE</w:t>
      </w:r>
      <w:r w:rsidRPr="008A5442">
        <w:rPr>
          <w:rFonts w:asciiTheme="majorBidi" w:hAnsiTheme="majorBidi"/>
          <w:i/>
          <w:iCs/>
          <w:color w:val="auto"/>
          <w:sz w:val="24"/>
          <w:szCs w:val="24"/>
        </w:rPr>
        <w:t xml:space="preserve"> LIBER ARENALI</w:t>
      </w:r>
      <w:r w:rsidR="00B23DE2" w:rsidRPr="008A5442">
        <w:rPr>
          <w:rFonts w:asciiTheme="majorBidi" w:hAnsiTheme="majorBidi"/>
          <w:i/>
          <w:iCs/>
          <w:color w:val="auto"/>
          <w:sz w:val="24"/>
          <w:szCs w:val="24"/>
        </w:rPr>
        <w:t>S</w:t>
      </w:r>
      <w:r w:rsidRPr="008A5442">
        <w:rPr>
          <w:rFonts w:asciiTheme="majorBidi" w:hAnsiTheme="majorBidi"/>
          <w:i/>
          <w:iCs/>
          <w:color w:val="auto"/>
          <w:sz w:val="24"/>
          <w:szCs w:val="24"/>
        </w:rPr>
        <w:t xml:space="preserve"> SCIENTIAE.</w:t>
      </w:r>
      <w:r w:rsidR="00304871">
        <w:rPr>
          <w:rStyle w:val="FootnoteReference"/>
          <w:rFonts w:asciiTheme="majorBidi" w:hAnsiTheme="majorBidi"/>
          <w:i/>
          <w:iCs/>
          <w:color w:val="auto"/>
          <w:sz w:val="24"/>
          <w:szCs w:val="24"/>
        </w:rPr>
        <w:footnoteReference w:id="503"/>
      </w:r>
      <w:bookmarkEnd w:id="129"/>
    </w:p>
    <w:p w14:paraId="06422AF8" w14:textId="77777777" w:rsidR="00242EFA" w:rsidRPr="00CE3AF7" w:rsidRDefault="00242EFA" w:rsidP="00242EFA">
      <w:pPr>
        <w:ind w:firstLine="0"/>
        <w:rPr>
          <w:sz w:val="20"/>
          <w:szCs w:val="20"/>
        </w:rPr>
      </w:pPr>
    </w:p>
    <w:p w14:paraId="337732D4" w14:textId="3E2CC86C" w:rsidR="00242EFA" w:rsidRPr="008B4323" w:rsidRDefault="00242EFA" w:rsidP="008B4323">
      <w:pPr>
        <w:pStyle w:val="Heading2"/>
        <w:ind w:firstLine="0"/>
        <w:rPr>
          <w:rFonts w:asciiTheme="majorBidi" w:hAnsiTheme="majorBidi"/>
          <w:color w:val="auto"/>
          <w:sz w:val="20"/>
          <w:szCs w:val="20"/>
        </w:rPr>
      </w:pPr>
      <w:bookmarkStart w:id="130" w:name="_Toc165108675"/>
      <w:r w:rsidRPr="008B4323">
        <w:rPr>
          <w:rFonts w:asciiTheme="majorBidi" w:hAnsiTheme="majorBidi"/>
          <w:color w:val="auto"/>
          <w:sz w:val="20"/>
          <w:szCs w:val="20"/>
        </w:rPr>
        <w:t xml:space="preserve">A DESCRIPTION OF THE MANUSCRIPT </w:t>
      </w:r>
      <w:bookmarkStart w:id="131" w:name="_Hlk146192044"/>
      <w:r w:rsidRPr="008B4323">
        <w:rPr>
          <w:rFonts w:asciiTheme="majorBidi" w:hAnsiTheme="majorBidi"/>
          <w:color w:val="auto"/>
          <w:sz w:val="20"/>
          <w:szCs w:val="20"/>
        </w:rPr>
        <w:t>CAMBRIDGE, MAGDALENE COLLEGE, F.4.27</w:t>
      </w:r>
      <w:r w:rsidRPr="008B4323">
        <w:rPr>
          <w:rStyle w:val="FootnoteReference"/>
          <w:rFonts w:asciiTheme="majorBidi" w:hAnsiTheme="majorBidi"/>
          <w:color w:val="auto"/>
          <w:sz w:val="20"/>
          <w:szCs w:val="20"/>
        </w:rPr>
        <w:footnoteReference w:id="504"/>
      </w:r>
      <w:bookmarkEnd w:id="130"/>
    </w:p>
    <w:p w14:paraId="7EE5B478" w14:textId="77777777" w:rsidR="00242EFA" w:rsidRDefault="00242EFA" w:rsidP="00242EFA">
      <w:pPr>
        <w:ind w:firstLine="0"/>
        <w:rPr>
          <w:b/>
          <w:bCs/>
        </w:rPr>
      </w:pPr>
    </w:p>
    <w:p w14:paraId="4D496E68" w14:textId="77777777" w:rsidR="00242EFA" w:rsidRDefault="00242EFA" w:rsidP="00242EFA">
      <w:pPr>
        <w:ind w:firstLine="0"/>
      </w:pPr>
      <w:r>
        <w:t>A collection of geomantic texts written in Latin, by several contemporary hands.</w:t>
      </w:r>
    </w:p>
    <w:p w14:paraId="151D6DB7" w14:textId="77777777" w:rsidR="00242EFA" w:rsidRDefault="00242EFA" w:rsidP="00242EFA">
      <w:pPr>
        <w:ind w:firstLine="0"/>
      </w:pPr>
      <w:r>
        <w:t>Late XIV century (England).</w:t>
      </w:r>
    </w:p>
    <w:p w14:paraId="2506C878" w14:textId="77777777" w:rsidR="00242EFA" w:rsidRDefault="00242EFA" w:rsidP="00242EFA">
      <w:pPr>
        <w:ind w:firstLine="0"/>
      </w:pPr>
    </w:p>
    <w:p w14:paraId="104565E9" w14:textId="77777777" w:rsidR="00242EFA" w:rsidRDefault="00242EFA" w:rsidP="00242EFA">
      <w:pPr>
        <w:ind w:firstLine="0"/>
      </w:pPr>
      <w:r w:rsidRPr="00B26357">
        <w:rPr>
          <w:b/>
          <w:bCs/>
        </w:rPr>
        <w:t>Provenance:</w:t>
      </w:r>
      <w:r>
        <w:t xml:space="preserve"> </w:t>
      </w:r>
      <w:r w:rsidRPr="00B26357">
        <w:t xml:space="preserve">‘Libellus Iohannis </w:t>
      </w:r>
      <w:r w:rsidRPr="00B26357">
        <w:rPr>
          <w:u w:val="dotted"/>
        </w:rPr>
        <w:t>Palmare</w:t>
      </w:r>
      <w:r>
        <w:t xml:space="preserve"> (erased)</w:t>
      </w:r>
      <w:r w:rsidRPr="00B26357">
        <w:t xml:space="preserve"> Londoni’ (f. 129r, lower margin)</w:t>
      </w:r>
      <w:r>
        <w:t>; G</w:t>
      </w:r>
      <w:r w:rsidRPr="00C578B4">
        <w:t>iven by Simon Gunton (1609-1676), prebendary of Peterborough, to Magdalene College</w:t>
      </w:r>
      <w:r>
        <w:t>.</w:t>
      </w:r>
    </w:p>
    <w:p w14:paraId="5163459B" w14:textId="77777777" w:rsidR="00242EFA" w:rsidRDefault="00242EFA" w:rsidP="00242EFA">
      <w:pPr>
        <w:ind w:firstLine="0"/>
      </w:pPr>
    </w:p>
    <w:p w14:paraId="68721A5B" w14:textId="77777777" w:rsidR="00242EFA" w:rsidRPr="00CE3AF7" w:rsidRDefault="00242EFA" w:rsidP="00242EFA">
      <w:pPr>
        <w:ind w:firstLine="0"/>
        <w:rPr>
          <w:b/>
          <w:bCs/>
        </w:rPr>
      </w:pPr>
      <w:r w:rsidRPr="00CE3AF7">
        <w:rPr>
          <w:b/>
          <w:bCs/>
        </w:rPr>
        <w:t>Physical description.</w:t>
      </w:r>
    </w:p>
    <w:p w14:paraId="7C6A0719" w14:textId="62EE3297" w:rsidR="00242EFA" w:rsidRDefault="00242EFA" w:rsidP="00242EFA">
      <w:pPr>
        <w:ind w:firstLine="0"/>
      </w:pPr>
      <w:r w:rsidRPr="00BC1420">
        <w:t xml:space="preserve">Paper, </w:t>
      </w:r>
      <w:r>
        <w:t>8 7/10</w:t>
      </w:r>
      <w:r w:rsidRPr="00BC1420">
        <w:t xml:space="preserve"> x 6, ff. 178 + 6, single and double columns, 26 </w:t>
      </w:r>
      <w:r>
        <w:t>or more</w:t>
      </w:r>
      <w:r w:rsidRPr="00BC1420">
        <w:t xml:space="preserve"> lines to a page. Cent</w:t>
      </w:r>
      <w:r>
        <w:t>ury:</w:t>
      </w:r>
      <w:r w:rsidRPr="00BC1420">
        <w:t xml:space="preserve"> xiv late</w:t>
      </w:r>
      <w:r>
        <w:t>.</w:t>
      </w:r>
      <w:r w:rsidRPr="00BC1420">
        <w:t xml:space="preserve"> </w:t>
      </w:r>
      <w:r>
        <w:t>F</w:t>
      </w:r>
      <w:r w:rsidRPr="00BC1420">
        <w:t xml:space="preserve">airly well written. Given by Simon Gunton, whose name is on f. </w:t>
      </w:r>
      <w:r>
        <w:t>VI</w:t>
      </w:r>
      <w:r w:rsidRPr="00BC1420">
        <w:t xml:space="preserve">. </w:t>
      </w:r>
      <w:r w:rsidRPr="00331C5D">
        <w:t>Collation: a</w:t>
      </w:r>
      <w:r w:rsidRPr="00331C5D">
        <w:rPr>
          <w:vertAlign w:val="superscript"/>
        </w:rPr>
        <w:t>6</w:t>
      </w:r>
      <w:r w:rsidRPr="00331C5D">
        <w:t xml:space="preserve"> 1</w:t>
      </w:r>
      <w:r w:rsidRPr="00331C5D">
        <w:rPr>
          <w:vertAlign w:val="superscript"/>
        </w:rPr>
        <w:t>8</w:t>
      </w:r>
      <w:r w:rsidRPr="00331C5D">
        <w:t>-8</w:t>
      </w:r>
      <w:r w:rsidRPr="00331C5D">
        <w:rPr>
          <w:vertAlign w:val="superscript"/>
        </w:rPr>
        <w:t>8</w:t>
      </w:r>
      <w:r w:rsidRPr="00331C5D">
        <w:t xml:space="preserve"> 9</w:t>
      </w:r>
      <w:r w:rsidRPr="00331C5D">
        <w:rPr>
          <w:vertAlign w:val="superscript"/>
        </w:rPr>
        <w:t>6</w:t>
      </w:r>
      <w:r w:rsidRPr="00331C5D">
        <w:t xml:space="preserve"> (+1) </w:t>
      </w:r>
      <w:r w:rsidRPr="00331C5D">
        <w:rPr>
          <w:rFonts w:ascii="Arial" w:hAnsi="Arial" w:cs="Arial"/>
          <w:color w:val="202122"/>
          <w:sz w:val="21"/>
          <w:szCs w:val="21"/>
          <w:shd w:val="clear" w:color="auto" w:fill="FFFFFF"/>
        </w:rPr>
        <w:t>|</w:t>
      </w:r>
      <w:r>
        <w:t xml:space="preserve"> 10</w:t>
      </w:r>
      <w:r w:rsidRPr="00331C5D">
        <w:rPr>
          <w:vertAlign w:val="superscript"/>
        </w:rPr>
        <w:t>8</w:t>
      </w:r>
      <w:r>
        <w:t>-20</w:t>
      </w:r>
      <w:r w:rsidRPr="00331C5D">
        <w:rPr>
          <w:vertAlign w:val="superscript"/>
        </w:rPr>
        <w:t>8</w:t>
      </w:r>
      <w:r w:rsidRPr="00331C5D">
        <w:t xml:space="preserve"> </w:t>
      </w:r>
      <w:r>
        <w:t>21</w:t>
      </w:r>
      <w:r w:rsidRPr="00331C5D">
        <w:rPr>
          <w:vertAlign w:val="superscript"/>
        </w:rPr>
        <w:t xml:space="preserve">6 </w:t>
      </w:r>
      <w:r w:rsidRPr="00331C5D">
        <w:rPr>
          <w:rFonts w:ascii="Arial" w:hAnsi="Arial" w:cs="Arial"/>
          <w:color w:val="202122"/>
          <w:sz w:val="21"/>
          <w:szCs w:val="21"/>
          <w:shd w:val="clear" w:color="auto" w:fill="FFFFFF"/>
        </w:rPr>
        <w:t>|</w:t>
      </w:r>
      <w:r w:rsidRPr="00331C5D">
        <w:t xml:space="preserve"> </w:t>
      </w:r>
      <w:r>
        <w:t>22</w:t>
      </w:r>
      <w:r w:rsidRPr="00331C5D">
        <w:rPr>
          <w:vertAlign w:val="superscript"/>
        </w:rPr>
        <w:t>8</w:t>
      </w:r>
      <w:r>
        <w:t xml:space="preserve"> 23</w:t>
      </w:r>
      <w:r w:rsidRPr="00331C5D">
        <w:rPr>
          <w:vertAlign w:val="superscript"/>
        </w:rPr>
        <w:t>10</w:t>
      </w:r>
      <w:r>
        <w:t xml:space="preserve"> </w:t>
      </w:r>
      <w:r w:rsidRPr="00331C5D">
        <w:t xml:space="preserve">(wants </w:t>
      </w:r>
      <w:r>
        <w:t>1</w:t>
      </w:r>
      <w:r w:rsidRPr="00331C5D">
        <w:t>, 2, 8, 9, 10).</w:t>
      </w:r>
      <w:r>
        <w:t xml:space="preserve"> Rubricated initials </w:t>
      </w:r>
      <w:r w:rsidR="004A256A">
        <w:t>alternating</w:t>
      </w:r>
      <w:r>
        <w:t xml:space="preserve"> red and blue for each paragraph. Title pages have first initial with surrounding decorations. Words and initials highlighted in yellow at the beginning of sentences and paragraphs.</w:t>
      </w:r>
    </w:p>
    <w:p w14:paraId="0A9F3575" w14:textId="77777777" w:rsidR="00242EFA" w:rsidRDefault="00242EFA" w:rsidP="00242EFA">
      <w:pPr>
        <w:ind w:firstLine="0"/>
      </w:pPr>
    </w:p>
    <w:p w14:paraId="18D28839" w14:textId="77777777" w:rsidR="00242EFA" w:rsidRPr="00CE3AF7" w:rsidRDefault="00242EFA" w:rsidP="00242EFA">
      <w:pPr>
        <w:ind w:firstLine="0"/>
        <w:rPr>
          <w:b/>
          <w:bCs/>
        </w:rPr>
      </w:pPr>
      <w:r w:rsidRPr="00CE3AF7">
        <w:rPr>
          <w:b/>
          <w:bCs/>
        </w:rPr>
        <w:t>List of contents</w:t>
      </w:r>
    </w:p>
    <w:p w14:paraId="5FC0A774" w14:textId="77777777" w:rsidR="00242EFA" w:rsidRPr="003F739C" w:rsidRDefault="00242EFA" w:rsidP="00242EFA">
      <w:pPr>
        <w:ind w:firstLine="0"/>
        <w:rPr>
          <w:i/>
          <w:iCs/>
        </w:rPr>
      </w:pPr>
    </w:p>
    <w:bookmarkEnd w:id="131"/>
    <w:p w14:paraId="7CE5088B" w14:textId="77777777" w:rsidR="00242EFA" w:rsidRDefault="00242EFA" w:rsidP="00242EFA">
      <w:pPr>
        <w:pStyle w:val="ListParagraph"/>
        <w:numPr>
          <w:ilvl w:val="0"/>
          <w:numId w:val="5"/>
        </w:numPr>
      </w:pPr>
      <w:r w:rsidRPr="00A00BDA">
        <w:rPr>
          <w:i/>
          <w:iCs/>
        </w:rPr>
        <w:t>Ars geomantiae</w:t>
      </w:r>
      <w:r>
        <w:t xml:space="preserve"> (Title in the manuscript: Ludus philosophorum qui appellatur filia astronomie), Hugo Sanctelliensis.</w:t>
      </w:r>
    </w:p>
    <w:p w14:paraId="7985C2EA" w14:textId="77777777" w:rsidR="00242EFA" w:rsidRDefault="00242EFA" w:rsidP="00242EFA">
      <w:pPr>
        <w:pStyle w:val="ListParagraph"/>
        <w:ind w:left="420" w:firstLine="0"/>
      </w:pPr>
      <w:r>
        <w:t xml:space="preserve">f. 1. </w:t>
      </w:r>
      <w:r w:rsidRPr="009C411B">
        <w:rPr>
          <w:i/>
          <w:iCs/>
        </w:rPr>
        <w:t>Incipit</w:t>
      </w:r>
      <w:r>
        <w:rPr>
          <w:i/>
          <w:iCs/>
        </w:rPr>
        <w:t>:</w:t>
      </w:r>
      <w:r>
        <w:t xml:space="preserve"> Rerum opifex deus qui sine exemplo nova condidit universa.</w:t>
      </w:r>
    </w:p>
    <w:p w14:paraId="1B93861E" w14:textId="77777777" w:rsidR="00242EFA" w:rsidRDefault="00242EFA" w:rsidP="00242EFA">
      <w:pPr>
        <w:pStyle w:val="ListParagraph"/>
        <w:ind w:left="420" w:firstLine="0"/>
      </w:pPr>
      <w:r>
        <w:t xml:space="preserve">f.17. Hic patent questiones geomant&lt;iae&gt; singulis domibus </w:t>
      </w:r>
      <w:r w:rsidRPr="007F1FC6">
        <w:t>appropriate</w:t>
      </w:r>
      <w:r>
        <w:t xml:space="preserve"> et figurarum complexiones et naturas.</w:t>
      </w:r>
    </w:p>
    <w:p w14:paraId="058CF129" w14:textId="77777777" w:rsidR="00242EFA" w:rsidRDefault="00242EFA" w:rsidP="00242EFA">
      <w:pPr>
        <w:pStyle w:val="ListParagraph"/>
        <w:ind w:left="420" w:firstLine="0"/>
      </w:pPr>
      <w:r>
        <w:t>f. Capitulum quod extrahitur ab aberithquot. (Chapter on geomantic triplets).</w:t>
      </w:r>
    </w:p>
    <w:p w14:paraId="0B0C7795" w14:textId="77777777" w:rsidR="00242EFA" w:rsidRDefault="00242EFA" w:rsidP="00242EFA">
      <w:pPr>
        <w:pStyle w:val="ListParagraph"/>
        <w:ind w:left="420" w:firstLine="0"/>
      </w:pPr>
      <w:r>
        <w:t xml:space="preserve">f. 66. </w:t>
      </w:r>
      <w:r>
        <w:rPr>
          <w:i/>
          <w:iCs/>
        </w:rPr>
        <w:t>E</w:t>
      </w:r>
      <w:r w:rsidRPr="00564371">
        <w:rPr>
          <w:i/>
          <w:iCs/>
        </w:rPr>
        <w:t>xplicit</w:t>
      </w:r>
      <w:r>
        <w:t>: et venire ei cito bonum aut malum quia tale signum est. (66b-71b blank).</w:t>
      </w:r>
    </w:p>
    <w:p w14:paraId="78543FC1" w14:textId="77777777" w:rsidR="00242EFA" w:rsidRDefault="00242EFA" w:rsidP="00242EFA">
      <w:pPr>
        <w:pStyle w:val="ListParagraph"/>
        <w:numPr>
          <w:ilvl w:val="0"/>
          <w:numId w:val="5"/>
        </w:numPr>
      </w:pPr>
      <w:r>
        <w:t>Indian geomancy.</w:t>
      </w:r>
    </w:p>
    <w:p w14:paraId="531ECAE5" w14:textId="5325F076" w:rsidR="00242EFA" w:rsidRDefault="00242EFA" w:rsidP="00242EFA">
      <w:pPr>
        <w:pStyle w:val="ListParagraph"/>
        <w:ind w:left="420" w:firstLine="0"/>
      </w:pPr>
      <w:r>
        <w:t xml:space="preserve">f. 72. </w:t>
      </w:r>
      <w:r w:rsidRPr="00A00BDA">
        <w:rPr>
          <w:i/>
          <w:iCs/>
        </w:rPr>
        <w:t>Incipit</w:t>
      </w:r>
      <w:r>
        <w:t>: Hec est Geomentia Indiana que vocatur filia astr&lt;ono&gt;mie (</w:t>
      </w:r>
      <w:r w:rsidRPr="008C2B88">
        <w:rPr>
          <w:i/>
          <w:iCs/>
        </w:rPr>
        <w:t>illeg</w:t>
      </w:r>
      <w:r>
        <w:t xml:space="preserve">.) quam fecit unus sapientum Indie et est facta per VII planetas sicut postea dicetur. </w:t>
      </w:r>
    </w:p>
    <w:p w14:paraId="5F5A8FBA" w14:textId="77777777" w:rsidR="00242EFA" w:rsidRDefault="00242EFA" w:rsidP="00242EFA">
      <w:pPr>
        <w:pStyle w:val="ListParagraph"/>
        <w:ind w:left="420" w:firstLine="0"/>
      </w:pPr>
      <w:r>
        <w:t>f. 88. Explicit geomantia indiana.</w:t>
      </w:r>
    </w:p>
    <w:p w14:paraId="3048B8EC" w14:textId="77777777" w:rsidR="00242EFA" w:rsidRDefault="00242EFA" w:rsidP="00242EFA">
      <w:pPr>
        <w:pStyle w:val="ListParagraph"/>
        <w:numPr>
          <w:ilvl w:val="0"/>
          <w:numId w:val="5"/>
        </w:numPr>
      </w:pPr>
      <w:r>
        <w:t>Text on geomantic triplets.</w:t>
      </w:r>
    </w:p>
    <w:p w14:paraId="70EB1437" w14:textId="77777777" w:rsidR="00242EFA" w:rsidRDefault="00242EFA" w:rsidP="00242EFA">
      <w:pPr>
        <w:pStyle w:val="ListParagraph"/>
        <w:ind w:left="420" w:firstLine="0"/>
      </w:pPr>
      <w:r>
        <w:t>f. 89. Incipit geomantia de triplicitatibus. Congregatio a se ipsa.</w:t>
      </w:r>
    </w:p>
    <w:p w14:paraId="0573840F" w14:textId="77777777" w:rsidR="00242EFA" w:rsidRDefault="00242EFA" w:rsidP="00242EFA">
      <w:pPr>
        <w:pStyle w:val="ListParagraph"/>
        <w:ind w:left="420" w:firstLine="0"/>
      </w:pPr>
      <w:r>
        <w:t xml:space="preserve">f. 107v. </w:t>
      </w:r>
      <w:r w:rsidRPr="006338A9">
        <w:rPr>
          <w:i/>
          <w:iCs/>
        </w:rPr>
        <w:t>Explicit</w:t>
      </w:r>
      <w:r>
        <w:t>: est ibi cognitus multus.</w:t>
      </w:r>
    </w:p>
    <w:p w14:paraId="3B9DF383" w14:textId="77777777" w:rsidR="00242EFA" w:rsidRDefault="00242EFA" w:rsidP="00242EFA">
      <w:pPr>
        <w:pStyle w:val="ListParagraph"/>
        <w:numPr>
          <w:ilvl w:val="0"/>
          <w:numId w:val="5"/>
        </w:numPr>
      </w:pPr>
      <w:r>
        <w:t>Diagrams and tables.</w:t>
      </w:r>
    </w:p>
    <w:p w14:paraId="3593CE0B" w14:textId="77777777" w:rsidR="00242EFA" w:rsidRDefault="00242EFA" w:rsidP="00242EFA">
      <w:pPr>
        <w:pStyle w:val="ListParagraph"/>
        <w:ind w:left="420" w:firstLine="0"/>
      </w:pPr>
      <w:r>
        <w:t>f. 108r. The whole page is occupied by a diagram representing a shield chart, in each of the domiciles is an inscription describing the subject matter of that house. A brief list of the sixteen geomantic houses is found at the bottom of the page.</w:t>
      </w:r>
    </w:p>
    <w:p w14:paraId="02545397" w14:textId="4B21B39D" w:rsidR="00242EFA" w:rsidRDefault="00242EFA" w:rsidP="00242EFA">
      <w:pPr>
        <w:pStyle w:val="ListParagraph"/>
        <w:ind w:left="420" w:firstLine="0"/>
      </w:pPr>
      <w:r>
        <w:t xml:space="preserve">f. 108v-110v. Tables containing the geomantic figures. At the bottom of folio 110v there is a passage listing the signs of the zodiacs and the characteristics ascribed to them.  </w:t>
      </w:r>
    </w:p>
    <w:p w14:paraId="7817884A" w14:textId="29C66C41" w:rsidR="00242EFA" w:rsidRDefault="00242EFA" w:rsidP="00242EFA">
      <w:pPr>
        <w:pStyle w:val="ListParagraph"/>
        <w:ind w:left="420" w:firstLine="0"/>
      </w:pPr>
      <w:r>
        <w:t xml:space="preserve">f. 111r. Images representing the casting of the </w:t>
      </w:r>
      <w:r w:rsidR="002F2BE4">
        <w:t>points</w:t>
      </w:r>
      <w:r>
        <w:t xml:space="preserve"> and the construction of the geomantic chart.</w:t>
      </w:r>
    </w:p>
    <w:p w14:paraId="39D4872E" w14:textId="34BD42BD" w:rsidR="00242EFA" w:rsidRDefault="00242EFA" w:rsidP="00242EFA">
      <w:pPr>
        <w:pStyle w:val="ListParagraph"/>
        <w:ind w:left="420" w:firstLine="0"/>
      </w:pPr>
      <w:r>
        <w:t xml:space="preserve">f. 111v. Text on the meaning of each figure in the various </w:t>
      </w:r>
      <w:r w:rsidR="00034DC1">
        <w:t>houses</w:t>
      </w:r>
      <w:r>
        <w:t>.</w:t>
      </w:r>
    </w:p>
    <w:p w14:paraId="2952C9B4" w14:textId="77777777" w:rsidR="00242EFA" w:rsidRDefault="00242EFA" w:rsidP="00242EFA">
      <w:pPr>
        <w:pStyle w:val="ListParagraph"/>
        <w:numPr>
          <w:ilvl w:val="0"/>
          <w:numId w:val="5"/>
        </w:numPr>
      </w:pPr>
      <w:r>
        <w:t>Geomantic Questions.</w:t>
      </w:r>
    </w:p>
    <w:p w14:paraId="6810B7A2" w14:textId="77777777" w:rsidR="00242EFA" w:rsidRDefault="00242EFA" w:rsidP="00242EFA">
      <w:pPr>
        <w:pStyle w:val="ListParagraph"/>
        <w:ind w:left="420" w:firstLine="0"/>
      </w:pPr>
      <w:r>
        <w:t>f. 112r. Si amissum recuperetur an non.</w:t>
      </w:r>
    </w:p>
    <w:p w14:paraId="6461B95C" w14:textId="77777777" w:rsidR="00242EFA" w:rsidRDefault="00242EFA" w:rsidP="00242EFA">
      <w:pPr>
        <w:pStyle w:val="ListParagraph"/>
        <w:ind w:left="420" w:firstLine="0"/>
      </w:pPr>
      <w:r w:rsidRPr="00A53B54">
        <w:rPr>
          <w:i/>
          <w:iCs/>
        </w:rPr>
        <w:t>Incipit</w:t>
      </w:r>
      <w:r>
        <w:t>: Si igitur aliquod amissum vis scire.</w:t>
      </w:r>
    </w:p>
    <w:p w14:paraId="1410F3C3" w14:textId="77777777" w:rsidR="00242EFA" w:rsidRDefault="00242EFA" w:rsidP="00242EFA">
      <w:pPr>
        <w:pStyle w:val="ListParagraph"/>
        <w:ind w:left="420" w:firstLine="0"/>
      </w:pPr>
      <w:r>
        <w:t xml:space="preserve">f. 117r. </w:t>
      </w:r>
      <w:r w:rsidRPr="00FA2192">
        <w:rPr>
          <w:i/>
          <w:iCs/>
        </w:rPr>
        <w:t>Explicit</w:t>
      </w:r>
      <w:r>
        <w:t>: similiter de caeteris per omnia.</w:t>
      </w:r>
    </w:p>
    <w:p w14:paraId="6964448C" w14:textId="77777777" w:rsidR="00242EFA" w:rsidRDefault="00242EFA" w:rsidP="00242EFA">
      <w:pPr>
        <w:pStyle w:val="ListParagraph"/>
        <w:ind w:left="420" w:firstLine="0"/>
      </w:pPr>
      <w:r>
        <w:t>ff. 117v – 119v are left blank.</w:t>
      </w:r>
    </w:p>
    <w:p w14:paraId="46A69E5A" w14:textId="77777777" w:rsidR="00242EFA" w:rsidRDefault="00242EFA" w:rsidP="00242EFA">
      <w:pPr>
        <w:pStyle w:val="ListParagraph"/>
        <w:numPr>
          <w:ilvl w:val="0"/>
          <w:numId w:val="5"/>
        </w:numPr>
      </w:pPr>
      <w:r w:rsidRPr="00A00BDA">
        <w:rPr>
          <w:i/>
          <w:iCs/>
        </w:rPr>
        <w:t>Liber arenalis scientiae</w:t>
      </w:r>
      <w:r>
        <w:t xml:space="preserve">, Plato of Tivoli. </w:t>
      </w:r>
    </w:p>
    <w:p w14:paraId="0115C754" w14:textId="35C7555F" w:rsidR="00242EFA" w:rsidRDefault="00242EFA" w:rsidP="00242EFA">
      <w:pPr>
        <w:pStyle w:val="ListParagraph"/>
        <w:ind w:left="420" w:firstLine="0"/>
      </w:pPr>
      <w:r>
        <w:t>Smaller hand. 37 line</w:t>
      </w:r>
      <w:r w:rsidR="00D670BB">
        <w:t>s</w:t>
      </w:r>
      <w:r>
        <w:t xml:space="preserve"> to a page.</w:t>
      </w:r>
    </w:p>
    <w:p w14:paraId="3B8C92D2" w14:textId="77777777" w:rsidR="00242EFA" w:rsidRDefault="00242EFA" w:rsidP="00242EFA">
      <w:pPr>
        <w:pStyle w:val="ListParagraph"/>
        <w:ind w:left="420" w:firstLine="0"/>
      </w:pPr>
      <w:r>
        <w:t>f. 120r. Incipit liber arenalis scientiae ab alfarino abizarch editus et a platone tiburtino de arabico in latinum translatus.</w:t>
      </w:r>
    </w:p>
    <w:p w14:paraId="1AE949B3" w14:textId="77777777" w:rsidR="00242EFA" w:rsidRDefault="00242EFA" w:rsidP="00242EFA">
      <w:pPr>
        <w:pStyle w:val="ListParagraph"/>
        <w:ind w:left="420" w:firstLine="0"/>
      </w:pPr>
      <w:r>
        <w:t xml:space="preserve">f. 125v. </w:t>
      </w:r>
      <w:r w:rsidRPr="008F0702">
        <w:rPr>
          <w:i/>
          <w:iCs/>
        </w:rPr>
        <w:t>Explicit</w:t>
      </w:r>
      <w:r>
        <w:t>: Carcer in omnibus retentionem significat.</w:t>
      </w:r>
    </w:p>
    <w:p w14:paraId="02BD1AF1" w14:textId="77777777" w:rsidR="00242EFA" w:rsidRDefault="00242EFA" w:rsidP="00242EFA">
      <w:pPr>
        <w:pStyle w:val="ListParagraph"/>
        <w:ind w:left="420" w:firstLine="0"/>
      </w:pPr>
      <w:r>
        <w:t>ff. 126r-127v are left blank.</w:t>
      </w:r>
    </w:p>
    <w:p w14:paraId="2BBF4AE5" w14:textId="77777777" w:rsidR="00242EFA" w:rsidRDefault="00242EFA" w:rsidP="00242EFA">
      <w:pPr>
        <w:pStyle w:val="ListParagraph"/>
        <w:numPr>
          <w:ilvl w:val="0"/>
          <w:numId w:val="5"/>
        </w:numPr>
      </w:pPr>
      <w:r>
        <w:t>(</w:t>
      </w:r>
      <w:r w:rsidRPr="00A00BDA">
        <w:rPr>
          <w:i/>
          <w:iCs/>
        </w:rPr>
        <w:t>Geomantia magis parata</w:t>
      </w:r>
      <w:r>
        <w:t>)</w:t>
      </w:r>
    </w:p>
    <w:p w14:paraId="64A907A3" w14:textId="1F40BEE8" w:rsidR="00242EFA" w:rsidRDefault="00242EFA" w:rsidP="00242EFA">
      <w:pPr>
        <w:pStyle w:val="ListParagraph"/>
        <w:ind w:left="420" w:firstLine="0"/>
      </w:pPr>
      <w:r>
        <w:t xml:space="preserve">f. 128r. </w:t>
      </w:r>
      <w:r w:rsidRPr="008F0702">
        <w:rPr>
          <w:i/>
          <w:iCs/>
        </w:rPr>
        <w:t>Incipit</w:t>
      </w:r>
      <w:r>
        <w:t>: Fide pariter et ratione naturali coacti credimus et confitemur una(m) omnium rerum esse causam prima</w:t>
      </w:r>
      <w:r w:rsidR="00FA2192">
        <w:t>m</w:t>
      </w:r>
      <w:r>
        <w:t>.</w:t>
      </w:r>
    </w:p>
    <w:p w14:paraId="4396DDE5" w14:textId="77777777" w:rsidR="00242EFA" w:rsidRPr="0055334E" w:rsidRDefault="00242EFA" w:rsidP="00242EFA">
      <w:pPr>
        <w:pStyle w:val="ListParagraph"/>
        <w:ind w:left="420" w:firstLine="0"/>
      </w:pPr>
      <w:r>
        <w:t xml:space="preserve">In the bottom margin of f. 129r.: Libellus Johannis </w:t>
      </w:r>
      <w:r w:rsidRPr="008F0702">
        <w:rPr>
          <w:u w:val="dotted"/>
        </w:rPr>
        <w:t>palmare</w:t>
      </w:r>
      <w:r>
        <w:rPr>
          <w:u w:val="dotted"/>
        </w:rPr>
        <w:t xml:space="preserve"> (erased) </w:t>
      </w:r>
      <w:r w:rsidRPr="0055334E">
        <w:t>londonii.</w:t>
      </w:r>
    </w:p>
    <w:p w14:paraId="0DCB6054" w14:textId="1D47DCBC" w:rsidR="00242EFA" w:rsidRPr="0055334E" w:rsidRDefault="00242EFA" w:rsidP="00242EFA">
      <w:pPr>
        <w:pStyle w:val="ListParagraph"/>
        <w:ind w:left="420" w:firstLine="0"/>
      </w:pPr>
      <w:r w:rsidRPr="0055334E">
        <w:t xml:space="preserve">f. 161 v. </w:t>
      </w:r>
      <w:r w:rsidRPr="0055334E">
        <w:rPr>
          <w:i/>
          <w:iCs/>
        </w:rPr>
        <w:t>Explicit</w:t>
      </w:r>
      <w:r w:rsidRPr="0055334E">
        <w:t>: pariet filiam et quod pe</w:t>
      </w:r>
      <w:r w:rsidR="00481994">
        <w:t>t</w:t>
      </w:r>
      <w:r w:rsidRPr="0055334E">
        <w:t>ieris habebit. Explicit geomantia magis parata.</w:t>
      </w:r>
    </w:p>
    <w:p w14:paraId="4E3B2A97" w14:textId="77777777" w:rsidR="00242EFA" w:rsidRPr="0055334E" w:rsidRDefault="00242EFA" w:rsidP="00242EFA">
      <w:pPr>
        <w:pStyle w:val="ListParagraph"/>
        <w:ind w:left="420" w:firstLine="0"/>
      </w:pPr>
      <w:r w:rsidRPr="0055334E">
        <w:t>ff. 162r -165v are left blank.</w:t>
      </w:r>
    </w:p>
    <w:p w14:paraId="4EDDC5E9" w14:textId="77777777" w:rsidR="00242EFA" w:rsidRDefault="00242EFA" w:rsidP="00242EFA">
      <w:pPr>
        <w:pStyle w:val="ListParagraph"/>
        <w:numPr>
          <w:ilvl w:val="0"/>
          <w:numId w:val="5"/>
        </w:numPr>
      </w:pPr>
      <w:r w:rsidRPr="00C578B4">
        <w:rPr>
          <w:i/>
          <w:iCs/>
        </w:rPr>
        <w:t>Archanum magni Dei de reductione geomancie ad orbem</w:t>
      </w:r>
      <w:r>
        <w:rPr>
          <w:i/>
          <w:iCs/>
        </w:rPr>
        <w:t xml:space="preserve">, </w:t>
      </w:r>
      <w:r>
        <w:t>Pseudo-Ptolemy.</w:t>
      </w:r>
    </w:p>
    <w:p w14:paraId="2CFE5A6E" w14:textId="77777777" w:rsidR="00242EFA" w:rsidRDefault="00242EFA" w:rsidP="00242EFA">
      <w:pPr>
        <w:pStyle w:val="ListParagraph"/>
        <w:ind w:left="420" w:firstLine="0"/>
      </w:pPr>
      <w:r w:rsidRPr="0055334E">
        <w:t>In</w:t>
      </w:r>
      <w:r>
        <w:t xml:space="preserve"> another hand; text divided into two colums.</w:t>
      </w:r>
    </w:p>
    <w:p w14:paraId="34DFFF2F" w14:textId="16EC3758" w:rsidR="00242EFA" w:rsidRDefault="00242EFA" w:rsidP="00242EFA">
      <w:pPr>
        <w:pStyle w:val="ListParagraph"/>
        <w:ind w:left="420" w:firstLine="0"/>
      </w:pPr>
      <w:r w:rsidRPr="0055334E">
        <w:rPr>
          <w:i/>
          <w:iCs/>
        </w:rPr>
        <w:t>Incipit</w:t>
      </w:r>
      <w:r>
        <w:t xml:space="preserve">: Ave Maria. Per hoc opus presens possunt cognosci exquisite presencia praeterita et futura. </w:t>
      </w:r>
    </w:p>
    <w:p w14:paraId="104D8405" w14:textId="77777777" w:rsidR="00242EFA" w:rsidRDefault="00242EFA" w:rsidP="00242EFA">
      <w:pPr>
        <w:pStyle w:val="ListParagraph"/>
        <w:ind w:left="420" w:firstLine="0"/>
      </w:pPr>
      <w:r>
        <w:t>The text contains square charts and diagrams featuring geomantic figures.</w:t>
      </w:r>
    </w:p>
    <w:p w14:paraId="08CE7469" w14:textId="75358C0F" w:rsidR="00242EFA" w:rsidRDefault="00242EFA" w:rsidP="00242EFA">
      <w:pPr>
        <w:pStyle w:val="ListParagraph"/>
        <w:ind w:left="420" w:firstLine="0"/>
      </w:pPr>
      <w:r>
        <w:t xml:space="preserve">f. 173v.: </w:t>
      </w:r>
      <w:r w:rsidRPr="00577683">
        <w:rPr>
          <w:i/>
          <w:iCs/>
        </w:rPr>
        <w:t>Explicit</w:t>
      </w:r>
      <w:r>
        <w:t xml:space="preserve"> (incomplete): Capitulum decimum quarte domus.</w:t>
      </w:r>
    </w:p>
    <w:p w14:paraId="73548348" w14:textId="77777777" w:rsidR="00242EFA" w:rsidRDefault="00242EFA" w:rsidP="00242EFA">
      <w:pPr>
        <w:pStyle w:val="ListParagraph"/>
        <w:ind w:left="420" w:firstLine="0"/>
      </w:pPr>
      <w:r>
        <w:t>ff. 174 and 175 are missing.</w:t>
      </w:r>
    </w:p>
    <w:p w14:paraId="0C3D68A1" w14:textId="77777777" w:rsidR="00242EFA" w:rsidRDefault="00242EFA" w:rsidP="00242EFA">
      <w:pPr>
        <w:pStyle w:val="ListParagraph"/>
        <w:ind w:left="420" w:firstLine="0"/>
      </w:pPr>
      <w:r>
        <w:t>ff. 176-178 are blank.</w:t>
      </w:r>
    </w:p>
    <w:p w14:paraId="7B390980" w14:textId="727A5872" w:rsidR="00242EFA" w:rsidRDefault="00242EFA" w:rsidP="008B4323">
      <w:pPr>
        <w:pStyle w:val="ListParagraph"/>
        <w:ind w:left="420" w:firstLine="0"/>
      </w:pPr>
      <w:r>
        <w:t xml:space="preserve">After f. 179 on a page not numbered is a table in a different hand. </w:t>
      </w:r>
    </w:p>
    <w:p w14:paraId="1D1EC31B" w14:textId="77777777" w:rsidR="008B4323" w:rsidRDefault="008B4323" w:rsidP="008B4323">
      <w:pPr>
        <w:pStyle w:val="ListParagraph"/>
        <w:ind w:left="420" w:firstLine="0"/>
      </w:pPr>
    </w:p>
    <w:p w14:paraId="562E6610" w14:textId="77777777" w:rsidR="00242EFA" w:rsidRPr="008B4323" w:rsidRDefault="00242EFA" w:rsidP="008B4323">
      <w:pPr>
        <w:pStyle w:val="Heading2"/>
        <w:ind w:firstLine="0"/>
        <w:rPr>
          <w:rFonts w:asciiTheme="majorBidi" w:hAnsiTheme="majorBidi"/>
          <w:color w:val="auto"/>
          <w:sz w:val="20"/>
          <w:szCs w:val="20"/>
        </w:rPr>
      </w:pPr>
      <w:bookmarkStart w:id="132" w:name="_Hlk146192258"/>
      <w:bookmarkStart w:id="133" w:name="_Toc165108676"/>
      <w:r w:rsidRPr="008B4323">
        <w:rPr>
          <w:rFonts w:asciiTheme="majorBidi" w:hAnsiTheme="majorBidi"/>
          <w:color w:val="auto"/>
          <w:sz w:val="20"/>
          <w:szCs w:val="20"/>
        </w:rPr>
        <w:t>A DESCRIPTION OF THE MANUSCRIPT OXFORD, BODLEIAN LIBRARY, RAWLINSON D. 1227</w:t>
      </w:r>
      <w:bookmarkEnd w:id="132"/>
      <w:r w:rsidRPr="008B4323">
        <w:rPr>
          <w:rStyle w:val="FootnoteReference"/>
          <w:rFonts w:asciiTheme="majorBidi" w:hAnsiTheme="majorBidi"/>
          <w:color w:val="auto"/>
          <w:sz w:val="20"/>
          <w:szCs w:val="20"/>
        </w:rPr>
        <w:footnoteReference w:id="505"/>
      </w:r>
      <w:bookmarkEnd w:id="133"/>
      <w:r w:rsidRPr="008B4323">
        <w:rPr>
          <w:rFonts w:asciiTheme="majorBidi" w:hAnsiTheme="majorBidi"/>
          <w:color w:val="auto"/>
          <w:sz w:val="20"/>
          <w:szCs w:val="20"/>
        </w:rPr>
        <w:t xml:space="preserve"> </w:t>
      </w:r>
    </w:p>
    <w:p w14:paraId="4D0E69AD" w14:textId="77777777" w:rsidR="00242EFA" w:rsidRDefault="00242EFA" w:rsidP="00242EFA">
      <w:pPr>
        <w:ind w:firstLine="0"/>
      </w:pPr>
    </w:p>
    <w:p w14:paraId="3CF8E0F9" w14:textId="77777777" w:rsidR="00242EFA" w:rsidRDefault="00242EFA" w:rsidP="00242EFA">
      <w:pPr>
        <w:ind w:firstLine="0"/>
      </w:pPr>
      <w:r>
        <w:t>Collection of astrological texts, written in Latin.</w:t>
      </w:r>
    </w:p>
    <w:p w14:paraId="32DB831B" w14:textId="77777777" w:rsidR="00242EFA" w:rsidRDefault="00242EFA" w:rsidP="00242EFA">
      <w:pPr>
        <w:ind w:firstLine="0"/>
      </w:pPr>
      <w:r>
        <w:t>XIV century, England (Oxford?).</w:t>
      </w:r>
    </w:p>
    <w:p w14:paraId="2A4163B3" w14:textId="77777777" w:rsidR="00242EFA" w:rsidRDefault="00242EFA" w:rsidP="00242EFA">
      <w:pPr>
        <w:ind w:firstLine="0"/>
      </w:pPr>
    </w:p>
    <w:p w14:paraId="299A890B" w14:textId="77777777" w:rsidR="00242EFA" w:rsidRDefault="00242EFA" w:rsidP="00242EFA">
      <w:pPr>
        <w:ind w:firstLine="0"/>
      </w:pPr>
      <w:r w:rsidRPr="007E32CE">
        <w:rPr>
          <w:b/>
          <w:bCs/>
        </w:rPr>
        <w:t xml:space="preserve">Provenance: </w:t>
      </w:r>
      <w:r>
        <w:t>On the opening page there is the inscription, written in a XV century hand ‘liber magistri Roberti Tomsun.’</w:t>
      </w:r>
    </w:p>
    <w:p w14:paraId="28883B9F" w14:textId="77777777" w:rsidR="00242EFA" w:rsidRDefault="00242EFA" w:rsidP="00242EFA">
      <w:pPr>
        <w:ind w:firstLine="0"/>
        <w:rPr>
          <w:b/>
          <w:bCs/>
        </w:rPr>
      </w:pPr>
    </w:p>
    <w:p w14:paraId="0D640753" w14:textId="77777777" w:rsidR="00242EFA" w:rsidRDefault="00242EFA" w:rsidP="00242EFA">
      <w:pPr>
        <w:ind w:firstLine="0"/>
      </w:pPr>
      <w:r w:rsidRPr="00A403D7">
        <w:rPr>
          <w:b/>
          <w:bCs/>
        </w:rPr>
        <w:t>Physical description</w:t>
      </w:r>
      <w:r w:rsidRPr="00A403D7">
        <w:t>: Parchment, in 4</w:t>
      </w:r>
      <w:r w:rsidRPr="00A403D7">
        <w:rPr>
          <w:vertAlign w:val="superscript"/>
        </w:rPr>
        <w:t>o</w:t>
      </w:r>
      <w:r w:rsidRPr="00A403D7">
        <w:t>, ff.: 149.</w:t>
      </w:r>
    </w:p>
    <w:p w14:paraId="5179B658" w14:textId="77777777" w:rsidR="00242EFA" w:rsidRDefault="00242EFA" w:rsidP="00242EFA">
      <w:pPr>
        <w:ind w:firstLine="0"/>
      </w:pPr>
    </w:p>
    <w:p w14:paraId="45553AD7" w14:textId="77777777" w:rsidR="00242EFA" w:rsidRPr="007E32CE" w:rsidRDefault="00242EFA" w:rsidP="00242EFA">
      <w:pPr>
        <w:ind w:firstLine="0"/>
        <w:rPr>
          <w:b/>
          <w:bCs/>
        </w:rPr>
      </w:pPr>
      <w:r w:rsidRPr="007E32CE">
        <w:rPr>
          <w:b/>
          <w:bCs/>
        </w:rPr>
        <w:t>List of contents</w:t>
      </w:r>
    </w:p>
    <w:p w14:paraId="71BF2105" w14:textId="77777777" w:rsidR="00242EFA" w:rsidRDefault="00242EFA" w:rsidP="00242EFA">
      <w:pPr>
        <w:ind w:firstLine="0"/>
      </w:pPr>
    </w:p>
    <w:p w14:paraId="4C62B1A1" w14:textId="77777777" w:rsidR="00242EFA" w:rsidRDefault="00242EFA" w:rsidP="00242EFA">
      <w:pPr>
        <w:ind w:firstLine="0"/>
      </w:pPr>
      <w:r>
        <w:t>Following the inscription by Robert Tomsun is a table of contents written in a fifteenth-century hand.</w:t>
      </w:r>
    </w:p>
    <w:p w14:paraId="01454E3A" w14:textId="77777777" w:rsidR="00242EFA" w:rsidRDefault="00242EFA" w:rsidP="00242EFA">
      <w:pPr>
        <w:pStyle w:val="ListParagraph"/>
        <w:numPr>
          <w:ilvl w:val="0"/>
          <w:numId w:val="6"/>
        </w:numPr>
      </w:pPr>
      <w:r>
        <w:t>Astrological charts.</w:t>
      </w:r>
    </w:p>
    <w:p w14:paraId="5AD6A74A" w14:textId="77777777" w:rsidR="00242EFA" w:rsidRDefault="00242EFA" w:rsidP="00242EFA">
      <w:pPr>
        <w:pStyle w:val="ListParagraph"/>
        <w:ind w:firstLine="0"/>
      </w:pPr>
      <w:r>
        <w:t>f. 1r. Nativity chart for King Richard II.</w:t>
      </w:r>
    </w:p>
    <w:p w14:paraId="77DC9FC4" w14:textId="77777777" w:rsidR="00242EFA" w:rsidRDefault="00242EFA" w:rsidP="00242EFA">
      <w:pPr>
        <w:pStyle w:val="ListParagraph"/>
        <w:ind w:firstLine="0"/>
      </w:pPr>
      <w:r>
        <w:t>f. 2. Astrological charts.</w:t>
      </w:r>
    </w:p>
    <w:p w14:paraId="65EA1E5B" w14:textId="77777777" w:rsidR="00242EFA" w:rsidRDefault="00242EFA" w:rsidP="00242EFA">
      <w:pPr>
        <w:pStyle w:val="ListParagraph"/>
        <w:numPr>
          <w:ilvl w:val="0"/>
          <w:numId w:val="6"/>
        </w:numPr>
      </w:pPr>
      <w:r w:rsidRPr="00853344">
        <w:rPr>
          <w:i/>
          <w:iCs/>
        </w:rPr>
        <w:t>Almanach temporale</w:t>
      </w:r>
      <w:r>
        <w:t>, Johannis Dancowe, dicti de Saxonia.</w:t>
      </w:r>
    </w:p>
    <w:p w14:paraId="619B8883" w14:textId="77777777" w:rsidR="00242EFA" w:rsidRDefault="00242EFA" w:rsidP="00242EFA">
      <w:pPr>
        <w:pStyle w:val="ListParagraph"/>
        <w:ind w:firstLine="0"/>
      </w:pPr>
      <w:r>
        <w:t xml:space="preserve">f. 3r. </w:t>
      </w:r>
      <w:r w:rsidRPr="00952C81">
        <w:rPr>
          <w:i/>
          <w:iCs/>
        </w:rPr>
        <w:t>Incipit</w:t>
      </w:r>
      <w:r>
        <w:t xml:space="preserve">: Cum animadverterem quoniam plurimos magistros et scolares in studio Parisiensi. </w:t>
      </w:r>
    </w:p>
    <w:p w14:paraId="26D0E24F" w14:textId="612C2268" w:rsidR="00242EFA" w:rsidRDefault="00242EFA" w:rsidP="00242EFA">
      <w:pPr>
        <w:pStyle w:val="ListParagraph"/>
        <w:ind w:firstLine="0"/>
      </w:pPr>
      <w:r>
        <w:t>The text is followed by some planetary tables for the years</w:t>
      </w:r>
      <w:r w:rsidR="00804A5F">
        <w:t xml:space="preserve"> </w:t>
      </w:r>
      <w:r>
        <w:t>1340 and 1380.</w:t>
      </w:r>
    </w:p>
    <w:p w14:paraId="3686A693" w14:textId="74049F13" w:rsidR="00242EFA" w:rsidRDefault="00242EFA" w:rsidP="00242EFA">
      <w:pPr>
        <w:pStyle w:val="ListParagraph"/>
        <w:numPr>
          <w:ilvl w:val="0"/>
          <w:numId w:val="6"/>
        </w:numPr>
      </w:pPr>
      <w:r w:rsidRPr="00853344">
        <w:rPr>
          <w:i/>
          <w:iCs/>
        </w:rPr>
        <w:t>Tractatus de significationibus planetarum in 12 domibus</w:t>
      </w:r>
      <w:r>
        <w:t>, Messahalla (translated by John of S</w:t>
      </w:r>
      <w:r w:rsidR="003B2591">
        <w:t>eville</w:t>
      </w:r>
      <w:r>
        <w:t>).</w:t>
      </w:r>
    </w:p>
    <w:p w14:paraId="66B11FE1" w14:textId="77777777" w:rsidR="00242EFA" w:rsidRDefault="00242EFA" w:rsidP="00242EFA">
      <w:pPr>
        <w:pStyle w:val="ListParagraph"/>
        <w:ind w:firstLine="0"/>
      </w:pPr>
      <w:r>
        <w:t xml:space="preserve">f. 32r. </w:t>
      </w:r>
      <w:r w:rsidRPr="00853344">
        <w:rPr>
          <w:i/>
          <w:iCs/>
        </w:rPr>
        <w:t>Incipit</w:t>
      </w:r>
      <w:r>
        <w:t>: Quia dominus altissimus fecit terram ad similitudinem sphere.</w:t>
      </w:r>
    </w:p>
    <w:p w14:paraId="3420E9B5" w14:textId="17098461" w:rsidR="00242EFA" w:rsidRDefault="00242EFA" w:rsidP="00242EFA">
      <w:pPr>
        <w:pStyle w:val="ListParagraph"/>
        <w:numPr>
          <w:ilvl w:val="0"/>
          <w:numId w:val="6"/>
        </w:numPr>
      </w:pPr>
      <w:r w:rsidRPr="00696722">
        <w:t>f. 35.</w:t>
      </w:r>
      <w:r>
        <w:rPr>
          <w:i/>
          <w:iCs/>
        </w:rPr>
        <w:t xml:space="preserve"> </w:t>
      </w:r>
      <w:r w:rsidRPr="00696722">
        <w:rPr>
          <w:i/>
          <w:iCs/>
        </w:rPr>
        <w:t>Compendium totius gfpmbnckf</w:t>
      </w:r>
      <w:r>
        <w:t xml:space="preserve"> (i.e. geomanciae, the vowels have been turned into </w:t>
      </w:r>
      <w:r w:rsidR="00781702">
        <w:t xml:space="preserve">their following </w:t>
      </w:r>
      <w:r>
        <w:t xml:space="preserve">consonants). </w:t>
      </w:r>
    </w:p>
    <w:p w14:paraId="6DB29EF7" w14:textId="77777777" w:rsidR="00242EFA" w:rsidRDefault="00242EFA" w:rsidP="00242EFA">
      <w:pPr>
        <w:pStyle w:val="ListParagraph"/>
        <w:numPr>
          <w:ilvl w:val="0"/>
          <w:numId w:val="6"/>
        </w:numPr>
      </w:pPr>
      <w:r w:rsidRPr="00696722">
        <w:rPr>
          <w:i/>
          <w:iCs/>
        </w:rPr>
        <w:t>Liber arenalis scientiae</w:t>
      </w:r>
      <w:r>
        <w:t>.</w:t>
      </w:r>
    </w:p>
    <w:p w14:paraId="78895E3E" w14:textId="77777777" w:rsidR="00242EFA" w:rsidRDefault="00242EFA" w:rsidP="00242EFA">
      <w:pPr>
        <w:pStyle w:val="ListParagraph"/>
        <w:ind w:firstLine="0"/>
      </w:pPr>
      <w:r>
        <w:t>f. 38r. Incipit liber Arnaldi sciencie ab Alpharino Abizarch editus, et a Platone Tiburtino de Arabico in Latinum translatus.</w:t>
      </w:r>
    </w:p>
    <w:p w14:paraId="48F15BBF" w14:textId="77777777" w:rsidR="00242EFA" w:rsidRDefault="00242EFA" w:rsidP="00242EFA">
      <w:pPr>
        <w:pStyle w:val="ListParagraph"/>
        <w:ind w:firstLine="0"/>
      </w:pPr>
      <w:r>
        <w:t xml:space="preserve">f. 40v. </w:t>
      </w:r>
      <w:r w:rsidRPr="00696722">
        <w:rPr>
          <w:i/>
          <w:iCs/>
        </w:rPr>
        <w:t>Explicit</w:t>
      </w:r>
      <w:r>
        <w:t xml:space="preserve">: </w:t>
      </w:r>
      <w:r w:rsidRPr="000541F4">
        <w:t>ita quod lumen solis non impediat ab oculis nostris</w:t>
      </w:r>
      <w:r>
        <w:t>.</w:t>
      </w:r>
    </w:p>
    <w:p w14:paraId="6E598587" w14:textId="77777777" w:rsidR="00242EFA" w:rsidRDefault="00242EFA" w:rsidP="00242EFA">
      <w:pPr>
        <w:pStyle w:val="ListParagraph"/>
        <w:numPr>
          <w:ilvl w:val="0"/>
          <w:numId w:val="6"/>
        </w:numPr>
      </w:pPr>
      <w:r w:rsidRPr="005D0943">
        <w:rPr>
          <w:i/>
          <w:iCs/>
        </w:rPr>
        <w:t>Liber de secretis astronomiae</w:t>
      </w:r>
      <w:r>
        <w:t>, Messahalla.</w:t>
      </w:r>
    </w:p>
    <w:p w14:paraId="7B646F65" w14:textId="77777777" w:rsidR="00242EFA" w:rsidRDefault="00242EFA" w:rsidP="00242EFA">
      <w:pPr>
        <w:pStyle w:val="ListParagraph"/>
        <w:ind w:firstLine="0"/>
      </w:pPr>
      <w:r>
        <w:t xml:space="preserve">f. 41r. </w:t>
      </w:r>
      <w:r w:rsidRPr="005D0943">
        <w:rPr>
          <w:i/>
          <w:iCs/>
        </w:rPr>
        <w:t>Incipit</w:t>
      </w:r>
      <w:r>
        <w:t>: Cum astrorum scientia difficilis fuerit cordetenus inspicientibus.</w:t>
      </w:r>
    </w:p>
    <w:p w14:paraId="5712707F" w14:textId="77777777" w:rsidR="00242EFA" w:rsidRDefault="00242EFA" w:rsidP="00242EFA">
      <w:pPr>
        <w:pStyle w:val="ListParagraph"/>
        <w:numPr>
          <w:ilvl w:val="0"/>
          <w:numId w:val="6"/>
        </w:numPr>
      </w:pPr>
      <w:r>
        <w:t>Various notes and tables.</w:t>
      </w:r>
    </w:p>
    <w:p w14:paraId="7972AD3F" w14:textId="77777777" w:rsidR="00242EFA" w:rsidRDefault="00242EFA" w:rsidP="00242EFA">
      <w:pPr>
        <w:pStyle w:val="ListParagraph"/>
        <w:ind w:firstLine="0"/>
      </w:pPr>
      <w:r>
        <w:t xml:space="preserve">f. 46r. Note on the signs of the zodiac according to the </w:t>
      </w:r>
      <w:r w:rsidRPr="00EB605C">
        <w:rPr>
          <w:i/>
          <w:iCs/>
        </w:rPr>
        <w:t>Introductorius</w:t>
      </w:r>
      <w:r>
        <w:t xml:space="preserve"> of Alkabitius,</w:t>
      </w:r>
    </w:p>
    <w:p w14:paraId="3F6D466B" w14:textId="77777777" w:rsidR="00242EFA" w:rsidRDefault="00242EFA" w:rsidP="00242EFA">
      <w:pPr>
        <w:pStyle w:val="ListParagraph"/>
        <w:ind w:firstLine="0"/>
      </w:pPr>
      <w:r>
        <w:t>f. 46b. Table of great conjunctions that predated pestilences om the years 1345, 1325, 1360-2 and the future year 1654. On the same folio is the nativity chart of King Edward III.</w:t>
      </w:r>
    </w:p>
    <w:p w14:paraId="5E334C83" w14:textId="77777777" w:rsidR="00242EFA" w:rsidRDefault="00242EFA" w:rsidP="00242EFA">
      <w:pPr>
        <w:pStyle w:val="ListParagraph"/>
        <w:numPr>
          <w:ilvl w:val="0"/>
          <w:numId w:val="6"/>
        </w:numPr>
      </w:pPr>
      <w:r>
        <w:t>ff. 47-49r. Almanach for the year 1357.</w:t>
      </w:r>
    </w:p>
    <w:p w14:paraId="710B2F07" w14:textId="77777777" w:rsidR="00242EFA" w:rsidRDefault="00242EFA" w:rsidP="00242EFA">
      <w:pPr>
        <w:pStyle w:val="ListParagraph"/>
        <w:numPr>
          <w:ilvl w:val="0"/>
          <w:numId w:val="6"/>
        </w:numPr>
      </w:pPr>
      <w:r>
        <w:t>ff. 49v-50v. Miscellaneous material on planetary aspects.</w:t>
      </w:r>
    </w:p>
    <w:p w14:paraId="55181FE5" w14:textId="742FDC89" w:rsidR="00242EFA" w:rsidRDefault="00242EFA" w:rsidP="00242EFA">
      <w:pPr>
        <w:pStyle w:val="ListParagraph"/>
        <w:numPr>
          <w:ilvl w:val="0"/>
          <w:numId w:val="6"/>
        </w:numPr>
      </w:pPr>
      <w:r>
        <w:t>ff. 51r-52v. Various fragments of texts</w:t>
      </w:r>
      <w:r w:rsidR="00855177">
        <w:t>,</w:t>
      </w:r>
      <w:r>
        <w:t xml:space="preserve"> including an astrological text attributed to Ptolemy, a ‘Centiloquium Bathem’, and a text attributed to Abraham bar Hiyya.</w:t>
      </w:r>
    </w:p>
    <w:p w14:paraId="198C73E1" w14:textId="77777777" w:rsidR="00242EFA" w:rsidRDefault="00242EFA" w:rsidP="00242EFA">
      <w:pPr>
        <w:pStyle w:val="ListParagraph"/>
        <w:numPr>
          <w:ilvl w:val="0"/>
          <w:numId w:val="6"/>
        </w:numPr>
      </w:pPr>
      <w:r>
        <w:t>ff. 52v-53v. Fragment of text on mathematics.</w:t>
      </w:r>
    </w:p>
    <w:p w14:paraId="3C46307E" w14:textId="77777777" w:rsidR="00242EFA" w:rsidRDefault="00242EFA" w:rsidP="00242EFA">
      <w:pPr>
        <w:pStyle w:val="ListParagraph"/>
        <w:numPr>
          <w:ilvl w:val="0"/>
          <w:numId w:val="6"/>
        </w:numPr>
      </w:pPr>
      <w:r>
        <w:t xml:space="preserve">Albumasar, </w:t>
      </w:r>
      <w:r w:rsidRPr="0040032C">
        <w:rPr>
          <w:i/>
          <w:iCs/>
        </w:rPr>
        <w:t>Flores astrologiae</w:t>
      </w:r>
      <w:r>
        <w:t>.</w:t>
      </w:r>
    </w:p>
    <w:p w14:paraId="6BBF1CA0" w14:textId="77777777" w:rsidR="00242EFA" w:rsidRDefault="00242EFA" w:rsidP="00242EFA">
      <w:pPr>
        <w:pStyle w:val="ListParagraph"/>
        <w:ind w:firstLine="0"/>
      </w:pPr>
      <w:r>
        <w:t xml:space="preserve">f.54r. </w:t>
      </w:r>
      <w:r w:rsidRPr="0040032C">
        <w:rPr>
          <w:i/>
          <w:iCs/>
        </w:rPr>
        <w:t>Incipit</w:t>
      </w:r>
      <w:r>
        <w:t>: In nomine Domini pii et misericordis. Hic est liber quem collegit Albumasar ex floribus eorum que signant res superiores in rebus inferioribus.</w:t>
      </w:r>
    </w:p>
    <w:p w14:paraId="1DBA1193" w14:textId="77777777" w:rsidR="00242EFA" w:rsidRDefault="00242EFA" w:rsidP="00242EFA">
      <w:pPr>
        <w:pStyle w:val="ListParagraph"/>
        <w:ind w:firstLine="0"/>
      </w:pPr>
      <w:r>
        <w:t>f. 61v. Explicit cum labore et festinacione. Finit liber florum Albumasar, sub laude Dei et ejus euxilio, anno Domini 1336 perfectus, 5 die Septembris, 3 hora post meridiem. Amen.</w:t>
      </w:r>
    </w:p>
    <w:p w14:paraId="0640FA2A" w14:textId="77777777" w:rsidR="00242EFA" w:rsidRDefault="00242EFA" w:rsidP="00242EFA">
      <w:pPr>
        <w:pStyle w:val="ListParagraph"/>
        <w:numPr>
          <w:ilvl w:val="0"/>
          <w:numId w:val="6"/>
        </w:numPr>
      </w:pPr>
      <w:r>
        <w:t>Tables.</w:t>
      </w:r>
    </w:p>
    <w:p w14:paraId="05C9D4DC" w14:textId="77777777" w:rsidR="00242EFA" w:rsidRDefault="00242EFA" w:rsidP="00242EFA">
      <w:pPr>
        <w:pStyle w:val="ListParagraph"/>
        <w:ind w:firstLine="0"/>
      </w:pPr>
      <w:r>
        <w:t>ff. 62-87. Astronomical tables made in Oxford.</w:t>
      </w:r>
    </w:p>
    <w:p w14:paraId="2AF7A6DB" w14:textId="77777777" w:rsidR="00242EFA" w:rsidRDefault="00242EFA" w:rsidP="00242EFA">
      <w:pPr>
        <w:pStyle w:val="ListParagraph"/>
        <w:ind w:firstLine="0"/>
      </w:pPr>
      <w:r>
        <w:t>ff. 91-101. Tables of eclipses for the years 1370-1390.</w:t>
      </w:r>
    </w:p>
    <w:p w14:paraId="79C8FC77" w14:textId="566EA6B7" w:rsidR="00242EFA" w:rsidRDefault="00242EFA" w:rsidP="00242EFA">
      <w:pPr>
        <w:pStyle w:val="ListParagraph"/>
        <w:numPr>
          <w:ilvl w:val="0"/>
          <w:numId w:val="6"/>
        </w:numPr>
      </w:pPr>
      <w:r>
        <w:t xml:space="preserve">Jafar Indus, </w:t>
      </w:r>
      <w:r w:rsidRPr="00F743AD">
        <w:rPr>
          <w:i/>
          <w:iCs/>
        </w:rPr>
        <w:t>Liber Jafar de temperie et tempestatibus, cum quibusdam aliis questionibus</w:t>
      </w:r>
      <w:r w:rsidR="00BB175E">
        <w:t>, translated into Latin by Hugo Sanctelliensis.</w:t>
      </w:r>
    </w:p>
    <w:p w14:paraId="2E8A6A6D" w14:textId="77777777" w:rsidR="00242EFA" w:rsidRDefault="00242EFA" w:rsidP="00242EFA">
      <w:pPr>
        <w:pStyle w:val="ListParagraph"/>
        <w:ind w:firstLine="0"/>
      </w:pPr>
      <w:r>
        <w:t xml:space="preserve">f. 102r. </w:t>
      </w:r>
      <w:r w:rsidRPr="00F743AD">
        <w:rPr>
          <w:i/>
          <w:iCs/>
        </w:rPr>
        <w:t>Incipit</w:t>
      </w:r>
      <w:r>
        <w:t>: Superioris discipline inconcussam veritatem prout Indorum monet auctoritas toto desiderio attendere.’</w:t>
      </w:r>
    </w:p>
    <w:p w14:paraId="0F21A18E" w14:textId="77777777" w:rsidR="00242EFA" w:rsidRDefault="00242EFA" w:rsidP="00242EFA">
      <w:pPr>
        <w:pStyle w:val="ListParagraph"/>
        <w:numPr>
          <w:ilvl w:val="0"/>
          <w:numId w:val="6"/>
        </w:numPr>
      </w:pPr>
      <w:r>
        <w:t xml:space="preserve">Zael, </w:t>
      </w:r>
      <w:r w:rsidRPr="00540CBB">
        <w:rPr>
          <w:i/>
          <w:iCs/>
        </w:rPr>
        <w:t>De iudiciis</w:t>
      </w:r>
      <w:r>
        <w:t xml:space="preserve"> (in two books).</w:t>
      </w:r>
    </w:p>
    <w:p w14:paraId="183F82C7" w14:textId="77777777" w:rsidR="00242EFA" w:rsidRDefault="00242EFA" w:rsidP="00242EFA">
      <w:pPr>
        <w:pStyle w:val="ListParagraph"/>
        <w:ind w:firstLine="0"/>
      </w:pPr>
      <w:r>
        <w:t xml:space="preserve">f. 110. </w:t>
      </w:r>
      <w:r w:rsidRPr="00540CBB">
        <w:rPr>
          <w:i/>
          <w:iCs/>
        </w:rPr>
        <w:t>Incipit</w:t>
      </w:r>
      <w:r>
        <w:t>: Scito quod signa sunt 12, et ex eis 6 masculina 6 feminina.’</w:t>
      </w:r>
    </w:p>
    <w:p w14:paraId="5788DCFD" w14:textId="77777777" w:rsidR="00242EFA" w:rsidRDefault="00242EFA" w:rsidP="00242EFA">
      <w:pPr>
        <w:pStyle w:val="ListParagraph"/>
        <w:ind w:firstLine="0"/>
      </w:pPr>
      <w:r>
        <w:t>Ends on f. 148.</w:t>
      </w:r>
    </w:p>
    <w:p w14:paraId="3892C7CD" w14:textId="77777777" w:rsidR="00242EFA" w:rsidRPr="000541F4" w:rsidRDefault="00242EFA" w:rsidP="00242EFA">
      <w:pPr>
        <w:pStyle w:val="ListParagraph"/>
        <w:ind w:firstLine="0"/>
      </w:pPr>
    </w:p>
    <w:p w14:paraId="7207E0E8" w14:textId="77777777" w:rsidR="00242EFA" w:rsidRPr="008B4323" w:rsidRDefault="00242EFA" w:rsidP="008B4323">
      <w:pPr>
        <w:pStyle w:val="Heading2"/>
        <w:ind w:firstLine="0"/>
        <w:rPr>
          <w:rFonts w:asciiTheme="majorBidi" w:hAnsiTheme="majorBidi"/>
          <w:color w:val="auto"/>
          <w:sz w:val="20"/>
          <w:szCs w:val="20"/>
        </w:rPr>
      </w:pPr>
      <w:bookmarkStart w:id="134" w:name="_Toc165108677"/>
      <w:r w:rsidRPr="008B4323">
        <w:rPr>
          <w:rFonts w:asciiTheme="majorBidi" w:hAnsiTheme="majorBidi"/>
          <w:color w:val="auto"/>
          <w:sz w:val="20"/>
          <w:szCs w:val="20"/>
        </w:rPr>
        <w:t xml:space="preserve">A DESCRIPTION OF THE MANUSCRIPT </w:t>
      </w:r>
      <w:bookmarkStart w:id="135" w:name="_Hlk146192318"/>
      <w:r w:rsidRPr="008B4323">
        <w:rPr>
          <w:rFonts w:asciiTheme="majorBidi" w:hAnsiTheme="majorBidi"/>
          <w:color w:val="auto"/>
          <w:sz w:val="20"/>
          <w:szCs w:val="20"/>
        </w:rPr>
        <w:t>AUGSBURG, STAATS- UND STADTBIBLIOTHEK, 2° COD. 211</w:t>
      </w:r>
      <w:r w:rsidRPr="008B4323">
        <w:rPr>
          <w:rStyle w:val="FootnoteReference"/>
          <w:rFonts w:asciiTheme="majorBidi" w:hAnsiTheme="majorBidi"/>
          <w:color w:val="auto"/>
          <w:sz w:val="20"/>
          <w:szCs w:val="20"/>
        </w:rPr>
        <w:footnoteReference w:id="506"/>
      </w:r>
      <w:bookmarkEnd w:id="134"/>
    </w:p>
    <w:p w14:paraId="334C1187" w14:textId="77777777" w:rsidR="00242EFA" w:rsidRDefault="00242EFA" w:rsidP="00242EFA">
      <w:pPr>
        <w:ind w:firstLine="0"/>
        <w:rPr>
          <w:b/>
          <w:bCs/>
          <w:sz w:val="20"/>
          <w:szCs w:val="20"/>
        </w:rPr>
      </w:pPr>
    </w:p>
    <w:p w14:paraId="08493B97" w14:textId="77777777" w:rsidR="00242EFA" w:rsidRDefault="00242EFA" w:rsidP="00242EFA">
      <w:pPr>
        <w:ind w:firstLine="0"/>
      </w:pPr>
      <w:r>
        <w:t>Collection of geomantic texts, written in Latin.</w:t>
      </w:r>
    </w:p>
    <w:p w14:paraId="7C7FD7A2" w14:textId="77777777" w:rsidR="00242EFA" w:rsidRDefault="00242EFA" w:rsidP="00242EFA">
      <w:pPr>
        <w:ind w:firstLine="0"/>
      </w:pPr>
      <w:r>
        <w:t>c.1482-c.1503, Italian (Rome?)</w:t>
      </w:r>
    </w:p>
    <w:p w14:paraId="4F806281" w14:textId="77777777" w:rsidR="00242EFA" w:rsidRPr="003517EE" w:rsidRDefault="00242EFA" w:rsidP="00242EFA">
      <w:pPr>
        <w:ind w:firstLine="0"/>
      </w:pPr>
    </w:p>
    <w:p w14:paraId="0B4FC40F" w14:textId="593B4161" w:rsidR="00242EFA" w:rsidRDefault="00242EFA" w:rsidP="00242EFA">
      <w:pPr>
        <w:ind w:firstLine="0"/>
      </w:pPr>
      <w:r w:rsidRPr="003517EE">
        <w:rPr>
          <w:b/>
          <w:bCs/>
        </w:rPr>
        <w:t>Provenance</w:t>
      </w:r>
      <w:r>
        <w:rPr>
          <w:b/>
          <w:bCs/>
        </w:rPr>
        <w:t xml:space="preserve">: </w:t>
      </w:r>
      <w:r>
        <w:t xml:space="preserve">According to the dedication on folio 7r, the second part of </w:t>
      </w:r>
      <w:r w:rsidR="000E09C8">
        <w:t xml:space="preserve">the </w:t>
      </w:r>
      <w:r>
        <w:t>text was written in Rome in 1482. Possible addressee for parts III-V is the German astrologer and Humanist Lorenz Behaim (1457-1521).</w:t>
      </w:r>
      <w:r w:rsidRPr="00840F46">
        <w:t xml:space="preserve"> </w:t>
      </w:r>
      <w:r>
        <w:t>Insi</w:t>
      </w:r>
      <w:r w:rsidR="00155221">
        <w:t>d</w:t>
      </w:r>
      <w:r>
        <w:t xml:space="preserve">e the front cover is the </w:t>
      </w:r>
      <w:r w:rsidRPr="00840F46">
        <w:t>Ex</w:t>
      </w:r>
      <w:r>
        <w:t xml:space="preserve"> </w:t>
      </w:r>
      <w:r w:rsidRPr="00840F46">
        <w:t>libris</w:t>
      </w:r>
      <w:r>
        <w:t>:</w:t>
      </w:r>
      <w:r w:rsidRPr="00840F46">
        <w:t xml:space="preserve"> </w:t>
      </w:r>
      <w:r>
        <w:t>‘</w:t>
      </w:r>
      <w:r w:rsidRPr="00840F46">
        <w:t xml:space="preserve">Andreas Beham </w:t>
      </w:r>
      <w:r>
        <w:t>der Elter</w:t>
      </w:r>
      <w:r w:rsidRPr="00840F46">
        <w:t>,</w:t>
      </w:r>
    </w:p>
    <w:p w14:paraId="0E213B16" w14:textId="04F49366" w:rsidR="00242EFA" w:rsidRPr="008C7C1E" w:rsidRDefault="00242EFA" w:rsidP="00242EFA">
      <w:pPr>
        <w:ind w:firstLine="0"/>
      </w:pPr>
      <w:r w:rsidRPr="00840F46">
        <w:t xml:space="preserve"> Anno Domini 1595</w:t>
      </w:r>
      <w:r>
        <w:t xml:space="preserve">.’ The manuscript has arrived at the Augsburg State and City Library through </w:t>
      </w:r>
      <w:r w:rsidRPr="00840F46">
        <w:t>Behaim</w:t>
      </w:r>
      <w:r>
        <w:t>’</w:t>
      </w:r>
      <w:r w:rsidRPr="00840F46">
        <w:t xml:space="preserve">s </w:t>
      </w:r>
      <w:r>
        <w:t>bequest</w:t>
      </w:r>
      <w:r w:rsidRPr="00840F46">
        <w:t xml:space="preserve"> </w:t>
      </w:r>
      <w:r>
        <w:t>to</w:t>
      </w:r>
      <w:r w:rsidRPr="00840F46">
        <w:t xml:space="preserve"> the </w:t>
      </w:r>
      <w:r w:rsidR="00D670BB" w:rsidRPr="00840F46">
        <w:t>library</w:t>
      </w:r>
      <w:r w:rsidRPr="00840F46">
        <w:t xml:space="preserve"> of the college of </w:t>
      </w:r>
      <w:r>
        <w:t>Saint</w:t>
      </w:r>
      <w:r w:rsidRPr="00840F46">
        <w:t xml:space="preserve"> Anna</w:t>
      </w:r>
      <w:r>
        <w:t>.</w:t>
      </w:r>
    </w:p>
    <w:p w14:paraId="2BE460FB" w14:textId="77777777" w:rsidR="00242EFA" w:rsidRDefault="00242EFA" w:rsidP="00242EFA">
      <w:pPr>
        <w:ind w:firstLine="0"/>
        <w:rPr>
          <w:b/>
          <w:bCs/>
        </w:rPr>
      </w:pPr>
    </w:p>
    <w:p w14:paraId="73695A8B" w14:textId="77777777" w:rsidR="00242EFA" w:rsidRPr="003517EE" w:rsidRDefault="00242EFA" w:rsidP="00242EFA">
      <w:pPr>
        <w:ind w:firstLine="0"/>
      </w:pPr>
      <w:r w:rsidRPr="003517EE">
        <w:rPr>
          <w:b/>
          <w:bCs/>
        </w:rPr>
        <w:t>Physical description</w:t>
      </w:r>
      <w:r>
        <w:rPr>
          <w:b/>
          <w:bCs/>
        </w:rPr>
        <w:t xml:space="preserve">: </w:t>
      </w:r>
      <w:r>
        <w:t xml:space="preserve">Paper, dimension </w:t>
      </w:r>
      <w:r w:rsidRPr="000541F4">
        <w:t>21x14.5 cm</w:t>
      </w:r>
      <w:r>
        <w:t>. Divided into six parts, written by seven different hands in b</w:t>
      </w:r>
      <w:r w:rsidRPr="00815DD9">
        <w:t xml:space="preserve">astarda, bastarda cursiva, Humanistica cursiva </w:t>
      </w:r>
      <w:r>
        <w:t>and contemporary writing. Written in two columns containing from 25 to 48 lines of text.</w:t>
      </w:r>
    </w:p>
    <w:p w14:paraId="2BC36CC6" w14:textId="77777777" w:rsidR="00242EFA" w:rsidRDefault="00242EFA" w:rsidP="00242EFA">
      <w:pPr>
        <w:ind w:firstLine="0"/>
        <w:rPr>
          <w:b/>
          <w:bCs/>
        </w:rPr>
      </w:pPr>
    </w:p>
    <w:p w14:paraId="0330BF86" w14:textId="77777777" w:rsidR="00242EFA" w:rsidRDefault="00242EFA" w:rsidP="00242EFA">
      <w:pPr>
        <w:ind w:firstLine="0"/>
        <w:rPr>
          <w:b/>
          <w:bCs/>
        </w:rPr>
      </w:pPr>
      <w:r w:rsidRPr="003517EE">
        <w:rPr>
          <w:b/>
          <w:bCs/>
        </w:rPr>
        <w:t>List of contents</w:t>
      </w:r>
    </w:p>
    <w:p w14:paraId="0030381F" w14:textId="77777777" w:rsidR="00242EFA" w:rsidRDefault="00242EFA" w:rsidP="00242EFA">
      <w:pPr>
        <w:ind w:firstLine="0"/>
        <w:rPr>
          <w:b/>
          <w:bCs/>
        </w:rPr>
      </w:pPr>
    </w:p>
    <w:p w14:paraId="54E5B8D5" w14:textId="77777777" w:rsidR="00242EFA" w:rsidRDefault="00242EFA" w:rsidP="00242EFA">
      <w:pPr>
        <w:ind w:firstLine="0"/>
      </w:pPr>
      <w:r>
        <w:t>f. 1r is empty</w:t>
      </w:r>
    </w:p>
    <w:p w14:paraId="0BF09D5E" w14:textId="77777777" w:rsidR="00242EFA" w:rsidRDefault="00242EFA" w:rsidP="00242EFA">
      <w:pPr>
        <w:pStyle w:val="ListParagraph"/>
        <w:numPr>
          <w:ilvl w:val="0"/>
          <w:numId w:val="7"/>
        </w:numPr>
      </w:pPr>
      <w:r>
        <w:t xml:space="preserve">Plato of Tivoli, </w:t>
      </w:r>
      <w:r w:rsidRPr="00840F46">
        <w:rPr>
          <w:i/>
          <w:iCs/>
        </w:rPr>
        <w:t>Liber arenalis scientiae</w:t>
      </w:r>
      <w:r>
        <w:t>.</w:t>
      </w:r>
    </w:p>
    <w:p w14:paraId="28D1C823" w14:textId="476E477B" w:rsidR="00242EFA" w:rsidRDefault="00242EFA" w:rsidP="00242EFA">
      <w:pPr>
        <w:pStyle w:val="ListParagraph"/>
        <w:ind w:firstLine="0"/>
      </w:pPr>
      <w:r>
        <w:t xml:space="preserve">ff. 1v. </w:t>
      </w:r>
      <w:r w:rsidRPr="00237E10">
        <w:rPr>
          <w:i/>
          <w:iCs/>
        </w:rPr>
        <w:t>Incipit</w:t>
      </w:r>
      <w:r>
        <w:t xml:space="preserve">: </w:t>
      </w:r>
      <w:bookmarkEnd w:id="135"/>
      <w:r w:rsidRPr="000541F4">
        <w:t xml:space="preserve">Liber arenalis scientiae alfudineno(?) filio abiczero editus et a platone tiburane de arabico in latinum translatus incipit. In nomine domini midericordis et pii, in lineis continentiam uni prophetarum a creatore transmissam ab antiquis ostenditur. </w:t>
      </w:r>
      <w:r>
        <w:t xml:space="preserve">f. 4v </w:t>
      </w:r>
      <w:r w:rsidRPr="00237E10">
        <w:rPr>
          <w:i/>
          <w:iCs/>
        </w:rPr>
        <w:t>Explicit:</w:t>
      </w:r>
      <w:r w:rsidRPr="000541F4">
        <w:t xml:space="preserve"> Et scias quod quattuor matres sunt in eo quod preteriit. </w:t>
      </w:r>
      <w:r w:rsidRPr="000541F4">
        <w:rPr>
          <w:lang w:val="it-IT"/>
        </w:rPr>
        <w:t xml:space="preserve">Et filie quattuor sunt in dispositione in qua ines. </w:t>
      </w:r>
      <w:r w:rsidRPr="000541F4">
        <w:t>Et relique neptes septem sunt in futuro.</w:t>
      </w:r>
    </w:p>
    <w:p w14:paraId="12F7A7E8" w14:textId="77777777" w:rsidR="00242EFA" w:rsidRDefault="00242EFA" w:rsidP="00242EFA">
      <w:pPr>
        <w:pStyle w:val="ListParagraph"/>
        <w:ind w:firstLine="0"/>
      </w:pPr>
      <w:r>
        <w:t>ff. 5v-6v: damaged; empty.</w:t>
      </w:r>
    </w:p>
    <w:p w14:paraId="41F123CE" w14:textId="77777777" w:rsidR="00242EFA" w:rsidRDefault="00242EFA" w:rsidP="00242EFA">
      <w:pPr>
        <w:pStyle w:val="ListParagraph"/>
        <w:numPr>
          <w:ilvl w:val="0"/>
          <w:numId w:val="7"/>
        </w:numPr>
      </w:pPr>
      <w:r>
        <w:t>Geomantic text.</w:t>
      </w:r>
    </w:p>
    <w:p w14:paraId="5AF77C56" w14:textId="77777777" w:rsidR="00242EFA" w:rsidRDefault="00242EFA" w:rsidP="00242EFA">
      <w:pPr>
        <w:pStyle w:val="ListParagraph"/>
        <w:ind w:firstLine="0"/>
      </w:pPr>
      <w:r>
        <w:t xml:space="preserve">f. 7r. </w:t>
      </w:r>
      <w:r w:rsidRPr="00154CE2">
        <w:rPr>
          <w:i/>
          <w:iCs/>
        </w:rPr>
        <w:t>Incipit</w:t>
      </w:r>
      <w:r>
        <w:t>: Geomancia est ars iudicandi per terram. Omnes figure sunt 16.</w:t>
      </w:r>
    </w:p>
    <w:p w14:paraId="6369DBA9" w14:textId="77777777" w:rsidR="00242EFA" w:rsidRDefault="00242EFA" w:rsidP="00242EFA">
      <w:pPr>
        <w:pStyle w:val="ListParagraph"/>
        <w:ind w:firstLine="0"/>
      </w:pPr>
      <w:r>
        <w:t xml:space="preserve">f. 21r. </w:t>
      </w:r>
      <w:r w:rsidRPr="00154CE2">
        <w:rPr>
          <w:i/>
          <w:iCs/>
        </w:rPr>
        <w:t>Explicit</w:t>
      </w:r>
      <w:r>
        <w:t>: et studia utriusque partis ut res perficiatur. 1501 Decembris (possibly in the hand of Lorenz Behaim).</w:t>
      </w:r>
    </w:p>
    <w:p w14:paraId="6F1CDC3A" w14:textId="77777777" w:rsidR="00242EFA" w:rsidRDefault="00242EFA" w:rsidP="00242EFA">
      <w:pPr>
        <w:pStyle w:val="ListParagraph"/>
        <w:ind w:firstLine="0"/>
      </w:pPr>
      <w:r>
        <w:t>f. 22 is empty.</w:t>
      </w:r>
    </w:p>
    <w:p w14:paraId="4139843F" w14:textId="77777777" w:rsidR="00242EFA" w:rsidRDefault="00242EFA" w:rsidP="00242EFA">
      <w:pPr>
        <w:pStyle w:val="ListParagraph"/>
        <w:numPr>
          <w:ilvl w:val="0"/>
          <w:numId w:val="7"/>
        </w:numPr>
      </w:pPr>
      <w:r>
        <w:t xml:space="preserve">Dedication. </w:t>
      </w:r>
    </w:p>
    <w:p w14:paraId="5693435F" w14:textId="77777777" w:rsidR="00242EFA" w:rsidRDefault="00242EFA" w:rsidP="00242EFA">
      <w:pPr>
        <w:pStyle w:val="ListParagraph"/>
        <w:ind w:firstLine="0"/>
      </w:pPr>
      <w:r w:rsidRPr="00154CE2">
        <w:rPr>
          <w:i/>
          <w:iCs/>
        </w:rPr>
        <w:t>Incipit</w:t>
      </w:r>
      <w:r>
        <w:t>: Certi libri in Geomantia hic infra scripti vidi in Rome apud Raphaelem Judeum. Zacharia Albusarith, Betheylay (?) translatus a Salomone ex hebraico in latinum.</w:t>
      </w:r>
    </w:p>
    <w:p w14:paraId="6A8C6F39" w14:textId="77777777" w:rsidR="00242EFA" w:rsidRDefault="00242EFA" w:rsidP="00242EFA">
      <w:pPr>
        <w:pStyle w:val="ListParagraph"/>
        <w:ind w:firstLine="0"/>
      </w:pPr>
      <w:r w:rsidRPr="00154CE2">
        <w:rPr>
          <w:i/>
          <w:iCs/>
        </w:rPr>
        <w:t>Explicit</w:t>
      </w:r>
      <w:r>
        <w:t>: Compendium Geomantie doctoris Magistri Martini post compositionem aliorum operis translatus ex hyspano. Compendium astrologie Pytagorice.</w:t>
      </w:r>
    </w:p>
    <w:p w14:paraId="2893C423" w14:textId="77777777" w:rsidR="00242EFA" w:rsidRDefault="00242EFA" w:rsidP="00242EFA">
      <w:pPr>
        <w:pStyle w:val="ListParagraph"/>
        <w:numPr>
          <w:ilvl w:val="0"/>
          <w:numId w:val="7"/>
        </w:numPr>
      </w:pPr>
      <w:r>
        <w:t xml:space="preserve">Martinus Hispanus (?), </w:t>
      </w:r>
      <w:r w:rsidRPr="00154CE2">
        <w:rPr>
          <w:i/>
          <w:iCs/>
        </w:rPr>
        <w:t>Geomantia</w:t>
      </w:r>
      <w:r>
        <w:t>.</w:t>
      </w:r>
    </w:p>
    <w:p w14:paraId="47D831CE" w14:textId="77777777" w:rsidR="00242EFA" w:rsidRDefault="00242EFA" w:rsidP="00242EFA">
      <w:pPr>
        <w:pStyle w:val="ListParagraph"/>
        <w:ind w:firstLine="0"/>
      </w:pPr>
      <w:r>
        <w:t xml:space="preserve">f. 24r. </w:t>
      </w:r>
      <w:r w:rsidRPr="00154CE2">
        <w:rPr>
          <w:i/>
          <w:iCs/>
        </w:rPr>
        <w:t>Incipit</w:t>
      </w:r>
      <w:r>
        <w:t>: Geomantia dicitur a geos grece quod latine interpretatur terra.</w:t>
      </w:r>
    </w:p>
    <w:p w14:paraId="4BFB836D" w14:textId="2FEA7DD6" w:rsidR="00242EFA" w:rsidRDefault="00242EFA" w:rsidP="00242EFA">
      <w:pPr>
        <w:pStyle w:val="ListParagraph"/>
        <w:ind w:firstLine="0"/>
      </w:pPr>
      <w:r>
        <w:t xml:space="preserve">f. 57v. </w:t>
      </w:r>
      <w:r w:rsidRPr="00154CE2">
        <w:rPr>
          <w:i/>
          <w:iCs/>
        </w:rPr>
        <w:t>Explicit</w:t>
      </w:r>
      <w:r>
        <w:t>: meliore</w:t>
      </w:r>
      <w:r w:rsidR="00221A39">
        <w:t>s</w:t>
      </w:r>
      <w:r>
        <w:t xml:space="preserve"> ostendit mutationes et curvationes omnium predictarum etc.</w:t>
      </w:r>
    </w:p>
    <w:p w14:paraId="0AEDD367" w14:textId="77777777" w:rsidR="00242EFA" w:rsidRDefault="00242EFA" w:rsidP="00242EFA">
      <w:pPr>
        <w:pStyle w:val="ListParagraph"/>
        <w:ind w:firstLine="0"/>
      </w:pPr>
      <w:r>
        <w:t>f.60 is empty.</w:t>
      </w:r>
    </w:p>
    <w:p w14:paraId="60D3D1FC" w14:textId="47D5DBDD" w:rsidR="00242EFA" w:rsidRPr="001B1780" w:rsidRDefault="001B1780" w:rsidP="00242EFA">
      <w:pPr>
        <w:pStyle w:val="ListParagraph"/>
        <w:numPr>
          <w:ilvl w:val="0"/>
          <w:numId w:val="7"/>
        </w:numPr>
        <w:rPr>
          <w:i/>
          <w:iCs/>
        </w:rPr>
      </w:pPr>
      <w:r>
        <w:t>Bartholomew of</w:t>
      </w:r>
      <w:r w:rsidR="00242EFA">
        <w:t xml:space="preserve"> Parma, </w:t>
      </w:r>
      <w:r w:rsidR="00242EFA" w:rsidRPr="001B1780">
        <w:rPr>
          <w:i/>
          <w:iCs/>
        </w:rPr>
        <w:t>Geomantia cum exemplis.</w:t>
      </w:r>
    </w:p>
    <w:p w14:paraId="392B99E6" w14:textId="77777777" w:rsidR="00242EFA" w:rsidRDefault="00242EFA" w:rsidP="00242EFA">
      <w:pPr>
        <w:pStyle w:val="ListParagraph"/>
        <w:ind w:firstLine="0"/>
      </w:pPr>
      <w:r>
        <w:t xml:space="preserve">f. 61r. </w:t>
      </w:r>
      <w:r w:rsidRPr="00154CE2">
        <w:rPr>
          <w:i/>
          <w:iCs/>
        </w:rPr>
        <w:t>Incipit</w:t>
      </w:r>
      <w:r>
        <w:t>: De virtutibus domorum. Prima domus est querentis et habet significare de statu corporis.</w:t>
      </w:r>
    </w:p>
    <w:p w14:paraId="58BBCEDD" w14:textId="77777777" w:rsidR="00242EFA" w:rsidRDefault="00242EFA" w:rsidP="00242EFA">
      <w:pPr>
        <w:pStyle w:val="ListParagraph"/>
        <w:ind w:firstLine="0"/>
      </w:pPr>
      <w:r>
        <w:t xml:space="preserve">f. 83v. </w:t>
      </w:r>
      <w:r w:rsidRPr="00154CE2">
        <w:rPr>
          <w:i/>
          <w:iCs/>
        </w:rPr>
        <w:t>Explicit</w:t>
      </w:r>
      <w:r>
        <w:t>: tamen laudabilis sit archana.</w:t>
      </w:r>
    </w:p>
    <w:p w14:paraId="37FBEAF9" w14:textId="77777777" w:rsidR="00242EFA" w:rsidRDefault="00242EFA" w:rsidP="00242EFA">
      <w:pPr>
        <w:pStyle w:val="ListParagraph"/>
        <w:ind w:firstLine="0"/>
      </w:pPr>
      <w:r>
        <w:t>ff. 84-85 are empty.</w:t>
      </w:r>
    </w:p>
    <w:p w14:paraId="56722181" w14:textId="77777777" w:rsidR="00242EFA" w:rsidRPr="00B60D69" w:rsidRDefault="00242EFA" w:rsidP="00242EFA">
      <w:pPr>
        <w:pStyle w:val="ListParagraph"/>
        <w:numPr>
          <w:ilvl w:val="0"/>
          <w:numId w:val="7"/>
        </w:numPr>
        <w:rPr>
          <w:i/>
          <w:iCs/>
        </w:rPr>
      </w:pPr>
      <w:r>
        <w:t xml:space="preserve">ff. 86r-227ra. </w:t>
      </w:r>
      <w:r w:rsidRPr="00B60D69">
        <w:rPr>
          <w:i/>
          <w:iCs/>
        </w:rPr>
        <w:t>Varia geomantica cum tabulis.</w:t>
      </w:r>
    </w:p>
    <w:p w14:paraId="737C43E7" w14:textId="77777777" w:rsidR="00242EFA" w:rsidRDefault="00242EFA" w:rsidP="00242EFA">
      <w:pPr>
        <w:pStyle w:val="ListParagraph"/>
        <w:ind w:firstLine="0"/>
      </w:pPr>
      <w:r>
        <w:t>f. 227 is empty.</w:t>
      </w:r>
    </w:p>
    <w:p w14:paraId="0145E04B" w14:textId="77777777" w:rsidR="00242EFA" w:rsidRDefault="00242EFA" w:rsidP="00242EFA">
      <w:pPr>
        <w:pStyle w:val="ListParagraph"/>
        <w:numPr>
          <w:ilvl w:val="0"/>
          <w:numId w:val="7"/>
        </w:numPr>
      </w:pPr>
      <w:r>
        <w:t xml:space="preserve">ff. 228-243r. </w:t>
      </w:r>
      <w:r w:rsidRPr="00B60D69">
        <w:rPr>
          <w:i/>
          <w:iCs/>
        </w:rPr>
        <w:t>Mantica Varia</w:t>
      </w:r>
      <w:r>
        <w:t xml:space="preserve"> (Geomantic texts)</w:t>
      </w:r>
    </w:p>
    <w:p w14:paraId="70BA5BF5" w14:textId="43EA2343" w:rsidR="00242EFA" w:rsidRDefault="00242EFA" w:rsidP="00242EFA">
      <w:pPr>
        <w:pStyle w:val="ListParagraph"/>
        <w:ind w:firstLine="0"/>
      </w:pPr>
      <w:r>
        <w:t>On ff. 235-237 there are examples of determining death dates through name</w:t>
      </w:r>
      <w:r w:rsidR="00B94956">
        <w:t>-</w:t>
      </w:r>
      <w:r>
        <w:t>mantics, among which figure the deaths of Innocent VIII and Alexander VI, Julius II, and then Philip of Savoy, Louis XII Valois and Ludovico Sforza.</w:t>
      </w:r>
    </w:p>
    <w:p w14:paraId="3866C77B" w14:textId="77777777" w:rsidR="00242EFA" w:rsidRDefault="00242EFA" w:rsidP="00242EFA">
      <w:pPr>
        <w:pStyle w:val="ListParagraph"/>
        <w:ind w:firstLine="0"/>
      </w:pPr>
      <w:r>
        <w:t>ff. 243-247v are empty.</w:t>
      </w:r>
    </w:p>
    <w:p w14:paraId="59FF9A44" w14:textId="77777777" w:rsidR="00242EFA" w:rsidRPr="000541F4" w:rsidRDefault="00242EFA" w:rsidP="00242EFA">
      <w:pPr>
        <w:ind w:firstLine="0"/>
      </w:pPr>
    </w:p>
    <w:p w14:paraId="3DCE01B6" w14:textId="46423D89" w:rsidR="00242EFA" w:rsidRPr="008B4323" w:rsidRDefault="00242EFA" w:rsidP="008B4323">
      <w:pPr>
        <w:pStyle w:val="Heading2"/>
        <w:ind w:firstLine="0"/>
        <w:rPr>
          <w:rFonts w:asciiTheme="majorBidi" w:hAnsiTheme="majorBidi"/>
          <w:color w:val="auto"/>
          <w:sz w:val="20"/>
          <w:szCs w:val="20"/>
        </w:rPr>
      </w:pPr>
      <w:bookmarkStart w:id="136" w:name="_Toc165108678"/>
      <w:r w:rsidRPr="008B4323">
        <w:rPr>
          <w:rFonts w:asciiTheme="majorBidi" w:hAnsiTheme="majorBidi"/>
          <w:color w:val="auto"/>
          <w:sz w:val="20"/>
          <w:szCs w:val="20"/>
        </w:rPr>
        <w:t>A DESCRIPTION OF THE MANUSCRIPT LONDON, BRITISH LIBRARY, ARUNDEL MS. 66</w:t>
      </w:r>
      <w:r w:rsidRPr="008B4323">
        <w:rPr>
          <w:rStyle w:val="FootnoteReference"/>
          <w:rFonts w:asciiTheme="majorBidi" w:hAnsiTheme="majorBidi"/>
          <w:color w:val="auto"/>
          <w:sz w:val="20"/>
          <w:szCs w:val="20"/>
        </w:rPr>
        <w:footnoteReference w:id="507"/>
      </w:r>
      <w:bookmarkEnd w:id="136"/>
    </w:p>
    <w:p w14:paraId="2324893F" w14:textId="77777777" w:rsidR="00242EFA" w:rsidRDefault="00242EFA" w:rsidP="00242EFA">
      <w:pPr>
        <w:ind w:firstLine="0"/>
      </w:pPr>
    </w:p>
    <w:p w14:paraId="4BB1FF77" w14:textId="77777777" w:rsidR="00242EFA" w:rsidRDefault="00242EFA" w:rsidP="00242EFA">
      <w:pPr>
        <w:ind w:firstLine="0"/>
      </w:pPr>
      <w:r w:rsidRPr="001708CD">
        <w:t>Astrological compilation and political prophecies</w:t>
      </w:r>
      <w:r>
        <w:t>, written in Latin.</w:t>
      </w:r>
    </w:p>
    <w:p w14:paraId="06A2604F" w14:textId="77777777" w:rsidR="00242EFA" w:rsidRDefault="00242EFA" w:rsidP="00242EFA">
      <w:pPr>
        <w:ind w:firstLine="0"/>
      </w:pPr>
      <w:r>
        <w:t>1490, English (London?).</w:t>
      </w:r>
    </w:p>
    <w:p w14:paraId="1E5575A4" w14:textId="77777777" w:rsidR="00242EFA" w:rsidRPr="009F41DA" w:rsidRDefault="00242EFA" w:rsidP="00242EFA">
      <w:pPr>
        <w:ind w:firstLine="0"/>
      </w:pPr>
    </w:p>
    <w:p w14:paraId="4F8EDE3B" w14:textId="77777777" w:rsidR="00242EFA" w:rsidRDefault="00242EFA" w:rsidP="00242EFA">
      <w:pPr>
        <w:ind w:firstLine="0"/>
      </w:pPr>
      <w:r w:rsidRPr="009F41DA">
        <w:rPr>
          <w:b/>
          <w:bCs/>
        </w:rPr>
        <w:t>Provenance:</w:t>
      </w:r>
      <w:r w:rsidRPr="001708CD">
        <w:t xml:space="preserve"> Johannes Wellys, perhaps to be identified with John Willis, doctor of medicine, noted in the Cambridge University Grace Book between 1456 and 1480</w:t>
      </w:r>
      <w:r>
        <w:t>.</w:t>
      </w:r>
      <w:r>
        <w:rPr>
          <w:rStyle w:val="FootnoteReference"/>
        </w:rPr>
        <w:footnoteReference w:id="508"/>
      </w:r>
      <w:r>
        <w:t xml:space="preserve"> Probably made for King Henry VII.</w:t>
      </w:r>
      <w:r w:rsidRPr="001708CD">
        <w:t xml:space="preserve"> It was later owned by Thomas Howard, the second Earl of Arundel (b. 1585- d. 1646) and then presented to the Royal Society in 1667.</w:t>
      </w:r>
    </w:p>
    <w:p w14:paraId="36F06C7A" w14:textId="77777777" w:rsidR="00242EFA" w:rsidRPr="001708CD" w:rsidRDefault="00242EFA" w:rsidP="00242EFA">
      <w:pPr>
        <w:ind w:firstLine="0"/>
      </w:pPr>
    </w:p>
    <w:p w14:paraId="407E6581" w14:textId="2BB0E657" w:rsidR="00242EFA" w:rsidRPr="001708CD" w:rsidRDefault="00242EFA" w:rsidP="00242EFA">
      <w:pPr>
        <w:ind w:firstLine="0"/>
      </w:pPr>
      <w:r w:rsidRPr="009F41DA">
        <w:rPr>
          <w:b/>
          <w:bCs/>
        </w:rPr>
        <w:t>Physical description:</w:t>
      </w:r>
      <w:r w:rsidRPr="001708CD">
        <w:t xml:space="preserve"> Parchment codex.</w:t>
      </w:r>
      <w:r>
        <w:t xml:space="preserve"> Illuminated manuscript. </w:t>
      </w:r>
      <w:r w:rsidRPr="001708CD">
        <w:t>Script: Gothic hybrid.</w:t>
      </w:r>
      <w:r>
        <w:t xml:space="preserve"> Text is divided into two columns. </w:t>
      </w:r>
      <w:r w:rsidRPr="001708CD">
        <w:t xml:space="preserve">Dimensions: 44 x 30 </w:t>
      </w:r>
      <w:r>
        <w:t>c</w:t>
      </w:r>
      <w:r w:rsidRPr="001708CD">
        <w:t>m (text space: 30</w:t>
      </w:r>
      <w:r>
        <w:t>.</w:t>
      </w:r>
      <w:r w:rsidRPr="001708CD">
        <w:t xml:space="preserve">5 x 21 </w:t>
      </w:r>
      <w:r>
        <w:t>c</w:t>
      </w:r>
      <w:r w:rsidRPr="001708CD">
        <w:t>m).</w:t>
      </w:r>
      <w:r>
        <w:t xml:space="preserve"> </w:t>
      </w:r>
      <w:r w:rsidRPr="001708CD">
        <w:t>Foliation: ff. 291 (+ 4 unfoliated medieval blank ruled parchment leaves after ff. 52, 147, 186, and 249; + 5 unfoliated modern paper flyleaves: 2 at the beginning, and 3 at the end).</w:t>
      </w:r>
      <w:r>
        <w:t xml:space="preserve"> Co</w:t>
      </w:r>
      <w:r w:rsidR="00F31520">
        <w:t>l</w:t>
      </w:r>
      <w:r>
        <w:t>lation:</w:t>
      </w:r>
      <w:r w:rsidRPr="001708CD">
        <w:t xml:space="preserve"> i-ii8 (ff. 1-16); iii10 (ff. 17-26: irregular quire formed of a binion (ff. 19-22) and a bifolium (ff. 23-24) inserted in a binion (ff. 17-18; 25-26)); iv6 (ff. 27-32); v8 (ff. 33-40); vi8-1 (ff. 41-47; 1 leaf excised); vii6 (ff. 48-52, including 1 unfoliated leaf); viii-xvi8 (ff. 53-124); xvii-xviii8 (ff. 125-140); xix-xx4 (ff. 141-147, including 1 unfoliated leaf); xxi-xxiv8 (ff. 148-179); xxxv6 (ff. 180-185); xxvi8 (ff. 186-192, including 1 unfoliated leaf); xxvii-xxi8 (ff. 193-240); xxxii10 (ff. 241-249, including 1 unfoliated leaf); xxxiv8 (ff. 250-257); xxxv8 (ff. 258-265); xxxvi4 (ff. 266-269); xxxvii6 (ff. 270-275); xxxviii-xxxix8 (ff. 275-291).</w:t>
      </w:r>
    </w:p>
    <w:p w14:paraId="4C08CFE4" w14:textId="77777777" w:rsidR="00242EFA" w:rsidRDefault="00242EFA" w:rsidP="00242EFA">
      <w:pPr>
        <w:ind w:firstLine="0"/>
        <w:rPr>
          <w:b/>
          <w:bCs/>
        </w:rPr>
      </w:pPr>
    </w:p>
    <w:p w14:paraId="091C495B" w14:textId="77777777" w:rsidR="00242EFA" w:rsidRDefault="00242EFA" w:rsidP="00242EFA">
      <w:pPr>
        <w:ind w:firstLine="0"/>
        <w:rPr>
          <w:b/>
          <w:bCs/>
        </w:rPr>
      </w:pPr>
      <w:r w:rsidRPr="009F41DA">
        <w:rPr>
          <w:b/>
          <w:bCs/>
        </w:rPr>
        <w:t>List of contents</w:t>
      </w:r>
    </w:p>
    <w:p w14:paraId="1D36CE46" w14:textId="77777777" w:rsidR="00242EFA" w:rsidRDefault="00242EFA" w:rsidP="00242EFA">
      <w:pPr>
        <w:ind w:firstLine="0"/>
        <w:rPr>
          <w:b/>
          <w:bCs/>
        </w:rPr>
      </w:pPr>
    </w:p>
    <w:p w14:paraId="5A941F55" w14:textId="77777777" w:rsidR="00242EFA" w:rsidRDefault="00242EFA" w:rsidP="00242EFA">
      <w:pPr>
        <w:pStyle w:val="ListParagraph"/>
        <w:numPr>
          <w:ilvl w:val="0"/>
          <w:numId w:val="8"/>
        </w:numPr>
      </w:pPr>
      <w:r w:rsidRPr="001645BA">
        <w:t>John Killingworth [Chillingworth], Astronomical tables, with canons attributed to Thomas Pray</w:t>
      </w:r>
      <w:r>
        <w:t xml:space="preserve"> (ff. 1v-32v).</w:t>
      </w:r>
    </w:p>
    <w:p w14:paraId="7F82D9CA" w14:textId="77777777" w:rsidR="00242EFA" w:rsidRDefault="00242EFA" w:rsidP="00242EFA">
      <w:pPr>
        <w:pStyle w:val="ListParagraph"/>
        <w:ind w:firstLine="0"/>
      </w:pPr>
      <w:r>
        <w:t xml:space="preserve">f. 1v. </w:t>
      </w:r>
      <w:r w:rsidRPr="001645BA">
        <w:rPr>
          <w:i/>
          <w:iCs/>
        </w:rPr>
        <w:t>Rubric</w:t>
      </w:r>
      <w:r>
        <w:t xml:space="preserve">: </w:t>
      </w:r>
      <w:r w:rsidRPr="001645BA">
        <w:t>Canones tabularum facilis composicionis Almanak secundum modum universitatis Oxoniensis</w:t>
      </w:r>
      <w:r>
        <w:t>.</w:t>
      </w:r>
      <w:r w:rsidRPr="001645BA">
        <w:t xml:space="preserve"> </w:t>
      </w:r>
      <w:r w:rsidRPr="001645BA">
        <w:rPr>
          <w:i/>
          <w:iCs/>
        </w:rPr>
        <w:t>Incipit</w:t>
      </w:r>
      <w:r w:rsidRPr="001645BA">
        <w:t>: Multum conferre dinoscitur</w:t>
      </w:r>
      <w:r>
        <w:t xml:space="preserve">. </w:t>
      </w:r>
    </w:p>
    <w:p w14:paraId="59EA1963" w14:textId="77777777" w:rsidR="00242EFA" w:rsidRDefault="00242EFA" w:rsidP="00242EFA">
      <w:pPr>
        <w:pStyle w:val="ListParagraph"/>
        <w:numPr>
          <w:ilvl w:val="0"/>
          <w:numId w:val="8"/>
        </w:numPr>
      </w:pPr>
      <w:r>
        <w:t>Catalogue of Stars from Ptolemy’s Almagest, translated into Latin by gerard of Cremona (</w:t>
      </w:r>
      <w:r w:rsidRPr="00D33723">
        <w:t xml:space="preserve">title: </w:t>
      </w:r>
      <w:r w:rsidRPr="00D33723">
        <w:rPr>
          <w:i/>
          <w:iCs/>
        </w:rPr>
        <w:t>Facies celi gradibus et loci stellarum</w:t>
      </w:r>
      <w:r>
        <w:t>).</w:t>
      </w:r>
    </w:p>
    <w:p w14:paraId="04DCC050" w14:textId="77777777" w:rsidR="00242EFA" w:rsidRDefault="00242EFA" w:rsidP="00242EFA">
      <w:pPr>
        <w:pStyle w:val="ListParagraph"/>
        <w:ind w:firstLine="0"/>
      </w:pPr>
      <w:r>
        <w:t xml:space="preserve">f. 33r. </w:t>
      </w:r>
      <w:r w:rsidRPr="00D33723">
        <w:rPr>
          <w:i/>
          <w:iCs/>
        </w:rPr>
        <w:t>Rubric</w:t>
      </w:r>
      <w:r w:rsidRPr="00D33723">
        <w:t>: Constellaciones formarum septemtrionalium</w:t>
      </w:r>
      <w:r>
        <w:t>.</w:t>
      </w:r>
      <w:r w:rsidRPr="00D33723">
        <w:t xml:space="preserve"> </w:t>
      </w:r>
      <w:r w:rsidRPr="00D33723">
        <w:rPr>
          <w:i/>
          <w:iCs/>
        </w:rPr>
        <w:t>Incipit</w:t>
      </w:r>
      <w:r w:rsidRPr="00D33723">
        <w:t>: Illa que est super extremitate caude</w:t>
      </w:r>
      <w:r>
        <w:t xml:space="preserve">. </w:t>
      </w:r>
    </w:p>
    <w:p w14:paraId="23CA6C45" w14:textId="77777777" w:rsidR="00242EFA" w:rsidRDefault="00242EFA" w:rsidP="00242EFA">
      <w:pPr>
        <w:pStyle w:val="ListParagraph"/>
        <w:ind w:firstLine="0"/>
      </w:pPr>
      <w:r w:rsidRPr="00D33723">
        <w:t>f. 47r</w:t>
      </w:r>
      <w:r>
        <w:t>.</w:t>
      </w:r>
      <w:r w:rsidRPr="00D33723">
        <w:t xml:space="preserve"> Explicit tabula stellarum fixarum sed quod sunt in ymaginibus signorum extracta a Ptholomeo dictione 6 et 7 Almageste et verificata per astrologos domini Alfonsi illustris Regis hispanie. anno domini 1449 et verificata oxonien. anno domini 1449 per astrologos Ducis Humfridi Glauc</w:t>
      </w:r>
      <w:r>
        <w:t>.</w:t>
      </w:r>
    </w:p>
    <w:p w14:paraId="27A8572E" w14:textId="77777777" w:rsidR="00242EFA" w:rsidRDefault="00242EFA" w:rsidP="00242EFA">
      <w:pPr>
        <w:pStyle w:val="ListParagraph"/>
        <w:numPr>
          <w:ilvl w:val="0"/>
          <w:numId w:val="8"/>
        </w:numPr>
      </w:pPr>
      <w:r w:rsidRPr="00B76B92">
        <w:t xml:space="preserve">Guido Bonatti, </w:t>
      </w:r>
      <w:r w:rsidRPr="00B76B92">
        <w:rPr>
          <w:i/>
          <w:iCs/>
        </w:rPr>
        <w:t>Decem tractatus astronomiae</w:t>
      </w:r>
      <w:r>
        <w:rPr>
          <w:i/>
          <w:iCs/>
        </w:rPr>
        <w:t>.</w:t>
      </w:r>
    </w:p>
    <w:p w14:paraId="00253776" w14:textId="77777777" w:rsidR="00242EFA" w:rsidRDefault="00242EFA" w:rsidP="00242EFA">
      <w:pPr>
        <w:pStyle w:val="ListParagraph"/>
        <w:ind w:firstLine="0"/>
      </w:pPr>
      <w:r>
        <w:t xml:space="preserve">f. 48r. </w:t>
      </w:r>
      <w:r w:rsidRPr="00B76B92">
        <w:rPr>
          <w:i/>
          <w:iCs/>
        </w:rPr>
        <w:t>Rubric</w:t>
      </w:r>
      <w:r>
        <w:t xml:space="preserve">: </w:t>
      </w:r>
      <w:r w:rsidRPr="00B76B92">
        <w:t xml:space="preserve">In nomine domini amen. Incipit liber introductorius ad iudicia stellarum. </w:t>
      </w:r>
      <w:r w:rsidRPr="00B76B92">
        <w:rPr>
          <w:i/>
          <w:iCs/>
        </w:rPr>
        <w:t>Incipit</w:t>
      </w:r>
      <w:r w:rsidRPr="00B76B92">
        <w:t>: In nomine domini nostri Jesu Cristi misericordis et vere dei et veri hominis.</w:t>
      </w:r>
    </w:p>
    <w:p w14:paraId="2ECD62BD" w14:textId="0C201FC3" w:rsidR="00242EFA" w:rsidRDefault="00242EFA" w:rsidP="00242EFA">
      <w:pPr>
        <w:pStyle w:val="ListParagraph"/>
        <w:ind w:firstLine="0"/>
      </w:pPr>
      <w:r>
        <w:t xml:space="preserve">f. 248v. Explicit: luna in domo propria saturno applicans </w:t>
      </w:r>
      <w:r w:rsidR="00A54EB2">
        <w:t>i</w:t>
      </w:r>
      <w:r>
        <w:t>mbres multiplices inducit.</w:t>
      </w:r>
    </w:p>
    <w:p w14:paraId="1851C155" w14:textId="77777777" w:rsidR="00242EFA" w:rsidRDefault="00242EFA" w:rsidP="00242EFA">
      <w:pPr>
        <w:pStyle w:val="ListParagraph"/>
        <w:numPr>
          <w:ilvl w:val="0"/>
          <w:numId w:val="8"/>
        </w:numPr>
      </w:pPr>
      <w:r>
        <w:t>Alfonsine Tables (ff. 250r-266v).</w:t>
      </w:r>
    </w:p>
    <w:p w14:paraId="1372A57C" w14:textId="77777777" w:rsidR="00242EFA" w:rsidRDefault="00242EFA" w:rsidP="00242EFA">
      <w:pPr>
        <w:pStyle w:val="ListParagraph"/>
        <w:ind w:firstLine="0"/>
      </w:pPr>
      <w:r>
        <w:t xml:space="preserve">f. 250r. </w:t>
      </w:r>
      <w:r w:rsidRPr="00384C23">
        <w:rPr>
          <w:i/>
          <w:iCs/>
        </w:rPr>
        <w:t>Rubric</w:t>
      </w:r>
      <w:r>
        <w:t xml:space="preserve">: </w:t>
      </w:r>
      <w:r w:rsidRPr="00384C23">
        <w:t>Tabula communis ad extrahendum omnes eras bisextiles et ad extrahendum incognita et cognita</w:t>
      </w:r>
      <w:r>
        <w:t xml:space="preserve">. </w:t>
      </w:r>
      <w:r w:rsidRPr="00384C23">
        <w:rPr>
          <w:i/>
          <w:iCs/>
        </w:rPr>
        <w:t>Incipit</w:t>
      </w:r>
      <w:r w:rsidRPr="00384C23">
        <w:t>: Inventis centris et argumentis mediis.</w:t>
      </w:r>
    </w:p>
    <w:p w14:paraId="30434417" w14:textId="77777777" w:rsidR="00242EFA" w:rsidRDefault="00242EFA" w:rsidP="00242EFA">
      <w:pPr>
        <w:pStyle w:val="ListParagraph"/>
        <w:numPr>
          <w:ilvl w:val="0"/>
          <w:numId w:val="8"/>
        </w:numPr>
        <w:rPr>
          <w:i/>
          <w:iCs/>
        </w:rPr>
      </w:pPr>
      <w:r w:rsidRPr="00384C23">
        <w:t xml:space="preserve">Geoffrey of Monmouth, </w:t>
      </w:r>
      <w:r w:rsidRPr="00384C23">
        <w:rPr>
          <w:i/>
          <w:iCs/>
        </w:rPr>
        <w:t>Prophetiae Merlini</w:t>
      </w:r>
      <w:r>
        <w:t xml:space="preserve"> (267r-268v).</w:t>
      </w:r>
    </w:p>
    <w:p w14:paraId="1F97E91E" w14:textId="77777777" w:rsidR="00242EFA" w:rsidRDefault="00242EFA" w:rsidP="00242EFA">
      <w:pPr>
        <w:pStyle w:val="ListParagraph"/>
        <w:ind w:firstLine="0"/>
      </w:pPr>
      <w:r>
        <w:t xml:space="preserve">f. 267r. </w:t>
      </w:r>
      <w:r w:rsidRPr="000C4DD6">
        <w:rPr>
          <w:i/>
          <w:iCs/>
        </w:rPr>
        <w:t>Incipit</w:t>
      </w:r>
      <w:r w:rsidRPr="000C4DD6">
        <w:t>: Sedente igitur vortegirno rege britonum</w:t>
      </w:r>
      <w:r>
        <w:t>.</w:t>
      </w:r>
    </w:p>
    <w:p w14:paraId="21D6F7AC" w14:textId="77777777" w:rsidR="00242EFA" w:rsidRDefault="00242EFA" w:rsidP="00242EFA">
      <w:pPr>
        <w:pStyle w:val="ListParagraph"/>
        <w:numPr>
          <w:ilvl w:val="0"/>
          <w:numId w:val="8"/>
        </w:numPr>
        <w:rPr>
          <w:i/>
          <w:iCs/>
        </w:rPr>
      </w:pPr>
      <w:r>
        <w:t xml:space="preserve">Plato of Tivoli, </w:t>
      </w:r>
      <w:r w:rsidRPr="0056735C">
        <w:rPr>
          <w:i/>
          <w:iCs/>
        </w:rPr>
        <w:t>Liber arenalis scientiae.</w:t>
      </w:r>
    </w:p>
    <w:p w14:paraId="4EE837CF" w14:textId="77777777" w:rsidR="00242EFA" w:rsidRDefault="00242EFA" w:rsidP="00242EFA">
      <w:pPr>
        <w:pStyle w:val="ListParagraph"/>
        <w:ind w:firstLine="0"/>
      </w:pPr>
      <w:r>
        <w:t xml:space="preserve">f. 269r. </w:t>
      </w:r>
      <w:r w:rsidRPr="0056735C">
        <w:rPr>
          <w:i/>
          <w:iCs/>
        </w:rPr>
        <w:t>Rubric</w:t>
      </w:r>
      <w:r>
        <w:t xml:space="preserve">: </w:t>
      </w:r>
      <w:r w:rsidRPr="0056735C">
        <w:t xml:space="preserve">In nomine domini nostri Jehsu Christi incipit Liber scientie arenalis de iudiciis geomansie ab alpharino filio abrahe iudeo editus et a platone de hebreico sermone in latinum translatus. </w:t>
      </w:r>
      <w:r w:rsidRPr="0056735C">
        <w:rPr>
          <w:i/>
          <w:iCs/>
        </w:rPr>
        <w:t>Incipit</w:t>
      </w:r>
      <w:r w:rsidRPr="0056735C">
        <w:t>: Fortuna minor</w:t>
      </w:r>
      <w:r>
        <w:t>.</w:t>
      </w:r>
    </w:p>
    <w:p w14:paraId="3DB1CE20" w14:textId="77777777" w:rsidR="00242EFA" w:rsidRDefault="00242EFA" w:rsidP="00242EFA">
      <w:pPr>
        <w:pStyle w:val="ListParagraph"/>
        <w:ind w:firstLine="0"/>
      </w:pPr>
      <w:r w:rsidRPr="0056735C">
        <w:t>f. 277rb</w:t>
      </w:r>
      <w:r>
        <w:t xml:space="preserve">. </w:t>
      </w:r>
      <w:r w:rsidRPr="0056735C">
        <w:rPr>
          <w:i/>
          <w:iCs/>
        </w:rPr>
        <w:t>Explicit</w:t>
      </w:r>
      <w:r w:rsidRPr="0056735C">
        <w:t>: Idem a limine foris et candido procedens ducit pro muliere que querit domum pro acquisitione et est ibi cogitatus multus.</w:t>
      </w:r>
    </w:p>
    <w:p w14:paraId="693D77DE" w14:textId="77777777" w:rsidR="00242EFA" w:rsidRDefault="00242EFA" w:rsidP="00242EFA">
      <w:pPr>
        <w:pStyle w:val="ListParagraph"/>
        <w:numPr>
          <w:ilvl w:val="0"/>
          <w:numId w:val="8"/>
        </w:numPr>
      </w:pPr>
      <w:r>
        <w:t>Geomantic tables (</w:t>
      </w:r>
      <w:r w:rsidRPr="00B65D26">
        <w:t>ff</w:t>
      </w:r>
      <w:r>
        <w:t>.</w:t>
      </w:r>
      <w:r w:rsidRPr="00B65D26">
        <w:t xml:space="preserve"> 277v-287v</w:t>
      </w:r>
      <w:r>
        <w:t>).</w:t>
      </w:r>
    </w:p>
    <w:p w14:paraId="762C5C1B" w14:textId="77777777" w:rsidR="00242EFA" w:rsidRDefault="00242EFA" w:rsidP="00242EFA">
      <w:pPr>
        <w:pStyle w:val="ListParagraph"/>
        <w:numPr>
          <w:ilvl w:val="0"/>
          <w:numId w:val="8"/>
        </w:numPr>
      </w:pPr>
      <w:r w:rsidRPr="00713C1E">
        <w:t>Prophecy of Bridlington</w:t>
      </w:r>
      <w:r>
        <w:t>.</w:t>
      </w:r>
    </w:p>
    <w:p w14:paraId="1ED67D8F" w14:textId="77777777" w:rsidR="00242EFA" w:rsidRDefault="00242EFA" w:rsidP="00242EFA">
      <w:pPr>
        <w:pStyle w:val="ListParagraph"/>
        <w:ind w:firstLine="0"/>
      </w:pPr>
      <w:r>
        <w:t xml:space="preserve">f. 288r. </w:t>
      </w:r>
      <w:r w:rsidRPr="00713C1E">
        <w:rPr>
          <w:i/>
          <w:iCs/>
        </w:rPr>
        <w:t>Incipit</w:t>
      </w:r>
      <w:r>
        <w:t xml:space="preserve">: </w:t>
      </w:r>
      <w:r w:rsidRPr="00713C1E">
        <w:t>Febribus infectus: requies fuerat mihi lectus</w:t>
      </w:r>
      <w:r>
        <w:t>.</w:t>
      </w:r>
    </w:p>
    <w:p w14:paraId="259B9345" w14:textId="77777777" w:rsidR="00242EFA" w:rsidRDefault="00242EFA" w:rsidP="00242EFA">
      <w:pPr>
        <w:pStyle w:val="ListParagraph"/>
        <w:ind w:firstLine="0"/>
      </w:pPr>
      <w:r>
        <w:t>f. 290v.</w:t>
      </w:r>
      <w:r w:rsidRPr="003765C2">
        <w:t>[E]xpliciunt versus: quod scripsit scriba Robertus / Quique prior quartus: fuit est sub humo modo mersus / Infra claustra iacens: de Bridligton ubi rexit / Non est ipse tacens: quamvis cum pluribus exit / Doctor clarus erat: indulgens biblijs iste / Quas planas fecerat: nunc esto salus sua Christe.</w:t>
      </w:r>
    </w:p>
    <w:p w14:paraId="5C6D7A02" w14:textId="77777777" w:rsidR="00242EFA" w:rsidRDefault="00242EFA" w:rsidP="00242EFA">
      <w:pPr>
        <w:pStyle w:val="ListParagraph"/>
        <w:numPr>
          <w:ilvl w:val="0"/>
          <w:numId w:val="8"/>
        </w:numPr>
      </w:pPr>
      <w:r w:rsidRPr="003765C2">
        <w:t xml:space="preserve">Brigitta of Sweden, Revelationes, </w:t>
      </w:r>
      <w:r>
        <w:t xml:space="preserve">extract from </w:t>
      </w:r>
      <w:r w:rsidRPr="003765C2">
        <w:t>book 4, with a collection of political prophecies</w:t>
      </w:r>
      <w:r>
        <w:t>.</w:t>
      </w:r>
    </w:p>
    <w:p w14:paraId="6EEE848D" w14:textId="77777777" w:rsidR="00242EFA" w:rsidRDefault="00242EFA" w:rsidP="00242EFA">
      <w:pPr>
        <w:pStyle w:val="ListParagraph"/>
        <w:ind w:firstLine="0"/>
      </w:pPr>
      <w:r>
        <w:t xml:space="preserve">f. 291r. </w:t>
      </w:r>
      <w:r w:rsidRPr="003765C2">
        <w:rPr>
          <w:i/>
          <w:iCs/>
        </w:rPr>
        <w:t>Rubric</w:t>
      </w:r>
      <w:r w:rsidRPr="003765C2">
        <w:t>: Orante xristi sponsa vidit in visione qualiter beatus Dionisius orabat pro regno francie ad virginem mariam</w:t>
      </w:r>
      <w:r>
        <w:t>.</w:t>
      </w:r>
      <w:r w:rsidRPr="003765C2">
        <w:t xml:space="preserve"> </w:t>
      </w:r>
      <w:r w:rsidRPr="003765C2">
        <w:rPr>
          <w:i/>
          <w:iCs/>
        </w:rPr>
        <w:t>Incipit</w:t>
      </w:r>
      <w:r w:rsidRPr="003765C2">
        <w:t>: Cum essem orando.</w:t>
      </w:r>
    </w:p>
    <w:p w14:paraId="4F600FA8" w14:textId="77777777" w:rsidR="00242EFA" w:rsidRPr="0056735C" w:rsidRDefault="00242EFA" w:rsidP="00242EFA">
      <w:pPr>
        <w:pStyle w:val="ListParagraph"/>
        <w:ind w:firstLine="0"/>
      </w:pPr>
      <w:r>
        <w:t xml:space="preserve">f. 291v. </w:t>
      </w:r>
      <w:r w:rsidRPr="00BC4679">
        <w:t>Six political prophecies added at the end.</w:t>
      </w:r>
    </w:p>
    <w:p w14:paraId="417EBD85" w14:textId="24F17643" w:rsidR="00242EFA" w:rsidRDefault="004F1A27" w:rsidP="004F1A27">
      <w:r>
        <w:br w:type="page"/>
      </w:r>
    </w:p>
    <w:p w14:paraId="0765518B" w14:textId="696C5962" w:rsidR="00242EFA" w:rsidRPr="008B4323" w:rsidRDefault="00242EFA" w:rsidP="008B4323">
      <w:pPr>
        <w:pStyle w:val="Heading1"/>
        <w:ind w:firstLine="0"/>
        <w:rPr>
          <w:rFonts w:asciiTheme="majorBidi" w:hAnsiTheme="majorBidi"/>
          <w:color w:val="auto"/>
          <w:sz w:val="24"/>
          <w:szCs w:val="24"/>
        </w:rPr>
      </w:pPr>
      <w:bookmarkStart w:id="137" w:name="_Toc165108679"/>
      <w:r w:rsidRPr="008B4323">
        <w:rPr>
          <w:rFonts w:asciiTheme="majorBidi" w:hAnsiTheme="majorBidi"/>
          <w:color w:val="auto"/>
          <w:sz w:val="24"/>
          <w:szCs w:val="24"/>
        </w:rPr>
        <w:t xml:space="preserve">APPENDIX 2: </w:t>
      </w:r>
      <w:r w:rsidR="004F1A27" w:rsidRPr="008B4323">
        <w:rPr>
          <w:rFonts w:asciiTheme="majorBidi" w:hAnsiTheme="majorBidi"/>
          <w:color w:val="auto"/>
          <w:sz w:val="24"/>
          <w:szCs w:val="24"/>
        </w:rPr>
        <w:t xml:space="preserve">IMAGES OF INCIPIT PAGES OF THE </w:t>
      </w:r>
      <w:r w:rsidR="004F1A27" w:rsidRPr="008B4323">
        <w:rPr>
          <w:rFonts w:asciiTheme="majorBidi" w:hAnsiTheme="majorBidi"/>
          <w:i/>
          <w:iCs/>
          <w:color w:val="auto"/>
          <w:sz w:val="24"/>
          <w:szCs w:val="24"/>
        </w:rPr>
        <w:t>LIBER ARENALIS SCIENTIAE</w:t>
      </w:r>
      <w:r w:rsidR="004F1A27" w:rsidRPr="008B4323">
        <w:rPr>
          <w:rFonts w:asciiTheme="majorBidi" w:hAnsiTheme="majorBidi"/>
          <w:color w:val="auto"/>
          <w:sz w:val="24"/>
          <w:szCs w:val="24"/>
        </w:rPr>
        <w:t>.</w:t>
      </w:r>
      <w:bookmarkEnd w:id="137"/>
    </w:p>
    <w:p w14:paraId="1A5498DD" w14:textId="77777777" w:rsidR="005E1CE1" w:rsidRDefault="00E17BB8" w:rsidP="005E1CE1">
      <w:pPr>
        <w:ind w:firstLine="0"/>
        <w:jc w:val="center"/>
        <w:rPr>
          <w:sz w:val="20"/>
          <w:szCs w:val="20"/>
        </w:rPr>
      </w:pPr>
      <w:r>
        <w:rPr>
          <w:noProof/>
        </w:rPr>
        <w:drawing>
          <wp:inline distT="0" distB="0" distL="0" distR="0" wp14:anchorId="71FBA933" wp14:editId="73C5CDEF">
            <wp:extent cx="5259164" cy="775298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8155" cy="7766238"/>
                    </a:xfrm>
                    <a:prstGeom prst="rect">
                      <a:avLst/>
                    </a:prstGeom>
                  </pic:spPr>
                </pic:pic>
              </a:graphicData>
            </a:graphic>
          </wp:inline>
        </w:drawing>
      </w:r>
      <w:bookmarkStart w:id="138" w:name="_Hlk150943203"/>
    </w:p>
    <w:p w14:paraId="7B873D55" w14:textId="1E240227" w:rsidR="00242EFA" w:rsidRPr="005E1CE1" w:rsidRDefault="00242EFA" w:rsidP="00992C38">
      <w:pPr>
        <w:spacing w:line="240" w:lineRule="auto"/>
        <w:ind w:firstLine="0"/>
        <w:jc w:val="center"/>
      </w:pPr>
      <w:r w:rsidRPr="00992C38">
        <w:rPr>
          <w:b/>
          <w:bCs/>
          <w:sz w:val="20"/>
          <w:szCs w:val="20"/>
        </w:rPr>
        <w:t>Figure 1.</w:t>
      </w:r>
      <w:r w:rsidRPr="0014758A">
        <w:rPr>
          <w:sz w:val="20"/>
          <w:szCs w:val="20"/>
        </w:rPr>
        <w:t xml:space="preserve"> Incipit of the </w:t>
      </w:r>
      <w:r w:rsidRPr="0014758A">
        <w:rPr>
          <w:i/>
          <w:iCs/>
          <w:sz w:val="20"/>
          <w:szCs w:val="20"/>
        </w:rPr>
        <w:t>Liber arenalis scientiae</w:t>
      </w:r>
      <w:r w:rsidRPr="0014758A">
        <w:rPr>
          <w:sz w:val="20"/>
          <w:szCs w:val="20"/>
        </w:rPr>
        <w:t xml:space="preserve"> in the manuscript Cambridge, Magdalene College, F. 4. 27, f. 120r</w:t>
      </w:r>
      <w:r>
        <w:rPr>
          <w:sz w:val="20"/>
          <w:szCs w:val="20"/>
        </w:rPr>
        <w:t>.</w:t>
      </w:r>
      <w:r w:rsidR="00992C38" w:rsidRPr="00992C38">
        <w:t xml:space="preserve"> </w:t>
      </w:r>
      <w:r w:rsidR="00992C38" w:rsidRPr="00992C38">
        <w:rPr>
          <w:sz w:val="20"/>
          <w:szCs w:val="20"/>
        </w:rPr>
        <w:t>By permission of the Master and Fellows of Magdalene College Cambridge</w:t>
      </w:r>
      <w:r w:rsidR="00992C38">
        <w:rPr>
          <w:sz w:val="20"/>
          <w:szCs w:val="20"/>
        </w:rPr>
        <w:t>.</w:t>
      </w:r>
    </w:p>
    <w:bookmarkEnd w:id="138"/>
    <w:p w14:paraId="0E48D9F2" w14:textId="77777777" w:rsidR="00242EFA" w:rsidRDefault="00242EFA" w:rsidP="00242EFA">
      <w:pPr>
        <w:spacing w:line="240" w:lineRule="auto"/>
        <w:ind w:firstLine="0"/>
        <w:jc w:val="center"/>
        <w:rPr>
          <w:sz w:val="20"/>
          <w:szCs w:val="20"/>
        </w:rPr>
      </w:pPr>
    </w:p>
    <w:p w14:paraId="1BDDDA54" w14:textId="77777777" w:rsidR="00242EFA" w:rsidRDefault="00242EFA" w:rsidP="00242EFA">
      <w:pPr>
        <w:spacing w:line="240" w:lineRule="auto"/>
        <w:ind w:firstLine="0"/>
        <w:jc w:val="center"/>
        <w:rPr>
          <w:b/>
          <w:bCs/>
          <w:sz w:val="20"/>
          <w:szCs w:val="20"/>
        </w:rPr>
      </w:pPr>
      <w:r>
        <w:rPr>
          <w:b/>
          <w:bCs/>
          <w:noProof/>
          <w:sz w:val="20"/>
          <w:szCs w:val="20"/>
        </w:rPr>
        <w:drawing>
          <wp:inline distT="0" distB="0" distL="0" distR="0" wp14:anchorId="2F04F982" wp14:editId="17FF0563">
            <wp:extent cx="5970321" cy="8048625"/>
            <wp:effectExtent l="0" t="0" r="0" b="0"/>
            <wp:docPr id="1656190486"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90486" name="Picture 4" descr="A close-up of a documen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99566" cy="8088051"/>
                    </a:xfrm>
                    <a:prstGeom prst="rect">
                      <a:avLst/>
                    </a:prstGeom>
                  </pic:spPr>
                </pic:pic>
              </a:graphicData>
            </a:graphic>
          </wp:inline>
        </w:drawing>
      </w:r>
    </w:p>
    <w:p w14:paraId="290D91F2" w14:textId="77777777" w:rsidR="00242EFA" w:rsidRDefault="00242EFA" w:rsidP="00242EFA">
      <w:pPr>
        <w:spacing w:line="240" w:lineRule="auto"/>
        <w:ind w:firstLine="0"/>
        <w:jc w:val="center"/>
        <w:rPr>
          <w:b/>
          <w:bCs/>
          <w:sz w:val="20"/>
          <w:szCs w:val="20"/>
        </w:rPr>
      </w:pPr>
    </w:p>
    <w:p w14:paraId="08A4CB0E" w14:textId="0AA602C1" w:rsidR="00242EFA" w:rsidRDefault="00242EFA" w:rsidP="00242EFA">
      <w:pPr>
        <w:spacing w:line="240" w:lineRule="auto"/>
        <w:ind w:firstLine="0"/>
        <w:jc w:val="center"/>
        <w:rPr>
          <w:sz w:val="20"/>
          <w:szCs w:val="20"/>
        </w:rPr>
      </w:pPr>
      <w:bookmarkStart w:id="139" w:name="_Hlk150943215"/>
      <w:r w:rsidRPr="00992C38">
        <w:rPr>
          <w:b/>
          <w:bCs/>
          <w:sz w:val="20"/>
          <w:szCs w:val="20"/>
        </w:rPr>
        <w:t>Figure 2.</w:t>
      </w:r>
      <w:r w:rsidRPr="0014758A">
        <w:rPr>
          <w:sz w:val="20"/>
          <w:szCs w:val="20"/>
        </w:rPr>
        <w:t xml:space="preserve"> Incipit of the </w:t>
      </w:r>
      <w:r w:rsidRPr="0014758A">
        <w:rPr>
          <w:i/>
          <w:iCs/>
          <w:sz w:val="20"/>
          <w:szCs w:val="20"/>
        </w:rPr>
        <w:t>Liber arenalis scientiae</w:t>
      </w:r>
      <w:r w:rsidRPr="0014758A">
        <w:rPr>
          <w:sz w:val="20"/>
          <w:szCs w:val="20"/>
        </w:rPr>
        <w:t xml:space="preserve"> in the manuscript</w:t>
      </w:r>
      <w:r>
        <w:rPr>
          <w:sz w:val="20"/>
          <w:szCs w:val="20"/>
        </w:rPr>
        <w:t xml:space="preserve"> Oxford, </w:t>
      </w:r>
      <w:r w:rsidRPr="00E25BDC">
        <w:rPr>
          <w:sz w:val="20"/>
          <w:szCs w:val="20"/>
        </w:rPr>
        <w:t>Bodleian Library, Rawlinson D.1227</w:t>
      </w:r>
      <w:r>
        <w:rPr>
          <w:sz w:val="20"/>
          <w:szCs w:val="20"/>
        </w:rPr>
        <w:t>, f. 147r.</w:t>
      </w:r>
      <w:bookmarkEnd w:id="139"/>
      <w:r w:rsidR="008E1484" w:rsidRPr="008E1484">
        <w:t xml:space="preserve"> </w:t>
      </w:r>
      <w:r w:rsidR="008E1484" w:rsidRPr="008E1484">
        <w:rPr>
          <w:sz w:val="20"/>
          <w:szCs w:val="20"/>
        </w:rPr>
        <w:t>Creative Commons licence CC-BY-NC 4.0</w:t>
      </w:r>
    </w:p>
    <w:p w14:paraId="350E9F45" w14:textId="77777777" w:rsidR="00242EFA" w:rsidRDefault="00242EFA" w:rsidP="00242EFA">
      <w:pPr>
        <w:spacing w:line="240" w:lineRule="auto"/>
        <w:ind w:firstLine="0"/>
        <w:jc w:val="center"/>
        <w:rPr>
          <w:sz w:val="20"/>
          <w:szCs w:val="20"/>
        </w:rPr>
      </w:pPr>
    </w:p>
    <w:p w14:paraId="0D00E2FA" w14:textId="77777777" w:rsidR="00242EFA" w:rsidRDefault="00242EFA" w:rsidP="00242EFA">
      <w:pPr>
        <w:spacing w:line="240" w:lineRule="auto"/>
        <w:ind w:firstLine="0"/>
        <w:jc w:val="center"/>
        <w:rPr>
          <w:sz w:val="20"/>
          <w:szCs w:val="20"/>
        </w:rPr>
      </w:pPr>
    </w:p>
    <w:p w14:paraId="76103A2E" w14:textId="77777777" w:rsidR="00242EFA" w:rsidRDefault="00242EFA" w:rsidP="00242EFA">
      <w:pPr>
        <w:spacing w:line="240" w:lineRule="auto"/>
        <w:ind w:firstLine="0"/>
        <w:jc w:val="center"/>
        <w:rPr>
          <w:sz w:val="20"/>
          <w:szCs w:val="20"/>
        </w:rPr>
      </w:pPr>
    </w:p>
    <w:p w14:paraId="54987161" w14:textId="7CADF3F1" w:rsidR="00242EFA" w:rsidRDefault="00242EFA" w:rsidP="00414AAB">
      <w:pPr>
        <w:spacing w:line="240" w:lineRule="auto"/>
        <w:ind w:firstLine="0"/>
        <w:jc w:val="center"/>
        <w:rPr>
          <w:sz w:val="20"/>
          <w:szCs w:val="20"/>
        </w:rPr>
      </w:pPr>
      <w:r>
        <w:rPr>
          <w:noProof/>
          <w:sz w:val="20"/>
          <w:szCs w:val="20"/>
        </w:rPr>
        <w:drawing>
          <wp:inline distT="0" distB="0" distL="0" distR="0" wp14:anchorId="1CDE85BE" wp14:editId="1FBD8F56">
            <wp:extent cx="5731510" cy="8136255"/>
            <wp:effectExtent l="0" t="0" r="2540" b="0"/>
            <wp:docPr id="1017523934" name="Picture 2"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23934" name="Picture 2" descr="A close-up of a book&#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8136255"/>
                    </a:xfrm>
                    <a:prstGeom prst="rect">
                      <a:avLst/>
                    </a:prstGeom>
                  </pic:spPr>
                </pic:pic>
              </a:graphicData>
            </a:graphic>
          </wp:inline>
        </w:drawing>
      </w:r>
    </w:p>
    <w:p w14:paraId="01D45FDD" w14:textId="77777777" w:rsidR="008B4323" w:rsidRDefault="008B4323" w:rsidP="00242EFA">
      <w:pPr>
        <w:spacing w:line="240" w:lineRule="auto"/>
        <w:ind w:firstLine="0"/>
        <w:jc w:val="center"/>
        <w:rPr>
          <w:sz w:val="20"/>
          <w:szCs w:val="20"/>
        </w:rPr>
      </w:pPr>
    </w:p>
    <w:p w14:paraId="77428594" w14:textId="3AF8635E" w:rsidR="00242EFA" w:rsidRDefault="00242EFA" w:rsidP="00242EFA">
      <w:pPr>
        <w:spacing w:line="240" w:lineRule="auto"/>
        <w:ind w:firstLine="0"/>
        <w:jc w:val="center"/>
        <w:rPr>
          <w:sz w:val="20"/>
          <w:szCs w:val="20"/>
        </w:rPr>
      </w:pPr>
      <w:bookmarkStart w:id="140" w:name="_Hlk150943239"/>
      <w:r w:rsidRPr="00314D7A">
        <w:rPr>
          <w:b/>
          <w:bCs/>
          <w:sz w:val="20"/>
          <w:szCs w:val="20"/>
        </w:rPr>
        <w:t>Figure 3.</w:t>
      </w:r>
      <w:r w:rsidRPr="0014758A">
        <w:rPr>
          <w:sz w:val="20"/>
          <w:szCs w:val="20"/>
        </w:rPr>
        <w:t xml:space="preserve"> Incipit of the </w:t>
      </w:r>
      <w:r w:rsidRPr="0014758A">
        <w:rPr>
          <w:i/>
          <w:iCs/>
          <w:sz w:val="20"/>
          <w:szCs w:val="20"/>
        </w:rPr>
        <w:t>Liber arenalis scientiae</w:t>
      </w:r>
      <w:r w:rsidRPr="0014758A">
        <w:rPr>
          <w:sz w:val="20"/>
          <w:szCs w:val="20"/>
        </w:rPr>
        <w:t xml:space="preserve"> in the manuscript</w:t>
      </w:r>
      <w:r>
        <w:rPr>
          <w:sz w:val="20"/>
          <w:szCs w:val="20"/>
        </w:rPr>
        <w:t xml:space="preserve"> </w:t>
      </w:r>
      <w:r w:rsidRPr="00B15553">
        <w:rPr>
          <w:sz w:val="20"/>
          <w:szCs w:val="20"/>
        </w:rPr>
        <w:t>Augsburg, Staats- und Stadtbibl</w:t>
      </w:r>
      <w:r>
        <w:rPr>
          <w:sz w:val="20"/>
          <w:szCs w:val="20"/>
        </w:rPr>
        <w:t>iothek</w:t>
      </w:r>
      <w:r w:rsidRPr="00B15553">
        <w:rPr>
          <w:sz w:val="20"/>
          <w:szCs w:val="20"/>
        </w:rPr>
        <w:t>, 2° Cod. 211</w:t>
      </w:r>
      <w:r>
        <w:rPr>
          <w:sz w:val="20"/>
          <w:szCs w:val="20"/>
        </w:rPr>
        <w:t>, f. 2r.</w:t>
      </w:r>
      <w:r w:rsidR="00585E76" w:rsidRPr="00585E76">
        <w:t xml:space="preserve"> </w:t>
      </w:r>
      <w:r w:rsidR="00585E76" w:rsidRPr="00585E76">
        <w:rPr>
          <w:sz w:val="20"/>
          <w:szCs w:val="20"/>
        </w:rPr>
        <w:t>By permission of the Augsburg, Staats- und Stadtbibliothek.</w:t>
      </w:r>
    </w:p>
    <w:bookmarkEnd w:id="140"/>
    <w:p w14:paraId="4E0B7BD2" w14:textId="77777777" w:rsidR="00242EFA" w:rsidRDefault="00242EFA" w:rsidP="00242EFA">
      <w:pPr>
        <w:spacing w:line="240" w:lineRule="auto"/>
        <w:ind w:firstLine="0"/>
        <w:jc w:val="center"/>
        <w:rPr>
          <w:sz w:val="20"/>
          <w:szCs w:val="20"/>
        </w:rPr>
      </w:pPr>
    </w:p>
    <w:p w14:paraId="299A0746" w14:textId="77777777" w:rsidR="00242EFA" w:rsidRDefault="00242EFA" w:rsidP="00242EFA">
      <w:pPr>
        <w:spacing w:line="240" w:lineRule="auto"/>
        <w:ind w:firstLine="0"/>
        <w:jc w:val="center"/>
        <w:rPr>
          <w:sz w:val="20"/>
          <w:szCs w:val="20"/>
        </w:rPr>
      </w:pPr>
    </w:p>
    <w:p w14:paraId="01C1B7D3" w14:textId="38746D12" w:rsidR="00242EFA" w:rsidRDefault="00242EFA" w:rsidP="00414AAB">
      <w:pPr>
        <w:spacing w:line="240" w:lineRule="auto"/>
        <w:ind w:firstLine="0"/>
        <w:jc w:val="center"/>
        <w:rPr>
          <w:b/>
          <w:bCs/>
          <w:sz w:val="20"/>
          <w:szCs w:val="20"/>
        </w:rPr>
      </w:pPr>
      <w:r>
        <w:rPr>
          <w:b/>
          <w:bCs/>
          <w:noProof/>
          <w:sz w:val="20"/>
          <w:szCs w:val="20"/>
        </w:rPr>
        <w:drawing>
          <wp:inline distT="0" distB="0" distL="0" distR="0" wp14:anchorId="46308A64" wp14:editId="10B98F56">
            <wp:extent cx="5669217" cy="8001000"/>
            <wp:effectExtent l="0" t="0" r="0" b="0"/>
            <wp:docPr id="673850339" name="Picture 5" descr="A page of a book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50339" name="Picture 5" descr="A page of a book with text and symbol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681819" cy="8018786"/>
                    </a:xfrm>
                    <a:prstGeom prst="rect">
                      <a:avLst/>
                    </a:prstGeom>
                  </pic:spPr>
                </pic:pic>
              </a:graphicData>
            </a:graphic>
          </wp:inline>
        </w:drawing>
      </w:r>
    </w:p>
    <w:p w14:paraId="114CA5E6" w14:textId="77777777" w:rsidR="00732475" w:rsidRDefault="00732475" w:rsidP="00242EFA">
      <w:pPr>
        <w:spacing w:line="240" w:lineRule="auto"/>
        <w:ind w:firstLine="0"/>
        <w:jc w:val="center"/>
        <w:rPr>
          <w:sz w:val="20"/>
          <w:szCs w:val="20"/>
        </w:rPr>
      </w:pPr>
      <w:bookmarkStart w:id="141" w:name="_Hlk150943251"/>
    </w:p>
    <w:p w14:paraId="7FB5B9DE" w14:textId="671604B7" w:rsidR="00242EFA" w:rsidRDefault="00242EFA" w:rsidP="00242EFA">
      <w:pPr>
        <w:spacing w:line="240" w:lineRule="auto"/>
        <w:ind w:firstLine="0"/>
        <w:jc w:val="center"/>
        <w:rPr>
          <w:sz w:val="20"/>
          <w:szCs w:val="20"/>
        </w:rPr>
      </w:pPr>
      <w:r w:rsidRPr="00314D7A">
        <w:rPr>
          <w:b/>
          <w:bCs/>
          <w:sz w:val="20"/>
          <w:szCs w:val="20"/>
        </w:rPr>
        <w:t xml:space="preserve">Figure </w:t>
      </w:r>
      <w:r w:rsidR="008B4323" w:rsidRPr="00314D7A">
        <w:rPr>
          <w:b/>
          <w:bCs/>
          <w:sz w:val="20"/>
          <w:szCs w:val="20"/>
        </w:rPr>
        <w:t>4</w:t>
      </w:r>
      <w:r w:rsidRPr="00314D7A">
        <w:rPr>
          <w:b/>
          <w:bCs/>
          <w:sz w:val="20"/>
          <w:szCs w:val="20"/>
        </w:rPr>
        <w:t>.</w:t>
      </w:r>
      <w:r w:rsidRPr="00681F96">
        <w:rPr>
          <w:sz w:val="20"/>
          <w:szCs w:val="20"/>
        </w:rPr>
        <w:t xml:space="preserve"> Incipit of the </w:t>
      </w:r>
      <w:r w:rsidRPr="00681F96">
        <w:rPr>
          <w:i/>
          <w:iCs/>
          <w:sz w:val="20"/>
          <w:szCs w:val="20"/>
        </w:rPr>
        <w:t>Liber arenalis scientiae</w:t>
      </w:r>
      <w:r w:rsidRPr="00681F96">
        <w:rPr>
          <w:sz w:val="20"/>
          <w:szCs w:val="20"/>
        </w:rPr>
        <w:t xml:space="preserve"> in the manuscript</w:t>
      </w:r>
      <w:r>
        <w:rPr>
          <w:sz w:val="20"/>
          <w:szCs w:val="20"/>
        </w:rPr>
        <w:t xml:space="preserve"> London, British Library, Arundel Ms. 66, f. </w:t>
      </w:r>
      <w:r w:rsidRPr="00681F96">
        <w:rPr>
          <w:sz w:val="20"/>
          <w:szCs w:val="20"/>
        </w:rPr>
        <w:t>269ra</w:t>
      </w:r>
      <w:r>
        <w:rPr>
          <w:sz w:val="20"/>
          <w:szCs w:val="20"/>
        </w:rPr>
        <w:t>.</w:t>
      </w:r>
      <w:r w:rsidR="00314D7A" w:rsidRPr="00314D7A">
        <w:t xml:space="preserve"> </w:t>
      </w:r>
      <w:r w:rsidR="00314D7A" w:rsidRPr="00314D7A">
        <w:rPr>
          <w:sz w:val="20"/>
          <w:szCs w:val="20"/>
        </w:rPr>
        <w:t>-</w:t>
      </w:r>
      <w:r w:rsidR="00314D7A" w:rsidRPr="00314D7A">
        <w:rPr>
          <w:sz w:val="20"/>
          <w:szCs w:val="20"/>
        </w:rPr>
        <w:tab/>
        <w:t>Courtesy of the British Library under a Public Domain mark.</w:t>
      </w:r>
    </w:p>
    <w:p w14:paraId="5926CF03" w14:textId="77777777" w:rsidR="00414AAB" w:rsidRPr="00681F96" w:rsidRDefault="00414AAB" w:rsidP="00242EFA">
      <w:pPr>
        <w:spacing w:line="240" w:lineRule="auto"/>
        <w:ind w:firstLine="0"/>
        <w:jc w:val="center"/>
        <w:rPr>
          <w:sz w:val="20"/>
          <w:szCs w:val="20"/>
        </w:rPr>
      </w:pPr>
    </w:p>
    <w:p w14:paraId="41709DFF" w14:textId="77777777" w:rsidR="00242EFA" w:rsidRPr="00F7099F" w:rsidRDefault="00242EFA" w:rsidP="00F7099F">
      <w:pPr>
        <w:pStyle w:val="Heading1"/>
        <w:ind w:firstLine="0"/>
        <w:rPr>
          <w:rFonts w:asciiTheme="majorBidi" w:hAnsiTheme="majorBidi"/>
          <w:color w:val="auto"/>
          <w:sz w:val="24"/>
          <w:szCs w:val="24"/>
        </w:rPr>
      </w:pPr>
      <w:bookmarkStart w:id="142" w:name="_Toc165108680"/>
      <w:bookmarkEnd w:id="141"/>
      <w:r w:rsidRPr="00F7099F">
        <w:rPr>
          <w:rFonts w:asciiTheme="majorBidi" w:hAnsiTheme="majorBidi"/>
          <w:color w:val="auto"/>
          <w:sz w:val="24"/>
          <w:szCs w:val="24"/>
        </w:rPr>
        <w:t xml:space="preserve">APPENDIX 3: AN EDITION AND TRANSLATION INTO MODERN ENGLISH OF THE </w:t>
      </w:r>
      <w:r w:rsidRPr="00F7099F">
        <w:rPr>
          <w:rFonts w:asciiTheme="majorBidi" w:hAnsiTheme="majorBidi"/>
          <w:i/>
          <w:iCs/>
          <w:color w:val="auto"/>
          <w:sz w:val="24"/>
          <w:szCs w:val="24"/>
        </w:rPr>
        <w:t>LIBER ARENALIS SCIENTIAE</w:t>
      </w:r>
      <w:r w:rsidRPr="00F7099F">
        <w:rPr>
          <w:rFonts w:asciiTheme="majorBidi" w:hAnsiTheme="majorBidi"/>
          <w:color w:val="auto"/>
          <w:sz w:val="24"/>
          <w:szCs w:val="24"/>
        </w:rPr>
        <w:t>.</w:t>
      </w:r>
      <w:bookmarkEnd w:id="142"/>
    </w:p>
    <w:p w14:paraId="186A0BFE" w14:textId="77777777" w:rsidR="00242EFA" w:rsidRDefault="00242EFA" w:rsidP="00242EFA">
      <w:pPr>
        <w:ind w:firstLine="708"/>
      </w:pPr>
    </w:p>
    <w:p w14:paraId="375AC646" w14:textId="77777777" w:rsidR="00242EFA" w:rsidRPr="00F7099F" w:rsidRDefault="00242EFA" w:rsidP="00F7099F">
      <w:pPr>
        <w:pStyle w:val="Heading2"/>
        <w:ind w:firstLine="0"/>
        <w:rPr>
          <w:rFonts w:asciiTheme="majorBidi" w:hAnsiTheme="majorBidi"/>
          <w:color w:val="auto"/>
          <w:sz w:val="20"/>
          <w:szCs w:val="20"/>
        </w:rPr>
      </w:pPr>
      <w:bookmarkStart w:id="143" w:name="_Toc165108681"/>
      <w:r w:rsidRPr="00F7099F">
        <w:rPr>
          <w:rFonts w:asciiTheme="majorBidi" w:hAnsiTheme="majorBidi"/>
          <w:color w:val="auto"/>
          <w:sz w:val="20"/>
          <w:szCs w:val="20"/>
        </w:rPr>
        <w:t>MANUSCRIPTS</w:t>
      </w:r>
      <w:bookmarkEnd w:id="143"/>
    </w:p>
    <w:p w14:paraId="30752B58" w14:textId="77777777" w:rsidR="00242EFA" w:rsidRDefault="00242EFA" w:rsidP="00242EFA">
      <w:pPr>
        <w:ind w:firstLine="0"/>
        <w:rPr>
          <w:sz w:val="20"/>
          <w:szCs w:val="20"/>
        </w:rPr>
      </w:pPr>
    </w:p>
    <w:p w14:paraId="1A0CA67D" w14:textId="1E906194" w:rsidR="00242EFA" w:rsidRPr="005D2EB3" w:rsidRDefault="00242EFA" w:rsidP="00242EFA">
      <w:pPr>
        <w:ind w:firstLine="0"/>
      </w:pPr>
      <w:r>
        <w:t>(C) Cambridge, Magdalen</w:t>
      </w:r>
      <w:r w:rsidR="00EC0010">
        <w:t>e</w:t>
      </w:r>
      <w:r>
        <w:t xml:space="preserve"> Coll., F.4.27, c. XIV, ff. 120r-125r; </w:t>
      </w:r>
    </w:p>
    <w:p w14:paraId="725BC2E1" w14:textId="6826622E" w:rsidR="00242EFA" w:rsidRDefault="00242EFA" w:rsidP="00242EFA">
      <w:pPr>
        <w:ind w:firstLine="0"/>
      </w:pPr>
      <w:r>
        <w:t>(A) Augsburg, Staats-und Stadtbibl</w:t>
      </w:r>
      <w:r w:rsidR="0019333A">
        <w:t>iothek</w:t>
      </w:r>
      <w:r>
        <w:t xml:space="preserve">, 2° Cod. 211, c. XV, ff. 1v-4v; </w:t>
      </w:r>
    </w:p>
    <w:p w14:paraId="455017CA" w14:textId="77777777" w:rsidR="00242EFA" w:rsidRDefault="00242EFA" w:rsidP="00242EFA">
      <w:pPr>
        <w:ind w:firstLine="0"/>
      </w:pPr>
      <w:r>
        <w:t>(O) Oxford, BL, Rawlinson D.1227, c. XIV, ff. 38r-40v.</w:t>
      </w:r>
    </w:p>
    <w:p w14:paraId="2CAD8982" w14:textId="77777777" w:rsidR="00242EFA" w:rsidRDefault="00242EFA" w:rsidP="00242EFA">
      <w:pPr>
        <w:ind w:firstLine="0"/>
      </w:pPr>
    </w:p>
    <w:p w14:paraId="18811400" w14:textId="7339C184" w:rsidR="00242EFA" w:rsidRDefault="00242EFA" w:rsidP="00242EFA">
      <w:pPr>
        <w:ind w:firstLine="0"/>
      </w:pPr>
      <w:r>
        <w:t>The principal manuscript used for this edition is</w:t>
      </w:r>
      <w:r w:rsidRPr="00A817CB">
        <w:t xml:space="preserve"> </w:t>
      </w:r>
      <w:r>
        <w:t xml:space="preserve">Cambridge, Magdalen Coll., F.4.27. </w:t>
      </w:r>
      <w:r w:rsidR="0019333A">
        <w:t>T</w:t>
      </w:r>
      <w:r>
        <w:t>he first part of text, common to C, A and O is a collation of the three manuscripts, and the different readings are reported in the footnotes. After this first part follows a diplomatic edition of manuscript C.</w:t>
      </w:r>
    </w:p>
    <w:p w14:paraId="2AE8FA53" w14:textId="77777777" w:rsidR="00242EFA" w:rsidRDefault="00242EFA" w:rsidP="00242EFA">
      <w:pPr>
        <w:ind w:firstLine="0"/>
      </w:pPr>
    </w:p>
    <w:p w14:paraId="46D81014" w14:textId="77777777" w:rsidR="00242EFA" w:rsidRPr="00F7099F" w:rsidRDefault="00242EFA" w:rsidP="00F7099F">
      <w:pPr>
        <w:pStyle w:val="Heading2"/>
        <w:ind w:firstLine="0"/>
        <w:rPr>
          <w:rFonts w:asciiTheme="majorBidi" w:hAnsiTheme="majorBidi"/>
          <w:color w:val="auto"/>
        </w:rPr>
      </w:pPr>
      <w:bookmarkStart w:id="144" w:name="_Toc165108682"/>
      <w:r w:rsidRPr="00F7099F">
        <w:rPr>
          <w:rFonts w:asciiTheme="majorBidi" w:hAnsiTheme="majorBidi"/>
          <w:color w:val="auto"/>
          <w:sz w:val="20"/>
          <w:szCs w:val="20"/>
        </w:rPr>
        <w:t>EDITORIAL NOTES</w:t>
      </w:r>
      <w:bookmarkEnd w:id="144"/>
    </w:p>
    <w:p w14:paraId="69EDA581" w14:textId="77777777" w:rsidR="00242EFA" w:rsidRDefault="00242EFA" w:rsidP="00242EFA">
      <w:pPr>
        <w:ind w:firstLine="0"/>
        <w:rPr>
          <w:i/>
          <w:iCs/>
        </w:rPr>
      </w:pPr>
    </w:p>
    <w:p w14:paraId="5CF348B0" w14:textId="09C1E409" w:rsidR="00242EFA" w:rsidRDefault="00242EFA" w:rsidP="00242EFA">
      <w:pPr>
        <w:ind w:firstLine="0"/>
      </w:pPr>
      <w:r>
        <w:rPr>
          <w:i/>
          <w:iCs/>
        </w:rPr>
        <w:t xml:space="preserve">Division into passages. </w:t>
      </w:r>
      <w:r>
        <w:t xml:space="preserve">The text of the </w:t>
      </w:r>
      <w:r w:rsidRPr="00023CF9">
        <w:rPr>
          <w:i/>
          <w:iCs/>
        </w:rPr>
        <w:t>Liber arenalis scientiae</w:t>
      </w:r>
      <w:r>
        <w:t xml:space="preserve"> is divided into chapters. Additionally, for ease of reference</w:t>
      </w:r>
      <w:r w:rsidR="0019333A">
        <w:t>,</w:t>
      </w:r>
      <w:r>
        <w:t xml:space="preserve"> the text is divided into short artificial passages.</w:t>
      </w:r>
    </w:p>
    <w:p w14:paraId="7C386751" w14:textId="77777777" w:rsidR="00242EFA" w:rsidRDefault="00242EFA" w:rsidP="00242EFA">
      <w:pPr>
        <w:ind w:firstLine="0"/>
      </w:pPr>
    </w:p>
    <w:p w14:paraId="1AE09766" w14:textId="5D48B6F6" w:rsidR="00242EFA" w:rsidRDefault="00242EFA" w:rsidP="00242EFA">
      <w:pPr>
        <w:ind w:firstLine="0"/>
      </w:pPr>
      <w:r w:rsidRPr="00023CF9">
        <w:rPr>
          <w:i/>
          <w:iCs/>
        </w:rPr>
        <w:t>Spelling and Punctuation.</w:t>
      </w:r>
      <w:r>
        <w:t xml:space="preserve"> The punctuation and capitalisation </w:t>
      </w:r>
      <w:r w:rsidR="00D670BB">
        <w:t>have</w:t>
      </w:r>
      <w:r>
        <w:t xml:space="preserve"> been modernised. Since it is often difficult to distinguish between v/u and c/t, the choice of these letters follows modern spelling. </w:t>
      </w:r>
    </w:p>
    <w:p w14:paraId="351CD908" w14:textId="77777777" w:rsidR="00242EFA" w:rsidRDefault="00242EFA" w:rsidP="00242EFA">
      <w:pPr>
        <w:ind w:firstLine="0"/>
      </w:pPr>
    </w:p>
    <w:p w14:paraId="2EBECB7E" w14:textId="2B92D041" w:rsidR="00242EFA" w:rsidRPr="00023CF9" w:rsidRDefault="00242EFA" w:rsidP="00242EFA">
      <w:pPr>
        <w:ind w:firstLine="0"/>
        <w:rPr>
          <w:sz w:val="20"/>
          <w:szCs w:val="20"/>
        </w:rPr>
      </w:pPr>
      <w:r w:rsidRPr="00023CF9">
        <w:rPr>
          <w:i/>
          <w:iCs/>
        </w:rPr>
        <w:t>Emendation of the Text</w:t>
      </w:r>
      <w:r>
        <w:t xml:space="preserve">. Necessary emendations by the editor have been made in angular brackets. Redundant words or letters are indicated by square brackets. Illustrations of geomantic figures in the text are rendered in series of four numbers – indicating the number of </w:t>
      </w:r>
      <w:r w:rsidR="002F2BE4">
        <w:t>points</w:t>
      </w:r>
      <w:r>
        <w:t xml:space="preserve"> in each row, either 1 or 2 – in round brackets.</w:t>
      </w:r>
    </w:p>
    <w:p w14:paraId="68917477" w14:textId="77777777" w:rsidR="00242EFA" w:rsidRDefault="00242EFA" w:rsidP="00242EFA">
      <w:pPr>
        <w:ind w:firstLine="0"/>
      </w:pPr>
    </w:p>
    <w:p w14:paraId="2F2DF550" w14:textId="7BF74574" w:rsidR="00242EFA" w:rsidRDefault="00242EFA" w:rsidP="00242EFA">
      <w:pPr>
        <w:ind w:firstLine="0"/>
      </w:pPr>
      <w:r w:rsidRPr="004F1459">
        <w:rPr>
          <w:i/>
          <w:iCs/>
        </w:rPr>
        <w:t>Abbreviations used in the editio</w:t>
      </w:r>
      <w:r w:rsidR="006B716D">
        <w:rPr>
          <w:i/>
          <w:iCs/>
        </w:rPr>
        <w:t xml:space="preserve">n: </w:t>
      </w:r>
      <w:r w:rsidRPr="002E6772">
        <w:rPr>
          <w:i/>
          <w:iCs/>
        </w:rPr>
        <w:t>Marg</w:t>
      </w:r>
      <w:r>
        <w:t>. =</w:t>
      </w:r>
      <w:r w:rsidR="006B716D">
        <w:t xml:space="preserve"> in margin</w:t>
      </w:r>
      <w:r>
        <w:t xml:space="preserve">; </w:t>
      </w:r>
      <w:r w:rsidRPr="002E6772">
        <w:rPr>
          <w:i/>
          <w:iCs/>
        </w:rPr>
        <w:t>Om.</w:t>
      </w:r>
      <w:r>
        <w:t xml:space="preserve"> = omisit; </w:t>
      </w:r>
      <w:r w:rsidRPr="002E6772">
        <w:rPr>
          <w:i/>
          <w:iCs/>
        </w:rPr>
        <w:t>Con.</w:t>
      </w:r>
      <w:r>
        <w:t xml:space="preserve"> = coniecit; </w:t>
      </w:r>
      <w:r w:rsidRPr="002E6772">
        <w:rPr>
          <w:i/>
          <w:iCs/>
        </w:rPr>
        <w:t>Illeg.</w:t>
      </w:r>
      <w:r>
        <w:t xml:space="preserve"> = illegibilis; </w:t>
      </w:r>
      <w:r w:rsidRPr="002E6772">
        <w:rPr>
          <w:i/>
          <w:iCs/>
        </w:rPr>
        <w:t>s.l.</w:t>
      </w:r>
      <w:r>
        <w:t xml:space="preserve"> = supra lineam. </w:t>
      </w:r>
    </w:p>
    <w:p w14:paraId="1128D01D" w14:textId="77777777" w:rsidR="00242EFA" w:rsidRDefault="00242EFA" w:rsidP="00242EFA">
      <w:pPr>
        <w:ind w:firstLine="0"/>
      </w:pPr>
    </w:p>
    <w:p w14:paraId="65C4980A" w14:textId="7844F639" w:rsidR="00242EFA" w:rsidRDefault="00242EFA" w:rsidP="00242EFA">
      <w:pPr>
        <w:ind w:firstLine="0"/>
      </w:pPr>
      <w:r w:rsidRPr="006229C5">
        <w:rPr>
          <w:i/>
          <w:iCs/>
        </w:rPr>
        <w:t>Footnotes</w:t>
      </w:r>
      <w:r>
        <w:t xml:space="preserve">. The footnotes are mostly used to report the variations of manuscripts O and A in the first part of the text, and occasionally of C when the reading of another manuscript has been preferred. Moreover, footnotes are used to show the original reading of the manuscripts when it has been </w:t>
      </w:r>
      <w:r w:rsidR="00D670BB">
        <w:t>substituted</w:t>
      </w:r>
      <w:r>
        <w:t xml:space="preserve"> by a plausible emendation in the main body of text by the editor.</w:t>
      </w:r>
    </w:p>
    <w:p w14:paraId="4209979E" w14:textId="77777777" w:rsidR="00242EFA" w:rsidRPr="00C75EF6" w:rsidRDefault="00242EFA" w:rsidP="00242EFA">
      <w:r>
        <w:br w:type="page"/>
      </w:r>
    </w:p>
    <w:p w14:paraId="050A5607" w14:textId="5EAD9CC1" w:rsidR="00242EFA" w:rsidRPr="003C3536" w:rsidRDefault="003C3536" w:rsidP="003C3536">
      <w:pPr>
        <w:pStyle w:val="Heading2"/>
        <w:ind w:firstLine="0"/>
        <w:rPr>
          <w:rFonts w:asciiTheme="majorBidi" w:hAnsiTheme="majorBidi"/>
          <w:i/>
          <w:iCs/>
          <w:color w:val="auto"/>
          <w:sz w:val="20"/>
          <w:szCs w:val="20"/>
          <w:lang w:val="la-Latn"/>
        </w:rPr>
      </w:pPr>
      <w:bookmarkStart w:id="145" w:name="_Toc165108683"/>
      <w:r w:rsidRPr="003C3536">
        <w:rPr>
          <w:rFonts w:asciiTheme="majorBidi" w:hAnsiTheme="majorBidi"/>
          <w:color w:val="auto"/>
          <w:sz w:val="20"/>
          <w:szCs w:val="20"/>
          <w:lang w:val="la-Latn"/>
        </w:rPr>
        <w:t>EDITION OF THE</w:t>
      </w:r>
      <w:r w:rsidRPr="003C3536">
        <w:rPr>
          <w:rFonts w:asciiTheme="majorBidi" w:hAnsiTheme="majorBidi"/>
          <w:i/>
          <w:iCs/>
          <w:color w:val="auto"/>
          <w:sz w:val="20"/>
          <w:szCs w:val="20"/>
          <w:lang w:val="la-Latn"/>
        </w:rPr>
        <w:t xml:space="preserve"> LIBER ARENALIS SCIENTIAE.</w:t>
      </w:r>
      <w:bookmarkEnd w:id="145"/>
    </w:p>
    <w:p w14:paraId="789304E9" w14:textId="77777777" w:rsidR="00242EFA" w:rsidRPr="003C3536" w:rsidRDefault="00242EFA" w:rsidP="00242EFA">
      <w:pPr>
        <w:ind w:firstLine="708"/>
        <w:rPr>
          <w:lang w:val="la-Latn"/>
        </w:rPr>
      </w:pPr>
    </w:p>
    <w:p w14:paraId="3B304B97" w14:textId="4A607B9B" w:rsidR="00242EFA" w:rsidRPr="003C3536" w:rsidRDefault="00242EFA" w:rsidP="00242EFA">
      <w:pPr>
        <w:rPr>
          <w:lang w:val="la-Latn"/>
        </w:rPr>
      </w:pPr>
      <w:r w:rsidRPr="003C3536">
        <w:rPr>
          <w:lang w:val="la-Latn"/>
        </w:rPr>
        <w:t>1</w:t>
      </w:r>
      <w:r w:rsidRPr="003C3536">
        <w:rPr>
          <w:lang w:val="la-Latn"/>
        </w:rPr>
        <w:tab/>
        <w:t xml:space="preserve"> /120r/ Incipit</w:t>
      </w:r>
      <w:r w:rsidRPr="003C3536">
        <w:rPr>
          <w:rStyle w:val="FootnoteReference"/>
          <w:lang w:val="la-Latn"/>
        </w:rPr>
        <w:footnoteReference w:id="509"/>
      </w:r>
      <w:r w:rsidRPr="003C3536">
        <w:rPr>
          <w:lang w:val="la-Latn"/>
        </w:rPr>
        <w:t xml:space="preserve"> liber arenalis</w:t>
      </w:r>
      <w:r w:rsidRPr="003C3536">
        <w:rPr>
          <w:rStyle w:val="FootnoteReference"/>
          <w:lang w:val="la-Latn"/>
        </w:rPr>
        <w:footnoteReference w:id="510"/>
      </w:r>
      <w:r w:rsidRPr="003C3536">
        <w:rPr>
          <w:lang w:val="la-Latn"/>
        </w:rPr>
        <w:t xml:space="preserve"> scientie, ab alfarino abizarch</w:t>
      </w:r>
      <w:r w:rsidRPr="003C3536">
        <w:rPr>
          <w:rStyle w:val="FootnoteReference"/>
          <w:lang w:val="la-Latn"/>
        </w:rPr>
        <w:footnoteReference w:id="511"/>
      </w:r>
      <w:r w:rsidRPr="003C3536">
        <w:rPr>
          <w:lang w:val="la-Latn"/>
        </w:rPr>
        <w:t xml:space="preserve"> editus et a platone tiburtino</w:t>
      </w:r>
      <w:r w:rsidRPr="003C3536">
        <w:rPr>
          <w:rStyle w:val="FootnoteReference"/>
          <w:lang w:val="la-Latn"/>
        </w:rPr>
        <w:footnoteReference w:id="512"/>
      </w:r>
      <w:r w:rsidRPr="003C3536">
        <w:rPr>
          <w:lang w:val="la-Latn"/>
        </w:rPr>
        <w:t xml:space="preserve"> de arabico in latinum translatus</w:t>
      </w:r>
      <w:r w:rsidR="00546C4D" w:rsidRPr="003C3536">
        <w:rPr>
          <w:lang w:val="la-Latn"/>
        </w:rPr>
        <w:t>.</w:t>
      </w:r>
      <w:r w:rsidRPr="003C3536">
        <w:rPr>
          <w:rStyle w:val="FootnoteReference"/>
          <w:lang w:val="la-Latn"/>
        </w:rPr>
        <w:footnoteReference w:id="513"/>
      </w:r>
      <w:r w:rsidRPr="003C3536">
        <w:rPr>
          <w:lang w:val="la-Latn"/>
        </w:rPr>
        <w:t xml:space="preserve"> In nomine domini misericordis et pii,</w:t>
      </w:r>
      <w:r w:rsidRPr="003C3536">
        <w:rPr>
          <w:rStyle w:val="FootnoteReference"/>
          <w:lang w:val="la-Latn"/>
        </w:rPr>
        <w:footnoteReference w:id="514"/>
      </w:r>
      <w:r w:rsidRPr="003C3536">
        <w:rPr>
          <w:lang w:val="la-Latn"/>
        </w:rPr>
        <w:t xml:space="preserve"> in lineis</w:t>
      </w:r>
      <w:r w:rsidRPr="003C3536">
        <w:rPr>
          <w:rStyle w:val="FootnoteReference"/>
          <w:lang w:val="la-Latn"/>
        </w:rPr>
        <w:footnoteReference w:id="515"/>
      </w:r>
      <w:r w:rsidRPr="003C3536">
        <w:rPr>
          <w:lang w:val="la-Latn"/>
        </w:rPr>
        <w:t xml:space="preserve"> contineri</w:t>
      </w:r>
      <w:r w:rsidRPr="003C3536">
        <w:rPr>
          <w:rStyle w:val="FootnoteReference"/>
          <w:lang w:val="la-Latn"/>
        </w:rPr>
        <w:footnoteReference w:id="516"/>
      </w:r>
      <w:r w:rsidRPr="003C3536">
        <w:rPr>
          <w:lang w:val="la-Latn"/>
        </w:rPr>
        <w:t xml:space="preserve"> scientiam</w:t>
      </w:r>
      <w:r w:rsidR="00546C4D" w:rsidRPr="003C3536">
        <w:rPr>
          <w:lang w:val="la-Latn"/>
        </w:rPr>
        <w:t>,</w:t>
      </w:r>
      <w:r w:rsidRPr="003C3536">
        <w:rPr>
          <w:rStyle w:val="FootnoteReference"/>
          <w:lang w:val="la-Latn"/>
        </w:rPr>
        <w:footnoteReference w:id="517"/>
      </w:r>
      <w:r w:rsidRPr="003C3536">
        <w:rPr>
          <w:lang w:val="la-Latn"/>
        </w:rPr>
        <w:t xml:space="preserve"> uni</w:t>
      </w:r>
      <w:r w:rsidRPr="003C3536">
        <w:rPr>
          <w:rStyle w:val="FootnoteReference"/>
          <w:lang w:val="la-Latn"/>
        </w:rPr>
        <w:footnoteReference w:id="518"/>
      </w:r>
      <w:r w:rsidRPr="003C3536">
        <w:rPr>
          <w:lang w:val="la-Latn"/>
        </w:rPr>
        <w:t xml:space="preserve"> prophetarum a deo creatore transmissam ab antiquis ostenditur. Quicumque</w:t>
      </w:r>
      <w:r w:rsidRPr="003C3536">
        <w:rPr>
          <w:rStyle w:val="FootnoteReference"/>
          <w:lang w:val="la-Latn"/>
        </w:rPr>
        <w:footnoteReference w:id="519"/>
      </w:r>
      <w:r w:rsidRPr="003C3536">
        <w:rPr>
          <w:lang w:val="la-Latn"/>
        </w:rPr>
        <w:t xml:space="preserve"> igitur per suas lineas ad quamlibet istius</w:t>
      </w:r>
      <w:r w:rsidRPr="003C3536">
        <w:rPr>
          <w:rStyle w:val="FootnoteReference"/>
          <w:lang w:val="la-Latn"/>
        </w:rPr>
        <w:footnoteReference w:id="520"/>
      </w:r>
      <w:r w:rsidRPr="003C3536">
        <w:rPr>
          <w:lang w:val="la-Latn"/>
        </w:rPr>
        <w:t xml:space="preserve"> prophetie linearum a vero pervenerit</w:t>
      </w:r>
      <w:r w:rsidR="00546C4D" w:rsidRPr="003C3536">
        <w:rPr>
          <w:lang w:val="la-Latn"/>
        </w:rPr>
        <w:t>,</w:t>
      </w:r>
      <w:r w:rsidRPr="003C3536">
        <w:rPr>
          <w:rStyle w:val="FootnoteReference"/>
          <w:lang w:val="la-Latn"/>
        </w:rPr>
        <w:footnoteReference w:id="521"/>
      </w:r>
      <w:r w:rsidRPr="003C3536">
        <w:rPr>
          <w:lang w:val="la-Latn"/>
        </w:rPr>
        <w:t xml:space="preserve"> nullatenus deviabit, et ut aiunt huius prophete, calidcinem filius a deo missus est</w:t>
      </w:r>
      <w:r w:rsidRPr="003C3536">
        <w:rPr>
          <w:rStyle w:val="FootnoteReference"/>
          <w:lang w:val="la-Latn"/>
        </w:rPr>
        <w:footnoteReference w:id="522"/>
      </w:r>
      <w:r w:rsidRPr="003C3536">
        <w:rPr>
          <w:lang w:val="la-Latn"/>
        </w:rPr>
        <w:t xml:space="preserve"> ad barbaros</w:t>
      </w:r>
      <w:r w:rsidR="00546C4D" w:rsidRPr="003C3536">
        <w:rPr>
          <w:lang w:val="la-Latn"/>
        </w:rPr>
        <w:t>.</w:t>
      </w:r>
      <w:r w:rsidRPr="003C3536">
        <w:rPr>
          <w:rStyle w:val="FootnoteReference"/>
          <w:lang w:val="la-Latn"/>
        </w:rPr>
        <w:footnoteReference w:id="523"/>
      </w:r>
      <w:r w:rsidRPr="003C3536">
        <w:rPr>
          <w:lang w:val="la-Latn"/>
        </w:rPr>
        <w:t xml:space="preserve"> </w:t>
      </w:r>
    </w:p>
    <w:p w14:paraId="46D0BDE4" w14:textId="3F43142F" w:rsidR="00242EFA" w:rsidRPr="003C3536" w:rsidRDefault="00242EFA" w:rsidP="00242EFA">
      <w:pPr>
        <w:rPr>
          <w:lang w:val="la-Latn"/>
        </w:rPr>
      </w:pPr>
      <w:r w:rsidRPr="003C3536">
        <w:rPr>
          <w:lang w:val="la-Latn"/>
        </w:rPr>
        <w:t>2</w:t>
      </w:r>
      <w:r w:rsidRPr="003C3536">
        <w:rPr>
          <w:lang w:val="la-Latn"/>
        </w:rPr>
        <w:tab/>
        <w:t xml:space="preserve"> Has itaque</w:t>
      </w:r>
      <w:r w:rsidRPr="003C3536">
        <w:rPr>
          <w:rStyle w:val="FootnoteReference"/>
          <w:lang w:val="la-Latn"/>
        </w:rPr>
        <w:footnoteReference w:id="524"/>
      </w:r>
      <w:r w:rsidRPr="003C3536">
        <w:rPr>
          <w:lang w:val="la-Latn"/>
        </w:rPr>
        <w:t xml:space="preserve"> lineas in XVI partes</w:t>
      </w:r>
      <w:r w:rsidRPr="003C3536">
        <w:rPr>
          <w:rStyle w:val="FootnoteReference"/>
          <w:lang w:val="la-Latn"/>
        </w:rPr>
        <w:footnoteReference w:id="525"/>
      </w:r>
      <w:r w:rsidRPr="003C3536">
        <w:rPr>
          <w:lang w:val="la-Latn"/>
        </w:rPr>
        <w:t xml:space="preserve"> a quattuor lineis provenientes</w:t>
      </w:r>
      <w:r w:rsidRPr="003C3536">
        <w:rPr>
          <w:rStyle w:val="FootnoteReference"/>
          <w:lang w:val="la-Latn"/>
        </w:rPr>
        <w:footnoteReference w:id="526"/>
      </w:r>
      <w:r w:rsidRPr="003C3536">
        <w:rPr>
          <w:lang w:val="la-Latn"/>
        </w:rPr>
        <w:t xml:space="preserve"> dividi compertum</w:t>
      </w:r>
      <w:r w:rsidRPr="003C3536">
        <w:rPr>
          <w:rStyle w:val="FootnoteReference"/>
          <w:lang w:val="la-Latn"/>
        </w:rPr>
        <w:footnoteReference w:id="527"/>
      </w:r>
      <w:r w:rsidRPr="003C3536">
        <w:rPr>
          <w:lang w:val="la-Latn"/>
        </w:rPr>
        <w:t xml:space="preserve"> est. Quarum</w:t>
      </w:r>
      <w:r w:rsidRPr="003C3536">
        <w:rPr>
          <w:rStyle w:val="FootnoteReference"/>
          <w:lang w:val="la-Latn"/>
        </w:rPr>
        <w:footnoteReference w:id="528"/>
      </w:r>
      <w:r w:rsidRPr="003C3536">
        <w:rPr>
          <w:lang w:val="la-Latn"/>
        </w:rPr>
        <w:t xml:space="preserve"> hec est prima ●●●●●●●●●●●●●●●.</w:t>
      </w:r>
      <w:r w:rsidRPr="003C3536">
        <w:rPr>
          <w:rStyle w:val="FootnoteReference"/>
          <w:lang w:val="la-Latn"/>
        </w:rPr>
        <w:footnoteReference w:id="529"/>
      </w:r>
      <w:r w:rsidRPr="003C3536">
        <w:rPr>
          <w:lang w:val="la-Latn"/>
        </w:rPr>
        <w:t xml:space="preserve"> Secundum vero sic fit ●●●●●●●●●●●●●●●. Tertiam vero hic punctorum ordo representat</w:t>
      </w:r>
      <w:r w:rsidRPr="003C3536">
        <w:rPr>
          <w:rStyle w:val="FootnoteReference"/>
          <w:lang w:val="la-Latn"/>
        </w:rPr>
        <w:footnoteReference w:id="530"/>
      </w:r>
      <w:r w:rsidRPr="003C3536">
        <w:rPr>
          <w:lang w:val="la-Latn"/>
        </w:rPr>
        <w:t xml:space="preserve"> ●●●●●●●●●●●●●●. Quartam vero talis congeries punctorum indicat</w:t>
      </w:r>
      <w:r w:rsidRPr="003C3536">
        <w:rPr>
          <w:rStyle w:val="FootnoteReference"/>
          <w:lang w:val="la-Latn"/>
        </w:rPr>
        <w:footnoteReference w:id="531"/>
      </w:r>
      <w:r w:rsidRPr="003C3536">
        <w:rPr>
          <w:lang w:val="la-Latn"/>
        </w:rPr>
        <w:t xml:space="preserve"> ●●●●●●●●●●●●●●. Ex hiis quattuor lineis XVI partes</w:t>
      </w:r>
      <w:r w:rsidRPr="003C3536">
        <w:rPr>
          <w:rStyle w:val="FootnoteReference"/>
          <w:lang w:val="la-Latn"/>
        </w:rPr>
        <w:footnoteReference w:id="532"/>
      </w:r>
      <w:r w:rsidRPr="003C3536">
        <w:rPr>
          <w:lang w:val="la-Latn"/>
        </w:rPr>
        <w:t xml:space="preserve"> proveniunt,</w:t>
      </w:r>
      <w:r w:rsidRPr="003C3536">
        <w:rPr>
          <w:rStyle w:val="FootnoteReference"/>
          <w:lang w:val="la-Latn"/>
        </w:rPr>
        <w:footnoteReference w:id="533"/>
      </w:r>
      <w:r w:rsidRPr="003C3536">
        <w:rPr>
          <w:lang w:val="la-Latn"/>
        </w:rPr>
        <w:t xml:space="preserve"> prima quidem</w:t>
      </w:r>
      <w:r w:rsidR="006B716D" w:rsidRPr="003C3536">
        <w:rPr>
          <w:lang w:val="la-Latn"/>
        </w:rPr>
        <w:t>,</w:t>
      </w:r>
      <w:r w:rsidRPr="003C3536">
        <w:rPr>
          <w:rStyle w:val="FootnoteReference"/>
          <w:lang w:val="la-Latn"/>
        </w:rPr>
        <w:footnoteReference w:id="534"/>
      </w:r>
      <w:r w:rsidRPr="003C3536">
        <w:rPr>
          <w:lang w:val="la-Latn"/>
        </w:rPr>
        <w:t xml:space="preserve"> que pars itineris</w:t>
      </w:r>
      <w:r w:rsidRPr="003C3536">
        <w:rPr>
          <w:rStyle w:val="FootnoteReference"/>
          <w:lang w:val="la-Latn"/>
        </w:rPr>
        <w:footnoteReference w:id="535"/>
      </w:r>
      <w:r w:rsidRPr="003C3536">
        <w:rPr>
          <w:lang w:val="la-Latn"/>
        </w:rPr>
        <w:t xml:space="preserve"> dicitur et in itinere significationem gerit</w:t>
      </w:r>
      <w:r w:rsidR="00C74DA2" w:rsidRPr="003C3536">
        <w:rPr>
          <w:lang w:val="la-Latn"/>
        </w:rPr>
        <w:t>,</w:t>
      </w:r>
      <w:r w:rsidRPr="003C3536">
        <w:rPr>
          <w:rStyle w:val="FootnoteReference"/>
          <w:lang w:val="la-Latn"/>
        </w:rPr>
        <w:footnoteReference w:id="536"/>
      </w:r>
      <w:r w:rsidRPr="003C3536">
        <w:rPr>
          <w:lang w:val="la-Latn"/>
        </w:rPr>
        <w:t xml:space="preserve"> hec est</w:t>
      </w:r>
      <w:r w:rsidR="006B716D" w:rsidRPr="003C3536">
        <w:rPr>
          <w:lang w:val="la-Latn"/>
        </w:rPr>
        <w:t>:</w:t>
      </w:r>
      <w:r w:rsidRPr="003C3536">
        <w:rPr>
          <w:rStyle w:val="FootnoteReference"/>
          <w:lang w:val="la-Latn"/>
        </w:rPr>
        <w:footnoteReference w:id="537"/>
      </w:r>
      <w:r w:rsidRPr="003C3536">
        <w:rPr>
          <w:lang w:val="la-Latn"/>
        </w:rPr>
        <w:t xml:space="preserve"> (1111) que si in puntando provenerit,</w:t>
      </w:r>
      <w:r w:rsidRPr="003C3536">
        <w:rPr>
          <w:rStyle w:val="FootnoteReference"/>
          <w:lang w:val="la-Latn"/>
        </w:rPr>
        <w:footnoteReference w:id="538"/>
      </w:r>
      <w:r w:rsidRPr="003C3536">
        <w:rPr>
          <w:lang w:val="la-Latn"/>
        </w:rPr>
        <w:t xml:space="preserve"> abscisionem significabit. Si autem in ultima punctione duas huiusmodi</w:t>
      </w:r>
      <w:r w:rsidRPr="003C3536">
        <w:rPr>
          <w:rStyle w:val="FootnoteReference"/>
          <w:lang w:val="la-Latn"/>
        </w:rPr>
        <w:footnoteReference w:id="539"/>
      </w:r>
      <w:r w:rsidRPr="003C3536">
        <w:rPr>
          <w:lang w:val="la-Latn"/>
        </w:rPr>
        <w:t xml:space="preserve"> vias inveneris,</w:t>
      </w:r>
      <w:r w:rsidRPr="003C3536">
        <w:rPr>
          <w:rStyle w:val="FootnoteReference"/>
          <w:lang w:val="la-Latn"/>
        </w:rPr>
        <w:footnoteReference w:id="540"/>
      </w:r>
      <w:r w:rsidRPr="003C3536">
        <w:rPr>
          <w:lang w:val="la-Latn"/>
        </w:rPr>
        <w:t xml:space="preserve"> malum atque timorem malosque, motus</w:t>
      </w:r>
      <w:r w:rsidRPr="003C3536">
        <w:rPr>
          <w:rStyle w:val="FootnoteReference"/>
          <w:lang w:val="la-Latn"/>
        </w:rPr>
        <w:footnoteReference w:id="541"/>
      </w:r>
      <w:r w:rsidRPr="003C3536">
        <w:rPr>
          <w:lang w:val="la-Latn"/>
        </w:rPr>
        <w:t xml:space="preserve"> ac in promisso mendacium presingnabunt.</w:t>
      </w:r>
      <w:r w:rsidRPr="003C3536">
        <w:rPr>
          <w:rStyle w:val="FootnoteReference"/>
          <w:lang w:val="la-Latn"/>
        </w:rPr>
        <w:footnoteReference w:id="542"/>
      </w:r>
      <w:r w:rsidRPr="003C3536">
        <w:rPr>
          <w:lang w:val="la-Latn"/>
        </w:rPr>
        <w:t xml:space="preserve"> </w:t>
      </w:r>
    </w:p>
    <w:p w14:paraId="5111AC18" w14:textId="05F33AEC" w:rsidR="00242EFA" w:rsidRPr="003C3536" w:rsidRDefault="00242EFA" w:rsidP="00242EFA">
      <w:pPr>
        <w:rPr>
          <w:lang w:val="la-Latn"/>
        </w:rPr>
      </w:pPr>
      <w:r w:rsidRPr="003C3536">
        <w:rPr>
          <w:lang w:val="la-Latn"/>
        </w:rPr>
        <w:t>3</w:t>
      </w:r>
      <w:r w:rsidRPr="003C3536">
        <w:rPr>
          <w:lang w:val="la-Latn"/>
        </w:rPr>
        <w:tab/>
        <w:t xml:space="preserve"> Secunda vero</w:t>
      </w:r>
      <w:r w:rsidR="00C74DA2" w:rsidRPr="003C3536">
        <w:rPr>
          <w:lang w:val="la-Latn"/>
        </w:rPr>
        <w:t>,</w:t>
      </w:r>
      <w:r w:rsidRPr="003C3536">
        <w:rPr>
          <w:rStyle w:val="FootnoteReference"/>
          <w:lang w:val="la-Latn"/>
        </w:rPr>
        <w:footnoteReference w:id="543"/>
      </w:r>
      <w:r w:rsidRPr="003C3536">
        <w:rPr>
          <w:lang w:val="la-Latn"/>
        </w:rPr>
        <w:t xml:space="preserve"> quam</w:t>
      </w:r>
      <w:r w:rsidRPr="003C3536">
        <w:rPr>
          <w:rStyle w:val="FootnoteReference"/>
          <w:lang w:val="la-Latn"/>
        </w:rPr>
        <w:footnoteReference w:id="544"/>
      </w:r>
      <w:r w:rsidRPr="003C3536">
        <w:rPr>
          <w:lang w:val="la-Latn"/>
        </w:rPr>
        <w:t xml:space="preserve"> terrazel appellarunt, boni alacritatis</w:t>
      </w:r>
      <w:r w:rsidRPr="003C3536">
        <w:rPr>
          <w:rStyle w:val="FootnoteReference"/>
          <w:lang w:val="la-Latn"/>
        </w:rPr>
        <w:footnoteReference w:id="545"/>
      </w:r>
      <w:r w:rsidRPr="003C3536">
        <w:rPr>
          <w:lang w:val="la-Latn"/>
        </w:rPr>
        <w:t xml:space="preserve"> que est significatrix, hec est (2111),</w:t>
      </w:r>
      <w:r w:rsidRPr="003C3536">
        <w:rPr>
          <w:rStyle w:val="FootnoteReference"/>
          <w:lang w:val="la-Latn"/>
        </w:rPr>
        <w:footnoteReference w:id="546"/>
      </w:r>
      <w:r w:rsidRPr="003C3536">
        <w:rPr>
          <w:lang w:val="la-Latn"/>
        </w:rPr>
        <w:t xml:space="preserve"> que si in questione pregnantis acciderit, filium significabit.</w:t>
      </w:r>
      <w:r w:rsidRPr="003C3536">
        <w:rPr>
          <w:rStyle w:val="FootnoteReference"/>
          <w:lang w:val="la-Latn"/>
        </w:rPr>
        <w:footnoteReference w:id="547"/>
      </w:r>
      <w:r w:rsidRPr="003C3536">
        <w:rPr>
          <w:lang w:val="la-Latn"/>
        </w:rPr>
        <w:t xml:space="preserve"> Si autem pro</w:t>
      </w:r>
      <w:r w:rsidRPr="003C3536">
        <w:rPr>
          <w:rStyle w:val="FootnoteReference"/>
          <w:lang w:val="la-Latn"/>
        </w:rPr>
        <w:footnoteReference w:id="548"/>
      </w:r>
      <w:r w:rsidRPr="003C3536">
        <w:rPr>
          <w:lang w:val="la-Latn"/>
        </w:rPr>
        <w:t xml:space="preserve"> iter agentibus</w:t>
      </w:r>
      <w:r w:rsidRPr="003C3536">
        <w:rPr>
          <w:rStyle w:val="FootnoteReference"/>
          <w:lang w:val="la-Latn"/>
        </w:rPr>
        <w:footnoteReference w:id="549"/>
      </w:r>
      <w:r w:rsidRPr="003C3536">
        <w:rPr>
          <w:lang w:val="la-Latn"/>
        </w:rPr>
        <w:t xml:space="preserve"> apparuerit eorum citum red&lt;d&gt;itum demonstrabit. Quod</w:t>
      </w:r>
      <w:r w:rsidRPr="003C3536">
        <w:rPr>
          <w:rStyle w:val="FootnoteReference"/>
          <w:lang w:val="la-Latn"/>
        </w:rPr>
        <w:footnoteReference w:id="550"/>
      </w:r>
      <w:r w:rsidRPr="003C3536">
        <w:rPr>
          <w:lang w:val="la-Latn"/>
        </w:rPr>
        <w:t xml:space="preserve"> si cuilibet</w:t>
      </w:r>
      <w:r w:rsidRPr="003C3536">
        <w:rPr>
          <w:rStyle w:val="FootnoteReference"/>
          <w:lang w:val="la-Latn"/>
        </w:rPr>
        <w:footnoteReference w:id="551"/>
      </w:r>
      <w:r w:rsidRPr="003C3536">
        <w:rPr>
          <w:lang w:val="la-Latn"/>
        </w:rPr>
        <w:t xml:space="preserve"> ire</w:t>
      </w:r>
      <w:r w:rsidRPr="003C3536">
        <w:rPr>
          <w:rStyle w:val="FootnoteReference"/>
          <w:lang w:val="la-Latn"/>
        </w:rPr>
        <w:footnoteReference w:id="552"/>
      </w:r>
      <w:r w:rsidRPr="003C3536">
        <w:rPr>
          <w:lang w:val="la-Latn"/>
        </w:rPr>
        <w:t xml:space="preserve"> volenti punctando contigerit,</w:t>
      </w:r>
      <w:r w:rsidRPr="003C3536">
        <w:rPr>
          <w:rStyle w:val="FootnoteReference"/>
          <w:lang w:val="la-Latn"/>
        </w:rPr>
        <w:footnoteReference w:id="553"/>
      </w:r>
      <w:r w:rsidRPr="003C3536">
        <w:rPr>
          <w:lang w:val="la-Latn"/>
        </w:rPr>
        <w:t xml:space="preserve"> eum</w:t>
      </w:r>
      <w:r w:rsidRPr="003C3536">
        <w:rPr>
          <w:rStyle w:val="FootnoteReference"/>
          <w:lang w:val="la-Latn"/>
        </w:rPr>
        <w:footnoteReference w:id="554"/>
      </w:r>
      <w:r w:rsidRPr="003C3536">
        <w:rPr>
          <w:lang w:val="la-Latn"/>
        </w:rPr>
        <w:t xml:space="preserve"> cito</w:t>
      </w:r>
      <w:r w:rsidRPr="003C3536">
        <w:rPr>
          <w:rStyle w:val="FootnoteReference"/>
          <w:lang w:val="la-Latn"/>
        </w:rPr>
        <w:footnoteReference w:id="555"/>
      </w:r>
      <w:r w:rsidRPr="003C3536">
        <w:rPr>
          <w:lang w:val="la-Latn"/>
        </w:rPr>
        <w:t xml:space="preserve"> dissessurum</w:t>
      </w:r>
      <w:r w:rsidRPr="003C3536">
        <w:rPr>
          <w:rStyle w:val="FootnoteReference"/>
          <w:lang w:val="la-Latn"/>
        </w:rPr>
        <w:footnoteReference w:id="556"/>
      </w:r>
      <w:r w:rsidRPr="003C3536">
        <w:rPr>
          <w:lang w:val="la-Latn"/>
        </w:rPr>
        <w:t xml:space="preserve"> anunciabit.</w:t>
      </w:r>
      <w:r w:rsidRPr="003C3536">
        <w:rPr>
          <w:rStyle w:val="FootnoteReference"/>
          <w:lang w:val="la-Latn"/>
        </w:rPr>
        <w:footnoteReference w:id="557"/>
      </w:r>
    </w:p>
    <w:p w14:paraId="2E03ED83" w14:textId="03544350" w:rsidR="00242EFA" w:rsidRPr="003C3536" w:rsidRDefault="00242EFA" w:rsidP="00242EFA">
      <w:pPr>
        <w:rPr>
          <w:lang w:val="la-Latn"/>
        </w:rPr>
      </w:pPr>
      <w:r w:rsidRPr="003C3536">
        <w:rPr>
          <w:lang w:val="la-Latn"/>
        </w:rPr>
        <w:t>4</w:t>
      </w:r>
      <w:r w:rsidRPr="003C3536">
        <w:rPr>
          <w:lang w:val="la-Latn"/>
        </w:rPr>
        <w:tab/>
        <w:t xml:space="preserve"> Pars autem tertia,</w:t>
      </w:r>
      <w:r w:rsidRPr="003C3536">
        <w:rPr>
          <w:rStyle w:val="FootnoteReference"/>
          <w:lang w:val="la-Latn"/>
        </w:rPr>
        <w:footnoteReference w:id="558"/>
      </w:r>
      <w:r w:rsidRPr="003C3536">
        <w:rPr>
          <w:lang w:val="la-Latn"/>
        </w:rPr>
        <w:t xml:space="preserve"> quam sultan, id est</w:t>
      </w:r>
      <w:r w:rsidRPr="003C3536">
        <w:rPr>
          <w:rStyle w:val="FootnoteReference"/>
          <w:lang w:val="la-Latn"/>
        </w:rPr>
        <w:footnoteReference w:id="559"/>
      </w:r>
      <w:r w:rsidRPr="003C3536">
        <w:rPr>
          <w:lang w:val="la-Latn"/>
        </w:rPr>
        <w:t xml:space="preserve"> regem,</w:t>
      </w:r>
      <w:r w:rsidRPr="003C3536">
        <w:rPr>
          <w:rStyle w:val="FootnoteReference"/>
          <w:lang w:val="la-Latn"/>
        </w:rPr>
        <w:footnoteReference w:id="560"/>
      </w:r>
      <w:r w:rsidRPr="003C3536">
        <w:rPr>
          <w:lang w:val="la-Latn"/>
        </w:rPr>
        <w:t xml:space="preserve"> nuncupaverunt cuius significatio ad reges et potentes pertinet,</w:t>
      </w:r>
      <w:r w:rsidRPr="003C3536">
        <w:rPr>
          <w:rStyle w:val="FootnoteReference"/>
          <w:lang w:val="la-Latn"/>
        </w:rPr>
        <w:t xml:space="preserve"> </w:t>
      </w:r>
      <w:r w:rsidRPr="003C3536">
        <w:rPr>
          <w:rStyle w:val="FootnoteReference"/>
          <w:lang w:val="la-Latn"/>
        </w:rPr>
        <w:footnoteReference w:id="561"/>
      </w:r>
      <w:r w:rsidRPr="003C3536">
        <w:rPr>
          <w:lang w:val="la-Latn"/>
        </w:rPr>
        <w:t xml:space="preserve"> et in omnibus est conveniens</w:t>
      </w:r>
      <w:r w:rsidR="006B716D" w:rsidRPr="003C3536">
        <w:rPr>
          <w:lang w:val="la-Latn"/>
        </w:rPr>
        <w:t>,</w:t>
      </w:r>
      <w:r w:rsidRPr="003C3536">
        <w:rPr>
          <w:lang w:val="la-Latn"/>
        </w:rPr>
        <w:t xml:space="preserve"> formatur</w:t>
      </w:r>
      <w:r w:rsidR="006B716D" w:rsidRPr="003C3536">
        <w:rPr>
          <w:lang w:val="la-Latn"/>
        </w:rPr>
        <w:t>:</w:t>
      </w:r>
      <w:r w:rsidRPr="003C3536">
        <w:rPr>
          <w:lang w:val="la-Latn"/>
        </w:rPr>
        <w:t xml:space="preserve"> (1121).</w:t>
      </w:r>
      <w:r w:rsidRPr="003C3536">
        <w:rPr>
          <w:rStyle w:val="FootnoteReference"/>
          <w:lang w:val="la-Latn"/>
        </w:rPr>
        <w:footnoteReference w:id="562"/>
      </w:r>
      <w:r w:rsidRPr="003C3536">
        <w:rPr>
          <w:lang w:val="la-Latn"/>
        </w:rPr>
        <w:t xml:space="preserve"> Quarta, qui</w:t>
      </w:r>
      <w:r w:rsidRPr="003C3536">
        <w:rPr>
          <w:rStyle w:val="FootnoteReference"/>
          <w:lang w:val="la-Latn"/>
        </w:rPr>
        <w:footnoteReference w:id="563"/>
      </w:r>
      <w:r w:rsidRPr="003C3536">
        <w:rPr>
          <w:lang w:val="la-Latn"/>
        </w:rPr>
        <w:t xml:space="preserve"> dicitur alagen,</w:t>
      </w:r>
      <w:r w:rsidRPr="003C3536">
        <w:rPr>
          <w:rStyle w:val="FootnoteReference"/>
          <w:lang w:val="la-Latn"/>
        </w:rPr>
        <w:footnoteReference w:id="564"/>
      </w:r>
      <w:r w:rsidRPr="003C3536">
        <w:rPr>
          <w:lang w:val="la-Latn"/>
        </w:rPr>
        <w:t xml:space="preserve"> eo quod grandem habebat barbam, sic fit</w:t>
      </w:r>
      <w:r w:rsidRPr="003C3536">
        <w:rPr>
          <w:rStyle w:val="FootnoteReference"/>
          <w:lang w:val="la-Latn"/>
        </w:rPr>
        <w:footnoteReference w:id="565"/>
      </w:r>
      <w:r w:rsidRPr="003C3536">
        <w:rPr>
          <w:lang w:val="la-Latn"/>
        </w:rPr>
        <w:t xml:space="preserve"> (1222). Hec autem vice comitibus</w:t>
      </w:r>
      <w:r w:rsidRPr="003C3536">
        <w:rPr>
          <w:rStyle w:val="FootnoteReference"/>
          <w:lang w:val="la-Latn"/>
        </w:rPr>
        <w:footnoteReference w:id="566"/>
      </w:r>
      <w:r w:rsidRPr="003C3536">
        <w:rPr>
          <w:lang w:val="la-Latn"/>
        </w:rPr>
        <w:t xml:space="preserve"> et magna corpora grandesque</w:t>
      </w:r>
      <w:r w:rsidRPr="003C3536">
        <w:rPr>
          <w:rStyle w:val="FootnoteReference"/>
          <w:lang w:val="la-Latn"/>
        </w:rPr>
        <w:footnoteReference w:id="567"/>
      </w:r>
      <w:r w:rsidRPr="003C3536">
        <w:rPr>
          <w:lang w:val="la-Latn"/>
        </w:rPr>
        <w:t xml:space="preserve"> habentibus</w:t>
      </w:r>
      <w:r w:rsidRPr="003C3536">
        <w:rPr>
          <w:rStyle w:val="FootnoteReference"/>
          <w:lang w:val="la-Latn"/>
        </w:rPr>
        <w:footnoteReference w:id="568"/>
      </w:r>
      <w:r w:rsidRPr="003C3536">
        <w:rPr>
          <w:lang w:val="la-Latn"/>
        </w:rPr>
        <w:t xml:space="preserve"> significationem portat.</w:t>
      </w:r>
      <w:r w:rsidRPr="003C3536">
        <w:rPr>
          <w:rStyle w:val="FootnoteReference"/>
          <w:lang w:val="la-Latn"/>
        </w:rPr>
        <w:footnoteReference w:id="569"/>
      </w:r>
      <w:r w:rsidRPr="003C3536">
        <w:rPr>
          <w:lang w:val="la-Latn"/>
        </w:rPr>
        <w:t xml:space="preserve"> Significat in</w:t>
      </w:r>
      <w:r w:rsidRPr="003C3536">
        <w:rPr>
          <w:rStyle w:val="FootnoteReference"/>
          <w:lang w:val="la-Latn"/>
        </w:rPr>
        <w:footnoteReference w:id="570"/>
      </w:r>
      <w:r w:rsidRPr="003C3536">
        <w:rPr>
          <w:lang w:val="la-Latn"/>
        </w:rPr>
        <w:t xml:space="preserve"> gaudium et in sua significatione fortis ex[c]istit.</w:t>
      </w:r>
      <w:r w:rsidRPr="003C3536">
        <w:rPr>
          <w:rStyle w:val="FootnoteReference"/>
          <w:lang w:val="la-Latn"/>
        </w:rPr>
        <w:footnoteReference w:id="571"/>
      </w:r>
      <w:r w:rsidRPr="003C3536">
        <w:rPr>
          <w:lang w:val="la-Latn"/>
        </w:rPr>
        <w:t xml:space="preserve"> </w:t>
      </w:r>
    </w:p>
    <w:p w14:paraId="67BB776E" w14:textId="00196E55" w:rsidR="00242EFA" w:rsidRPr="003C3536" w:rsidRDefault="00242EFA" w:rsidP="00242EFA">
      <w:pPr>
        <w:rPr>
          <w:lang w:val="la-Latn"/>
        </w:rPr>
      </w:pPr>
      <w:r w:rsidRPr="003C3536">
        <w:rPr>
          <w:lang w:val="la-Latn"/>
        </w:rPr>
        <w:t>5</w:t>
      </w:r>
      <w:r w:rsidRPr="003C3536">
        <w:rPr>
          <w:b/>
          <w:bCs/>
          <w:lang w:val="la-Latn"/>
        </w:rPr>
        <w:tab/>
      </w:r>
      <w:r w:rsidRPr="003C3536">
        <w:rPr>
          <w:lang w:val="la-Latn"/>
        </w:rPr>
        <w:t xml:space="preserve"> Quinta vero, quam alastar dicunt, id est viride&lt;m&gt; habentem</w:t>
      </w:r>
      <w:r w:rsidRPr="003C3536">
        <w:rPr>
          <w:rStyle w:val="FootnoteReference"/>
          <w:lang w:val="la-Latn"/>
        </w:rPr>
        <w:footnoteReference w:id="572"/>
      </w:r>
      <w:r w:rsidRPr="003C3536">
        <w:rPr>
          <w:lang w:val="la-Latn"/>
        </w:rPr>
        <w:t xml:space="preserve"> colorem et epheborum</w:t>
      </w:r>
      <w:r w:rsidRPr="003C3536">
        <w:rPr>
          <w:rStyle w:val="FootnoteReference"/>
          <w:lang w:val="la-Latn"/>
        </w:rPr>
        <w:footnoteReference w:id="573"/>
      </w:r>
      <w:r w:rsidRPr="003C3536">
        <w:rPr>
          <w:lang w:val="la-Latn"/>
        </w:rPr>
        <w:t xml:space="preserve"> significatrix</w:t>
      </w:r>
      <w:r w:rsidRPr="003C3536">
        <w:rPr>
          <w:rStyle w:val="FootnoteReference"/>
          <w:lang w:val="la-Latn"/>
        </w:rPr>
        <w:footnoteReference w:id="574"/>
      </w:r>
      <w:r w:rsidRPr="003C3536">
        <w:rPr>
          <w:lang w:val="la-Latn"/>
        </w:rPr>
        <w:t xml:space="preserve"> hec est (1211). Que</w:t>
      </w:r>
      <w:r w:rsidRPr="003C3536">
        <w:rPr>
          <w:rStyle w:val="FootnoteReference"/>
          <w:lang w:val="la-Latn"/>
        </w:rPr>
        <w:footnoteReference w:id="575"/>
      </w:r>
      <w:r w:rsidRPr="003C3536">
        <w:rPr>
          <w:lang w:val="la-Latn"/>
        </w:rPr>
        <w:t xml:space="preserve"> cum in punctando bis vel eo quod amplius accidit,</w:t>
      </w:r>
      <w:r w:rsidRPr="003C3536">
        <w:rPr>
          <w:rStyle w:val="FootnoteReference"/>
          <w:lang w:val="la-Latn"/>
        </w:rPr>
        <w:footnoteReference w:id="576"/>
      </w:r>
      <w:r w:rsidRPr="003C3536">
        <w:rPr>
          <w:lang w:val="la-Latn"/>
        </w:rPr>
        <w:t xml:space="preserve"> timorem, fulgura,</w:t>
      </w:r>
      <w:r w:rsidRPr="003C3536">
        <w:rPr>
          <w:rStyle w:val="FootnoteReference"/>
          <w:lang w:val="la-Latn"/>
        </w:rPr>
        <w:footnoteReference w:id="577"/>
      </w:r>
      <w:r w:rsidRPr="003C3536">
        <w:rPr>
          <w:lang w:val="la-Latn"/>
        </w:rPr>
        <w:t xml:space="preserve"> occisiones, mala queque et prelia, deinde quicquid ad dolorem pertinet et tristiciam significabit.</w:t>
      </w:r>
      <w:r w:rsidRPr="003C3536">
        <w:rPr>
          <w:rStyle w:val="FootnoteReference"/>
          <w:lang w:val="la-Latn"/>
        </w:rPr>
        <w:footnoteReference w:id="578"/>
      </w:r>
      <w:r w:rsidRPr="003C3536">
        <w:rPr>
          <w:lang w:val="la-Latn"/>
        </w:rPr>
        <w:t xml:space="preserve"> Sexta vero pars,</w:t>
      </w:r>
      <w:r w:rsidRPr="003C3536">
        <w:rPr>
          <w:rStyle w:val="FootnoteReference"/>
          <w:lang w:val="la-Latn"/>
        </w:rPr>
        <w:footnoteReference w:id="579"/>
      </w:r>
      <w:r w:rsidRPr="003C3536">
        <w:rPr>
          <w:lang w:val="la-Latn"/>
        </w:rPr>
        <w:t xml:space="preserve"> que almantitus dicitur,</w:t>
      </w:r>
      <w:r w:rsidRPr="003C3536">
        <w:rPr>
          <w:rStyle w:val="FootnoteReference"/>
          <w:lang w:val="la-Latn"/>
        </w:rPr>
        <w:footnoteReference w:id="580"/>
      </w:r>
      <w:r w:rsidRPr="003C3536">
        <w:rPr>
          <w:lang w:val="la-Latn"/>
        </w:rPr>
        <w:t xml:space="preserve"> id est conversa, cuius signatio</w:t>
      </w:r>
      <w:r w:rsidRPr="003C3536">
        <w:rPr>
          <w:rStyle w:val="FootnoteReference"/>
          <w:lang w:val="la-Latn"/>
        </w:rPr>
        <w:footnoteReference w:id="581"/>
      </w:r>
      <w:r w:rsidRPr="003C3536">
        <w:rPr>
          <w:lang w:val="la-Latn"/>
        </w:rPr>
        <w:t xml:space="preserve"> rebus</w:t>
      </w:r>
      <w:r w:rsidRPr="003C3536">
        <w:rPr>
          <w:rStyle w:val="FootnoteReference"/>
          <w:lang w:val="la-Latn"/>
        </w:rPr>
        <w:footnoteReference w:id="582"/>
      </w:r>
      <w:r w:rsidRPr="003C3536">
        <w:rPr>
          <w:lang w:val="la-Latn"/>
        </w:rPr>
        <w:t xml:space="preserve"> femineis,</w:t>
      </w:r>
      <w:r w:rsidRPr="003C3536">
        <w:rPr>
          <w:rStyle w:val="FootnoteReference"/>
          <w:lang w:val="la-Latn"/>
        </w:rPr>
        <w:footnoteReference w:id="583"/>
      </w:r>
      <w:r w:rsidRPr="003C3536">
        <w:rPr>
          <w:lang w:val="la-Latn"/>
        </w:rPr>
        <w:t xml:space="preserve"> nec non coloribus a nigro</w:t>
      </w:r>
      <w:r w:rsidRPr="003C3536">
        <w:rPr>
          <w:rStyle w:val="FootnoteReference"/>
          <w:lang w:val="la-Latn"/>
        </w:rPr>
        <w:footnoteReference w:id="584"/>
      </w:r>
      <w:r w:rsidRPr="003C3536">
        <w:rPr>
          <w:lang w:val="la-Latn"/>
        </w:rPr>
        <w:t xml:space="preserve"> alboque distantibus pertinet, taliter ordinat</w:t>
      </w:r>
      <w:r w:rsidRPr="003C3536">
        <w:rPr>
          <w:rStyle w:val="FootnoteReference"/>
          <w:lang w:val="la-Latn"/>
        </w:rPr>
        <w:footnoteReference w:id="585"/>
      </w:r>
      <w:r w:rsidRPr="003C3536">
        <w:rPr>
          <w:lang w:val="la-Latn"/>
        </w:rPr>
        <w:t xml:space="preserve"> (1122).</w:t>
      </w:r>
      <w:r w:rsidRPr="003C3536">
        <w:rPr>
          <w:rStyle w:val="FootnoteReference"/>
          <w:lang w:val="la-Latn"/>
        </w:rPr>
        <w:footnoteReference w:id="586"/>
      </w:r>
      <w:r w:rsidRPr="003C3536">
        <w:rPr>
          <w:lang w:val="la-Latn"/>
        </w:rPr>
        <w:t xml:space="preserve">  </w:t>
      </w:r>
    </w:p>
    <w:p w14:paraId="1DE1A3AF" w14:textId="77777777" w:rsidR="00242EFA" w:rsidRPr="003C3536" w:rsidRDefault="00242EFA" w:rsidP="00242EFA">
      <w:pPr>
        <w:rPr>
          <w:lang w:val="la-Latn"/>
        </w:rPr>
      </w:pPr>
      <w:r w:rsidRPr="003C3536">
        <w:rPr>
          <w:lang w:val="la-Latn"/>
        </w:rPr>
        <w:t>6</w:t>
      </w:r>
      <w:r w:rsidRPr="003C3536">
        <w:rPr>
          <w:lang w:val="la-Latn"/>
        </w:rPr>
        <w:tab/>
        <w:t>Septima vero, quam tanzel,</w:t>
      </w:r>
      <w:r w:rsidRPr="003C3536">
        <w:rPr>
          <w:rStyle w:val="FootnoteReference"/>
          <w:lang w:val="la-Latn"/>
        </w:rPr>
        <w:footnoteReference w:id="587"/>
      </w:r>
      <w:r w:rsidRPr="003C3536">
        <w:rPr>
          <w:lang w:val="la-Latn"/>
        </w:rPr>
        <w:t xml:space="preserve"> id est conversam, appellarunt hoc modo punctatur (1112). Hec autem rei quesite firmitatem</w:t>
      </w:r>
      <w:r w:rsidRPr="003C3536">
        <w:rPr>
          <w:rStyle w:val="FootnoteReference"/>
          <w:lang w:val="la-Latn"/>
        </w:rPr>
        <w:footnoteReference w:id="588"/>
      </w:r>
      <w:r w:rsidRPr="003C3536">
        <w:rPr>
          <w:lang w:val="la-Latn"/>
        </w:rPr>
        <w:t xml:space="preserve"> anunciat, preter quod eiusd&lt;em&gt; rei tarditatem demonstrat. Cumque in</w:t>
      </w:r>
      <w:r w:rsidRPr="003C3536">
        <w:rPr>
          <w:rStyle w:val="FootnoteReference"/>
          <w:lang w:val="la-Latn"/>
        </w:rPr>
        <w:footnoteReference w:id="589"/>
      </w:r>
      <w:r w:rsidRPr="003C3536">
        <w:rPr>
          <w:lang w:val="la-Latn"/>
        </w:rPr>
        <w:t xml:space="preserve"> peregrinationis questione talis evenerit, forma tardum iter indicabit.</w:t>
      </w:r>
      <w:r w:rsidRPr="003C3536">
        <w:rPr>
          <w:rStyle w:val="FootnoteReference"/>
          <w:lang w:val="la-Latn"/>
        </w:rPr>
        <w:footnoteReference w:id="590"/>
      </w:r>
      <w:r w:rsidRPr="003C3536">
        <w:rPr>
          <w:lang w:val="la-Latn"/>
        </w:rPr>
        <w:t xml:space="preserve"> Si vero in egrotationis</w:t>
      </w:r>
      <w:r w:rsidRPr="003C3536">
        <w:rPr>
          <w:rStyle w:val="FootnoteReference"/>
          <w:lang w:val="la-Latn"/>
        </w:rPr>
        <w:footnoteReference w:id="591"/>
      </w:r>
      <w:r w:rsidRPr="003C3536">
        <w:rPr>
          <w:lang w:val="la-Latn"/>
        </w:rPr>
        <w:t xml:space="preserve"> questione nascetur, eius longam infirmitatem /120v</w:t>
      </w:r>
      <w:r w:rsidRPr="003C3536">
        <w:rPr>
          <w:b/>
          <w:bCs/>
          <w:lang w:val="la-Latn"/>
        </w:rPr>
        <w:t>/</w:t>
      </w:r>
      <w:r w:rsidRPr="003C3536">
        <w:rPr>
          <w:lang w:val="la-Latn"/>
        </w:rPr>
        <w:t xml:space="preserve"> presignificat.</w:t>
      </w:r>
      <w:r w:rsidRPr="003C3536">
        <w:rPr>
          <w:rStyle w:val="FootnoteReference"/>
          <w:lang w:val="la-Latn"/>
        </w:rPr>
        <w:footnoteReference w:id="592"/>
      </w:r>
      <w:r w:rsidRPr="003C3536">
        <w:rPr>
          <w:lang w:val="la-Latn"/>
        </w:rPr>
        <w:t xml:space="preserve"> Quod</w:t>
      </w:r>
      <w:r w:rsidRPr="003C3536">
        <w:rPr>
          <w:rStyle w:val="FootnoteReference"/>
          <w:lang w:val="la-Latn"/>
        </w:rPr>
        <w:footnoteReference w:id="593"/>
      </w:r>
      <w:r w:rsidRPr="003C3536">
        <w:rPr>
          <w:lang w:val="la-Latn"/>
        </w:rPr>
        <w:t xml:space="preserve"> si in questione promissionis provenerit,</w:t>
      </w:r>
      <w:r w:rsidRPr="003C3536">
        <w:rPr>
          <w:rStyle w:val="FootnoteReference"/>
          <w:lang w:val="la-Latn"/>
        </w:rPr>
        <w:footnoteReference w:id="594"/>
      </w:r>
      <w:r w:rsidRPr="003C3536">
        <w:rPr>
          <w:lang w:val="la-Latn"/>
        </w:rPr>
        <w:t xml:space="preserve"> promissorem</w:t>
      </w:r>
      <w:r w:rsidRPr="003C3536">
        <w:rPr>
          <w:rStyle w:val="FootnoteReference"/>
          <w:lang w:val="la-Latn"/>
        </w:rPr>
        <w:footnoteReference w:id="595"/>
      </w:r>
      <w:r w:rsidRPr="003C3536">
        <w:rPr>
          <w:lang w:val="la-Latn"/>
        </w:rPr>
        <w:t xml:space="preserve"> mendacem</w:t>
      </w:r>
      <w:r w:rsidRPr="003C3536">
        <w:rPr>
          <w:rStyle w:val="FootnoteReference"/>
          <w:lang w:val="la-Latn"/>
        </w:rPr>
        <w:footnoteReference w:id="596"/>
      </w:r>
      <w:r w:rsidRPr="003C3536">
        <w:rPr>
          <w:lang w:val="la-Latn"/>
        </w:rPr>
        <w:t xml:space="preserve"> indicat.</w:t>
      </w:r>
      <w:r w:rsidRPr="003C3536">
        <w:rPr>
          <w:rStyle w:val="FootnoteReference"/>
          <w:lang w:val="la-Latn"/>
        </w:rPr>
        <w:footnoteReference w:id="597"/>
      </w:r>
      <w:r w:rsidRPr="003C3536">
        <w:rPr>
          <w:lang w:val="la-Latn"/>
        </w:rPr>
        <w:t xml:space="preserve"> </w:t>
      </w:r>
    </w:p>
    <w:p w14:paraId="7451398D" w14:textId="75C54C29" w:rsidR="00242EFA" w:rsidRPr="003C3536" w:rsidRDefault="00242EFA" w:rsidP="00242EFA">
      <w:pPr>
        <w:rPr>
          <w:lang w:val="la-Latn"/>
        </w:rPr>
      </w:pPr>
      <w:r w:rsidRPr="003C3536">
        <w:rPr>
          <w:b/>
          <w:bCs/>
          <w:lang w:val="la-Latn"/>
        </w:rPr>
        <w:t>7</w:t>
      </w:r>
      <w:r w:rsidRPr="003C3536">
        <w:rPr>
          <w:b/>
          <w:bCs/>
          <w:lang w:val="la-Latn"/>
        </w:rPr>
        <w:tab/>
      </w:r>
      <w:r w:rsidRPr="003C3536">
        <w:rPr>
          <w:lang w:val="la-Latn"/>
        </w:rPr>
        <w:t>Octava vero,</w:t>
      </w:r>
      <w:r w:rsidRPr="003C3536">
        <w:rPr>
          <w:rStyle w:val="FootnoteReference"/>
          <w:lang w:val="la-Latn"/>
        </w:rPr>
        <w:footnoteReference w:id="598"/>
      </w:r>
      <w:r w:rsidRPr="003C3536">
        <w:rPr>
          <w:lang w:val="la-Latn"/>
        </w:rPr>
        <w:t xml:space="preserve"> que hafaram,</w:t>
      </w:r>
      <w:r w:rsidRPr="003C3536">
        <w:rPr>
          <w:rStyle w:val="FootnoteReference"/>
          <w:lang w:val="la-Latn"/>
        </w:rPr>
        <w:footnoteReference w:id="599"/>
      </w:r>
      <w:r w:rsidRPr="003C3536">
        <w:rPr>
          <w:lang w:val="la-Latn"/>
        </w:rPr>
        <w:t xml:space="preserve"> id est testa capitis vocatur</w:t>
      </w:r>
      <w:r w:rsidR="00DD61CD" w:rsidRPr="003C3536">
        <w:rPr>
          <w:lang w:val="la-Latn"/>
        </w:rPr>
        <w:t>.</w:t>
      </w:r>
      <w:r w:rsidRPr="003C3536">
        <w:rPr>
          <w:rStyle w:val="FootnoteReference"/>
          <w:lang w:val="la-Latn"/>
        </w:rPr>
        <w:footnoteReference w:id="600"/>
      </w:r>
      <w:r w:rsidRPr="003C3536">
        <w:rPr>
          <w:lang w:val="la-Latn"/>
        </w:rPr>
        <w:t xml:space="preserve"> Hec est</w:t>
      </w:r>
      <w:r w:rsidRPr="003C3536">
        <w:rPr>
          <w:rStyle w:val="FootnoteReference"/>
          <w:lang w:val="la-Latn"/>
        </w:rPr>
        <w:footnoteReference w:id="601"/>
      </w:r>
      <w:r w:rsidRPr="003C3536">
        <w:rPr>
          <w:lang w:val="la-Latn"/>
        </w:rPr>
        <w:t xml:space="preserve"> </w:t>
      </w:r>
      <w:r w:rsidR="00DD61CD" w:rsidRPr="003C3536">
        <w:rPr>
          <w:lang w:val="la-Latn"/>
        </w:rPr>
        <w:t>(1221)</w:t>
      </w:r>
      <w:r w:rsidR="002F2B5B" w:rsidRPr="003C3536">
        <w:rPr>
          <w:lang w:val="la-Latn"/>
        </w:rPr>
        <w:t>.</w:t>
      </w:r>
      <w:r w:rsidR="00DD61CD" w:rsidRPr="003C3536">
        <w:rPr>
          <w:lang w:val="la-Latn"/>
        </w:rPr>
        <w:t xml:space="preserve"> </w:t>
      </w:r>
      <w:r w:rsidR="002F2B5B" w:rsidRPr="003C3536">
        <w:rPr>
          <w:lang w:val="la-Latn"/>
        </w:rPr>
        <w:t>C</w:t>
      </w:r>
      <w:r w:rsidRPr="003C3536">
        <w:rPr>
          <w:lang w:val="la-Latn"/>
        </w:rPr>
        <w:t>uius significatio rebus femineis,</w:t>
      </w:r>
      <w:r w:rsidRPr="003C3536">
        <w:rPr>
          <w:rStyle w:val="FootnoteReference"/>
          <w:lang w:val="la-Latn"/>
        </w:rPr>
        <w:footnoteReference w:id="602"/>
      </w:r>
      <w:r w:rsidRPr="003C3536">
        <w:rPr>
          <w:lang w:val="la-Latn"/>
        </w:rPr>
        <w:t xml:space="preserve"> anxietatibus, infirmitatibus, nec non et rebus amissis attinet.</w:t>
      </w:r>
      <w:r w:rsidRPr="003C3536">
        <w:rPr>
          <w:rStyle w:val="FootnoteReference"/>
          <w:lang w:val="la-Latn"/>
        </w:rPr>
        <w:footnoteReference w:id="603"/>
      </w:r>
      <w:r w:rsidRPr="003C3536">
        <w:rPr>
          <w:lang w:val="la-Latn"/>
        </w:rPr>
        <w:t xml:space="preserve"> Nona vero, que mustanar</w:t>
      </w:r>
      <w:r w:rsidRPr="003C3536">
        <w:rPr>
          <w:rStyle w:val="FootnoteReference"/>
          <w:lang w:val="la-Latn"/>
        </w:rPr>
        <w:footnoteReference w:id="604"/>
      </w:r>
      <w:r w:rsidRPr="003C3536">
        <w:rPr>
          <w:lang w:val="la-Latn"/>
        </w:rPr>
        <w:t xml:space="preserve"> dicitur, id est veri</w:t>
      </w:r>
      <w:r w:rsidRPr="003C3536">
        <w:rPr>
          <w:rStyle w:val="FootnoteReference"/>
          <w:lang w:val="la-Latn"/>
        </w:rPr>
        <w:footnoteReference w:id="605"/>
      </w:r>
      <w:r w:rsidRPr="003C3536">
        <w:rPr>
          <w:lang w:val="la-Latn"/>
        </w:rPr>
        <w:t xml:space="preserve"> boni et quietis,</w:t>
      </w:r>
      <w:r w:rsidRPr="003C3536">
        <w:rPr>
          <w:rStyle w:val="FootnoteReference"/>
          <w:lang w:val="la-Latn"/>
        </w:rPr>
        <w:footnoteReference w:id="606"/>
      </w:r>
      <w:r w:rsidRPr="003C3536">
        <w:rPr>
          <w:lang w:val="la-Latn"/>
        </w:rPr>
        <w:t xml:space="preserve"> frenorum quoque et bestiarum parvas ungues habentium, significatrix hoc modo formatur</w:t>
      </w:r>
      <w:r w:rsidRPr="003C3536">
        <w:rPr>
          <w:rStyle w:val="FootnoteReference"/>
          <w:lang w:val="la-Latn"/>
        </w:rPr>
        <w:footnoteReference w:id="607"/>
      </w:r>
      <w:r w:rsidRPr="003C3536">
        <w:rPr>
          <w:lang w:val="la-Latn"/>
        </w:rPr>
        <w:t xml:space="preserve"> (2211).  Quod</w:t>
      </w:r>
      <w:r w:rsidRPr="003C3536">
        <w:rPr>
          <w:rStyle w:val="FootnoteReference"/>
          <w:lang w:val="la-Latn"/>
        </w:rPr>
        <w:footnoteReference w:id="608"/>
      </w:r>
      <w:r w:rsidRPr="003C3536">
        <w:rPr>
          <w:lang w:val="la-Latn"/>
        </w:rPr>
        <w:t xml:space="preserve"> si pro ter&lt;r&gt;estri vel</w:t>
      </w:r>
      <w:r w:rsidRPr="003C3536">
        <w:rPr>
          <w:rStyle w:val="FootnoteReference"/>
          <w:lang w:val="la-Latn"/>
        </w:rPr>
        <w:footnoteReference w:id="609"/>
      </w:r>
      <w:r w:rsidRPr="003C3536">
        <w:rPr>
          <w:lang w:val="la-Latn"/>
        </w:rPr>
        <w:t xml:space="preserve"> aquatico itinere, punctando evenerit</w:t>
      </w:r>
      <w:r w:rsidR="00A62C19" w:rsidRPr="003C3536">
        <w:rPr>
          <w:lang w:val="la-Latn"/>
        </w:rPr>
        <w:t>,</w:t>
      </w:r>
      <w:r w:rsidRPr="003C3536">
        <w:rPr>
          <w:rStyle w:val="FootnoteReference"/>
          <w:lang w:val="la-Latn"/>
        </w:rPr>
        <w:footnoteReference w:id="610"/>
      </w:r>
      <w:r w:rsidRPr="003C3536">
        <w:rPr>
          <w:lang w:val="la-Latn"/>
        </w:rPr>
        <w:t xml:space="preserve"> suavitatem huius</w:t>
      </w:r>
      <w:r w:rsidRPr="003C3536">
        <w:rPr>
          <w:rStyle w:val="FootnoteReference"/>
          <w:lang w:val="la-Latn"/>
        </w:rPr>
        <w:footnoteReference w:id="611"/>
      </w:r>
      <w:r w:rsidRPr="003C3536">
        <w:rPr>
          <w:lang w:val="la-Latn"/>
        </w:rPr>
        <w:t xml:space="preserve"> itineris</w:t>
      </w:r>
      <w:r w:rsidRPr="003C3536">
        <w:rPr>
          <w:rStyle w:val="FootnoteReference"/>
          <w:lang w:val="la-Latn"/>
        </w:rPr>
        <w:footnoteReference w:id="612"/>
      </w:r>
      <w:r w:rsidRPr="003C3536">
        <w:rPr>
          <w:lang w:val="la-Latn"/>
        </w:rPr>
        <w:t xml:space="preserve"> indicabit.</w:t>
      </w:r>
      <w:r w:rsidRPr="003C3536">
        <w:rPr>
          <w:rStyle w:val="FootnoteReference"/>
          <w:lang w:val="la-Latn"/>
        </w:rPr>
        <w:footnoteReference w:id="613"/>
      </w:r>
      <w:r w:rsidRPr="003C3536">
        <w:rPr>
          <w:lang w:val="la-Latn"/>
        </w:rPr>
        <w:t xml:space="preserve"> </w:t>
      </w:r>
    </w:p>
    <w:p w14:paraId="6B19D347" w14:textId="77777777" w:rsidR="00242EFA" w:rsidRPr="003C3536" w:rsidRDefault="00242EFA" w:rsidP="00242EFA">
      <w:pPr>
        <w:rPr>
          <w:lang w:val="la-Latn"/>
        </w:rPr>
      </w:pPr>
      <w:r w:rsidRPr="003C3536">
        <w:rPr>
          <w:lang w:val="la-Latn"/>
        </w:rPr>
        <w:t>8</w:t>
      </w:r>
      <w:r w:rsidRPr="003C3536">
        <w:rPr>
          <w:lang w:val="la-Latn"/>
        </w:rPr>
        <w:tab/>
        <w:t>Decima vero, que almast,</w:t>
      </w:r>
      <w:r w:rsidRPr="003C3536">
        <w:rPr>
          <w:rStyle w:val="FootnoteReference"/>
          <w:lang w:val="la-Latn"/>
        </w:rPr>
        <w:footnoteReference w:id="614"/>
      </w:r>
      <w:r w:rsidRPr="003C3536">
        <w:rPr>
          <w:lang w:val="la-Latn"/>
        </w:rPr>
        <w:t xml:space="preserve"> id est pecten, que querentem rei quesite coniungit, taliter</w:t>
      </w:r>
      <w:r w:rsidRPr="003C3536">
        <w:rPr>
          <w:rStyle w:val="FootnoteReference"/>
          <w:lang w:val="la-Latn"/>
        </w:rPr>
        <w:footnoteReference w:id="615"/>
      </w:r>
      <w:r w:rsidRPr="003C3536">
        <w:rPr>
          <w:lang w:val="la-Latn"/>
        </w:rPr>
        <w:t xml:space="preserve"> ordinat&lt;ur&gt; (2112). Hec autem</w:t>
      </w:r>
      <w:r w:rsidRPr="003C3536">
        <w:rPr>
          <w:rStyle w:val="FootnoteReference"/>
          <w:lang w:val="la-Latn"/>
        </w:rPr>
        <w:footnoteReference w:id="616"/>
      </w:r>
      <w:r w:rsidRPr="003C3536">
        <w:rPr>
          <w:lang w:val="la-Latn"/>
        </w:rPr>
        <w:t xml:space="preserve"> omnis rei de qua queritur adiunctionem significat.  Cumque in eadem questione hec</w:t>
      </w:r>
      <w:r w:rsidRPr="003C3536">
        <w:rPr>
          <w:rStyle w:val="FootnoteReference"/>
          <w:lang w:val="la-Latn"/>
        </w:rPr>
        <w:footnoteReference w:id="617"/>
      </w:r>
      <w:r w:rsidRPr="003C3536">
        <w:rPr>
          <w:lang w:val="la-Latn"/>
        </w:rPr>
        <w:t xml:space="preserve"> apparuerit, coadunationem</w:t>
      </w:r>
      <w:r w:rsidRPr="003C3536">
        <w:rPr>
          <w:rStyle w:val="FootnoteReference"/>
          <w:lang w:val="la-Latn"/>
        </w:rPr>
        <w:footnoteReference w:id="618"/>
      </w:r>
      <w:r w:rsidRPr="003C3536">
        <w:rPr>
          <w:lang w:val="la-Latn"/>
        </w:rPr>
        <w:t xml:space="preserve"> excercituumque combinationem, et</w:t>
      </w:r>
      <w:r w:rsidRPr="003C3536">
        <w:rPr>
          <w:rStyle w:val="FootnoteReference"/>
          <w:lang w:val="la-Latn"/>
        </w:rPr>
        <w:footnoteReference w:id="619"/>
      </w:r>
      <w:r w:rsidRPr="003C3536">
        <w:rPr>
          <w:lang w:val="la-Latn"/>
        </w:rPr>
        <w:t xml:space="preserve"> clipeorum baiulationem et tentoria</w:t>
      </w:r>
      <w:r w:rsidRPr="003C3536">
        <w:rPr>
          <w:rStyle w:val="FootnoteReference"/>
          <w:lang w:val="la-Latn"/>
        </w:rPr>
        <w:footnoteReference w:id="620"/>
      </w:r>
      <w:r w:rsidRPr="003C3536">
        <w:rPr>
          <w:lang w:val="la-Latn"/>
        </w:rPr>
        <w:t xml:space="preserve"> presignabit.</w:t>
      </w:r>
      <w:r w:rsidRPr="003C3536">
        <w:rPr>
          <w:rStyle w:val="FootnoteReference"/>
          <w:lang w:val="la-Latn"/>
        </w:rPr>
        <w:footnoteReference w:id="621"/>
      </w:r>
      <w:r w:rsidRPr="003C3536">
        <w:rPr>
          <w:lang w:val="la-Latn"/>
        </w:rPr>
        <w:t xml:space="preserve"> </w:t>
      </w:r>
    </w:p>
    <w:p w14:paraId="58CB2AC6" w14:textId="77777777" w:rsidR="00242EFA" w:rsidRPr="003C3536" w:rsidRDefault="00242EFA" w:rsidP="00242EFA">
      <w:pPr>
        <w:rPr>
          <w:lang w:val="la-Latn"/>
        </w:rPr>
      </w:pPr>
      <w:r w:rsidRPr="003C3536">
        <w:rPr>
          <w:lang w:val="la-Latn"/>
        </w:rPr>
        <w:t>9</w:t>
      </w:r>
      <w:r w:rsidRPr="003C3536">
        <w:rPr>
          <w:lang w:val="la-Latn"/>
        </w:rPr>
        <w:tab/>
        <w:t>Undecima vero, que vocatur althandhe,</w:t>
      </w:r>
      <w:r w:rsidRPr="003C3536">
        <w:rPr>
          <w:rStyle w:val="FootnoteReference"/>
          <w:lang w:val="la-Latn"/>
        </w:rPr>
        <w:footnoteReference w:id="622"/>
      </w:r>
      <w:r w:rsidRPr="003C3536">
        <w:rPr>
          <w:lang w:val="la-Latn"/>
        </w:rPr>
        <w:t xml:space="preserve"> que preceptor</w:t>
      </w:r>
      <w:r w:rsidRPr="003C3536">
        <w:rPr>
          <w:rStyle w:val="FootnoteReference"/>
          <w:lang w:val="la-Latn"/>
        </w:rPr>
        <w:footnoteReference w:id="623"/>
      </w:r>
      <w:r w:rsidRPr="003C3536">
        <w:rPr>
          <w:lang w:val="la-Latn"/>
        </w:rPr>
        <w:t xml:space="preserve"> interpretatur, sic depingitur (2121). Hec acceptationem</w:t>
      </w:r>
      <w:r w:rsidRPr="003C3536">
        <w:rPr>
          <w:rStyle w:val="FootnoteReference"/>
          <w:lang w:val="la-Latn"/>
        </w:rPr>
        <w:footnoteReference w:id="624"/>
      </w:r>
      <w:r w:rsidRPr="003C3536">
        <w:rPr>
          <w:lang w:val="la-Latn"/>
        </w:rPr>
        <w:t xml:space="preserve"> substantie et rerum proficientium demonstrat. Quod si in alterius negotii</w:t>
      </w:r>
      <w:r w:rsidRPr="003C3536">
        <w:rPr>
          <w:rStyle w:val="FootnoteReference"/>
          <w:lang w:val="la-Latn"/>
        </w:rPr>
        <w:footnoteReference w:id="625"/>
      </w:r>
      <w:r w:rsidRPr="003C3536">
        <w:rPr>
          <w:lang w:val="la-Latn"/>
        </w:rPr>
        <w:t xml:space="preserve"> questione talis punctorum congeries apparuerit, nullum bonum indicabit.</w:t>
      </w:r>
      <w:r w:rsidRPr="003C3536">
        <w:rPr>
          <w:rStyle w:val="FootnoteReference"/>
          <w:lang w:val="la-Latn"/>
        </w:rPr>
        <w:footnoteReference w:id="626"/>
      </w:r>
      <w:r w:rsidRPr="003C3536">
        <w:rPr>
          <w:lang w:val="la-Latn"/>
        </w:rPr>
        <w:t xml:space="preserve"> Duodecima, quam alveste,</w:t>
      </w:r>
      <w:r w:rsidRPr="003C3536">
        <w:rPr>
          <w:rStyle w:val="FootnoteReference"/>
          <w:lang w:val="la-Latn"/>
        </w:rPr>
        <w:footnoteReference w:id="627"/>
      </w:r>
      <w:r w:rsidRPr="003C3536">
        <w:rPr>
          <w:lang w:val="la-Latn"/>
        </w:rPr>
        <w:t xml:space="preserve"> id est melioratorem,</w:t>
      </w:r>
      <w:r w:rsidRPr="003C3536">
        <w:rPr>
          <w:rStyle w:val="FootnoteReference"/>
          <w:lang w:val="la-Latn"/>
        </w:rPr>
        <w:footnoteReference w:id="628"/>
      </w:r>
      <w:r w:rsidRPr="003C3536">
        <w:rPr>
          <w:lang w:val="la-Latn"/>
        </w:rPr>
        <w:t xml:space="preserve"> dicunt</w:t>
      </w:r>
      <w:r w:rsidRPr="003C3536">
        <w:rPr>
          <w:rStyle w:val="FootnoteReference"/>
          <w:lang w:val="la-Latn"/>
        </w:rPr>
        <w:footnoteReference w:id="629"/>
      </w:r>
      <w:r w:rsidRPr="003C3536">
        <w:rPr>
          <w:lang w:val="la-Latn"/>
        </w:rPr>
        <w:t xml:space="preserve"> talem habet formam</w:t>
      </w:r>
      <w:r w:rsidRPr="003C3536">
        <w:rPr>
          <w:rStyle w:val="FootnoteReference"/>
          <w:lang w:val="la-Latn"/>
        </w:rPr>
        <w:footnoteReference w:id="630"/>
      </w:r>
      <w:r w:rsidRPr="003C3536">
        <w:rPr>
          <w:lang w:val="la-Latn"/>
        </w:rPr>
        <w:t xml:space="preserve"> (1212). Cumque in questione que ad suam significationem non pertinet</w:t>
      </w:r>
      <w:r w:rsidRPr="003C3536">
        <w:rPr>
          <w:rStyle w:val="FootnoteReference"/>
          <w:lang w:val="la-Latn"/>
        </w:rPr>
        <w:footnoteReference w:id="631"/>
      </w:r>
      <w:r w:rsidRPr="003C3536">
        <w:rPr>
          <w:lang w:val="la-Latn"/>
        </w:rPr>
        <w:t xml:space="preserve"> apparuerit, augmentum et regnum</w:t>
      </w:r>
      <w:r w:rsidRPr="003C3536">
        <w:rPr>
          <w:rStyle w:val="FootnoteReference"/>
          <w:lang w:val="la-Latn"/>
        </w:rPr>
        <w:footnoteReference w:id="632"/>
      </w:r>
      <w:r w:rsidRPr="003C3536">
        <w:rPr>
          <w:lang w:val="la-Latn"/>
        </w:rPr>
        <w:t xml:space="preserve"> et</w:t>
      </w:r>
      <w:r w:rsidRPr="003C3536">
        <w:rPr>
          <w:rStyle w:val="FootnoteReference"/>
          <w:lang w:val="la-Latn"/>
        </w:rPr>
        <w:footnoteReference w:id="633"/>
      </w:r>
      <w:r w:rsidRPr="003C3536">
        <w:rPr>
          <w:lang w:val="la-Latn"/>
        </w:rPr>
        <w:t xml:space="preserve"> exaltationem</w:t>
      </w:r>
      <w:r w:rsidRPr="003C3536">
        <w:rPr>
          <w:rStyle w:val="FootnoteReference"/>
          <w:lang w:val="la-Latn"/>
        </w:rPr>
        <w:footnoteReference w:id="634"/>
      </w:r>
      <w:r w:rsidRPr="003C3536">
        <w:rPr>
          <w:lang w:val="la-Latn"/>
        </w:rPr>
        <w:t xml:space="preserve"> summumque</w:t>
      </w:r>
      <w:r w:rsidRPr="003C3536">
        <w:rPr>
          <w:rStyle w:val="FootnoteReference"/>
          <w:lang w:val="la-Latn"/>
        </w:rPr>
        <w:footnoteReference w:id="635"/>
      </w:r>
      <w:r w:rsidRPr="003C3536">
        <w:rPr>
          <w:lang w:val="la-Latn"/>
        </w:rPr>
        <w:t xml:space="preserve">  bonum anunciabit. Si autem ad questionem</w:t>
      </w:r>
      <w:r w:rsidRPr="003C3536">
        <w:rPr>
          <w:rStyle w:val="FootnoteReference"/>
          <w:lang w:val="la-Latn"/>
        </w:rPr>
        <w:footnoteReference w:id="636"/>
      </w:r>
      <w:r w:rsidRPr="003C3536">
        <w:rPr>
          <w:lang w:val="la-Latn"/>
        </w:rPr>
        <w:t xml:space="preserve"> que ad ipsum</w:t>
      </w:r>
      <w:r w:rsidRPr="003C3536">
        <w:rPr>
          <w:rStyle w:val="FootnoteReference"/>
          <w:lang w:val="la-Latn"/>
        </w:rPr>
        <w:footnoteReference w:id="637"/>
      </w:r>
      <w:r w:rsidRPr="003C3536">
        <w:rPr>
          <w:lang w:val="la-Latn"/>
        </w:rPr>
        <w:t xml:space="preserve"> pertinet</w:t>
      </w:r>
      <w:r w:rsidRPr="003C3536">
        <w:rPr>
          <w:rStyle w:val="FootnoteReference"/>
          <w:lang w:val="la-Latn"/>
        </w:rPr>
        <w:footnoteReference w:id="638"/>
      </w:r>
      <w:r w:rsidRPr="003C3536">
        <w:rPr>
          <w:lang w:val="la-Latn"/>
        </w:rPr>
        <w:t xml:space="preserve"> apparuerit, nullum bonum presignabit.</w:t>
      </w:r>
      <w:r w:rsidRPr="003C3536">
        <w:rPr>
          <w:rStyle w:val="FootnoteReference"/>
          <w:lang w:val="la-Latn"/>
        </w:rPr>
        <w:footnoteReference w:id="639"/>
      </w:r>
    </w:p>
    <w:p w14:paraId="0534E1FF" w14:textId="1A70BF74" w:rsidR="00242EFA" w:rsidRPr="003C3536" w:rsidRDefault="00242EFA" w:rsidP="00242EFA">
      <w:pPr>
        <w:rPr>
          <w:lang w:val="la-Latn"/>
        </w:rPr>
      </w:pPr>
      <w:r w:rsidRPr="003C3536">
        <w:rPr>
          <w:lang w:val="la-Latn"/>
        </w:rPr>
        <w:t>10</w:t>
      </w:r>
      <w:r w:rsidRPr="003C3536">
        <w:rPr>
          <w:lang w:val="la-Latn"/>
        </w:rPr>
        <w:tab/>
        <w:t>Tertiadecima, quam almattati vocant,</w:t>
      </w:r>
      <w:r w:rsidRPr="003C3536">
        <w:rPr>
          <w:rStyle w:val="FootnoteReference"/>
          <w:lang w:val="la-Latn"/>
        </w:rPr>
        <w:footnoteReference w:id="640"/>
      </w:r>
      <w:r w:rsidRPr="003C3536">
        <w:rPr>
          <w:lang w:val="la-Latn"/>
        </w:rPr>
        <w:t xml:space="preserve"> id est declinatio,</w:t>
      </w:r>
      <w:r w:rsidRPr="003C3536">
        <w:rPr>
          <w:rStyle w:val="FootnoteReference"/>
          <w:lang w:val="la-Latn"/>
        </w:rPr>
        <w:footnoteReference w:id="641"/>
      </w:r>
      <w:r w:rsidRPr="003C3536">
        <w:rPr>
          <w:lang w:val="la-Latn"/>
        </w:rPr>
        <w:t xml:space="preserve"> hec est</w:t>
      </w:r>
      <w:r w:rsidRPr="003C3536">
        <w:rPr>
          <w:rStyle w:val="FootnoteReference"/>
          <w:lang w:val="la-Latn"/>
        </w:rPr>
        <w:footnoteReference w:id="642"/>
      </w:r>
      <w:r w:rsidRPr="003C3536">
        <w:rPr>
          <w:lang w:val="la-Latn"/>
        </w:rPr>
        <w:t xml:space="preserve"> (2221). Huius</w:t>
      </w:r>
      <w:r w:rsidRPr="003C3536">
        <w:rPr>
          <w:rStyle w:val="FootnoteReference"/>
          <w:lang w:val="la-Latn"/>
        </w:rPr>
        <w:footnoteReference w:id="643"/>
      </w:r>
      <w:r w:rsidRPr="003C3536">
        <w:rPr>
          <w:lang w:val="la-Latn"/>
        </w:rPr>
        <w:t xml:space="preserve"> significatio ad colores virides et ad eos que</w:t>
      </w:r>
      <w:r w:rsidRPr="003C3536">
        <w:rPr>
          <w:rStyle w:val="FootnoteReference"/>
          <w:lang w:val="la-Latn"/>
        </w:rPr>
        <w:footnoteReference w:id="644"/>
      </w:r>
      <w:r w:rsidRPr="003C3536">
        <w:rPr>
          <w:lang w:val="la-Latn"/>
        </w:rPr>
        <w:t xml:space="preserve"> ab</w:t>
      </w:r>
      <w:r w:rsidRPr="003C3536">
        <w:rPr>
          <w:rStyle w:val="FootnoteReference"/>
          <w:lang w:val="la-Latn"/>
        </w:rPr>
        <w:footnoteReference w:id="645"/>
      </w:r>
      <w:r w:rsidRPr="003C3536">
        <w:rPr>
          <w:lang w:val="la-Latn"/>
        </w:rPr>
        <w:t xml:space="preserve"> albo et nigro differunt,</w:t>
      </w:r>
      <w:r w:rsidRPr="003C3536">
        <w:rPr>
          <w:rStyle w:val="FootnoteReference"/>
          <w:lang w:val="la-Latn"/>
        </w:rPr>
        <w:footnoteReference w:id="646"/>
      </w:r>
      <w:r w:rsidRPr="003C3536">
        <w:rPr>
          <w:lang w:val="la-Latn"/>
        </w:rPr>
        <w:t xml:space="preserve"> ad puellas etiam</w:t>
      </w:r>
      <w:r w:rsidRPr="003C3536">
        <w:rPr>
          <w:rStyle w:val="FootnoteReference"/>
          <w:lang w:val="la-Latn"/>
        </w:rPr>
        <w:footnoteReference w:id="647"/>
      </w:r>
      <w:r w:rsidRPr="003C3536">
        <w:rPr>
          <w:lang w:val="la-Latn"/>
        </w:rPr>
        <w:t xml:space="preserve"> et ad grandes homines, ad eos etiam qui demisso</w:t>
      </w:r>
      <w:r w:rsidRPr="003C3536">
        <w:rPr>
          <w:rStyle w:val="FootnoteReference"/>
          <w:lang w:val="la-Latn"/>
        </w:rPr>
        <w:footnoteReference w:id="648"/>
      </w:r>
      <w:r w:rsidRPr="003C3536">
        <w:rPr>
          <w:lang w:val="la-Latn"/>
        </w:rPr>
        <w:t xml:space="preserve"> capite et pro nichillo sollicitantur</w:t>
      </w:r>
      <w:r w:rsidRPr="003C3536">
        <w:rPr>
          <w:rStyle w:val="FootnoteReference"/>
          <w:lang w:val="la-Latn"/>
        </w:rPr>
        <w:footnoteReference w:id="649"/>
      </w:r>
      <w:r w:rsidRPr="003C3536">
        <w:rPr>
          <w:lang w:val="la-Latn"/>
        </w:rPr>
        <w:t xml:space="preserve"> pertinet. Hec autem cum parte que</w:t>
      </w:r>
      <w:r w:rsidR="008A78FA" w:rsidRPr="003C3536">
        <w:rPr>
          <w:rStyle w:val="FootnoteReference"/>
          <w:lang w:val="la-Latn"/>
        </w:rPr>
        <w:footnoteReference w:id="650"/>
      </w:r>
      <w:r w:rsidRPr="003C3536">
        <w:rPr>
          <w:lang w:val="la-Latn"/>
        </w:rPr>
        <w:t xml:space="preserve"> dicitur almuscamar</w:t>
      </w:r>
      <w:r w:rsidRPr="003C3536">
        <w:rPr>
          <w:rStyle w:val="FootnoteReference"/>
          <w:lang w:val="la-Latn"/>
        </w:rPr>
        <w:footnoteReference w:id="651"/>
      </w:r>
      <w:r w:rsidRPr="003C3536">
        <w:rPr>
          <w:lang w:val="la-Latn"/>
        </w:rPr>
        <w:t xml:space="preserve"> si commiscetur,</w:t>
      </w:r>
      <w:r w:rsidRPr="003C3536">
        <w:rPr>
          <w:rStyle w:val="FootnoteReference"/>
          <w:lang w:val="la-Latn"/>
        </w:rPr>
        <w:footnoteReference w:id="652"/>
      </w:r>
      <w:r w:rsidRPr="003C3536">
        <w:rPr>
          <w:lang w:val="la-Latn"/>
        </w:rPr>
        <w:t xml:space="preserve"> coniuctorum et captivorum est significatrix.</w:t>
      </w:r>
      <w:r w:rsidRPr="003C3536">
        <w:rPr>
          <w:rStyle w:val="FootnoteReference"/>
          <w:lang w:val="la-Latn"/>
        </w:rPr>
        <w:footnoteReference w:id="653"/>
      </w:r>
      <w:r w:rsidRPr="003C3536">
        <w:rPr>
          <w:lang w:val="la-Latn"/>
        </w:rPr>
        <w:t xml:space="preserve"> </w:t>
      </w:r>
    </w:p>
    <w:p w14:paraId="58CEB4F9" w14:textId="2F8C118D" w:rsidR="00242EFA" w:rsidRPr="003C3536" w:rsidRDefault="00242EFA" w:rsidP="00242EFA">
      <w:pPr>
        <w:rPr>
          <w:lang w:val="la-Latn"/>
        </w:rPr>
      </w:pPr>
      <w:r w:rsidRPr="003C3536">
        <w:rPr>
          <w:lang w:val="la-Latn"/>
        </w:rPr>
        <w:t>11</w:t>
      </w:r>
      <w:r w:rsidRPr="003C3536">
        <w:rPr>
          <w:lang w:val="la-Latn"/>
        </w:rPr>
        <w:tab/>
        <w:t>Quartadecima, quam almustarcam</w:t>
      </w:r>
      <w:r w:rsidRPr="003C3536">
        <w:rPr>
          <w:rStyle w:val="FootnoteReference"/>
          <w:lang w:val="la-Latn"/>
        </w:rPr>
        <w:footnoteReference w:id="654"/>
      </w:r>
      <w:r w:rsidRPr="003C3536">
        <w:rPr>
          <w:lang w:val="la-Latn"/>
        </w:rPr>
        <w:t xml:space="preserve"> nominant,</w:t>
      </w:r>
      <w:r w:rsidRPr="003C3536">
        <w:rPr>
          <w:rStyle w:val="FootnoteReference"/>
          <w:lang w:val="la-Latn"/>
        </w:rPr>
        <w:footnoteReference w:id="655"/>
      </w:r>
      <w:r w:rsidRPr="003C3536">
        <w:rPr>
          <w:lang w:val="la-Latn"/>
        </w:rPr>
        <w:t xml:space="preserve"> hanc punctorum formam retinet (2122). Cuius significatio</w:t>
      </w:r>
      <w:r w:rsidRPr="003C3536">
        <w:rPr>
          <w:rStyle w:val="FootnoteReference"/>
          <w:lang w:val="la-Latn"/>
        </w:rPr>
        <w:footnoteReference w:id="656"/>
      </w:r>
      <w:r w:rsidRPr="003C3536">
        <w:rPr>
          <w:lang w:val="la-Latn"/>
        </w:rPr>
        <w:t xml:space="preserve"> rubedini et sanguineo,</w:t>
      </w:r>
      <w:r w:rsidRPr="003C3536">
        <w:rPr>
          <w:rStyle w:val="FootnoteReference"/>
          <w:lang w:val="la-Latn"/>
        </w:rPr>
        <w:footnoteReference w:id="657"/>
      </w:r>
      <w:r w:rsidRPr="003C3536">
        <w:rPr>
          <w:lang w:val="la-Latn"/>
        </w:rPr>
        <w:t xml:space="preserve"> auro, etiam corallo,</w:t>
      </w:r>
      <w:r w:rsidRPr="003C3536">
        <w:rPr>
          <w:rStyle w:val="FootnoteReference"/>
          <w:lang w:val="la-Latn"/>
        </w:rPr>
        <w:footnoteReference w:id="658"/>
      </w:r>
      <w:r w:rsidRPr="003C3536">
        <w:rPr>
          <w:lang w:val="la-Latn"/>
        </w:rPr>
        <w:t xml:space="preserve"> aceri, omnique</w:t>
      </w:r>
      <w:r w:rsidRPr="003C3536">
        <w:rPr>
          <w:rStyle w:val="FootnoteReference"/>
          <w:lang w:val="la-Latn"/>
        </w:rPr>
        <w:footnoteReference w:id="659"/>
      </w:r>
      <w:r w:rsidRPr="003C3536">
        <w:rPr>
          <w:lang w:val="la-Latn"/>
        </w:rPr>
        <w:t xml:space="preserve"> rei rubee</w:t>
      </w:r>
      <w:r w:rsidRPr="003C3536">
        <w:rPr>
          <w:rStyle w:val="FootnoteReference"/>
          <w:lang w:val="la-Latn"/>
        </w:rPr>
        <w:footnoteReference w:id="660"/>
      </w:r>
      <w:r w:rsidRPr="003C3536">
        <w:rPr>
          <w:lang w:val="la-Latn"/>
        </w:rPr>
        <w:t xml:space="preserve"> pertinere dicitur, hec autem infirmo</w:t>
      </w:r>
      <w:r w:rsidRPr="003C3536">
        <w:rPr>
          <w:rStyle w:val="FootnoteReference"/>
          <w:lang w:val="la-Latn"/>
        </w:rPr>
        <w:footnoteReference w:id="661"/>
      </w:r>
      <w:r w:rsidRPr="003C3536">
        <w:rPr>
          <w:lang w:val="la-Latn"/>
        </w:rPr>
        <w:t xml:space="preserve"> valde bona monstra</w:t>
      </w:r>
      <w:r w:rsidR="00FD64FC" w:rsidRPr="003C3536">
        <w:rPr>
          <w:lang w:val="la-Latn"/>
        </w:rPr>
        <w:t>&lt;n&gt;</w:t>
      </w:r>
      <w:r w:rsidRPr="003C3536">
        <w:rPr>
          <w:lang w:val="la-Latn"/>
        </w:rPr>
        <w:t>tur.</w:t>
      </w:r>
      <w:r w:rsidRPr="003C3536">
        <w:rPr>
          <w:rStyle w:val="FootnoteReference"/>
          <w:lang w:val="la-Latn"/>
        </w:rPr>
        <w:footnoteReference w:id="662"/>
      </w:r>
      <w:r w:rsidRPr="003C3536">
        <w:rPr>
          <w:lang w:val="la-Latn"/>
        </w:rPr>
        <w:t xml:space="preserve"> Quintadecima, quam alleallonus zahim,</w:t>
      </w:r>
      <w:r w:rsidRPr="003C3536">
        <w:rPr>
          <w:rStyle w:val="FootnoteReference"/>
          <w:lang w:val="la-Latn"/>
        </w:rPr>
        <w:footnoteReference w:id="663"/>
      </w:r>
      <w:r w:rsidRPr="003C3536">
        <w:rPr>
          <w:lang w:val="la-Latn"/>
        </w:rPr>
        <w:t xml:space="preserve"> id est mollis directa, sic punctatur (2212). Hec autem in argento albisque coloribus significationem, portat lucri</w:t>
      </w:r>
      <w:r w:rsidRPr="003C3536">
        <w:rPr>
          <w:rStyle w:val="FootnoteReference"/>
          <w:lang w:val="la-Latn"/>
        </w:rPr>
        <w:footnoteReference w:id="664"/>
      </w:r>
      <w:r w:rsidRPr="003C3536">
        <w:rPr>
          <w:lang w:val="la-Latn"/>
        </w:rPr>
        <w:t xml:space="preserve"> et adquisitionis magnique</w:t>
      </w:r>
      <w:r w:rsidRPr="003C3536">
        <w:rPr>
          <w:rStyle w:val="FootnoteReference"/>
          <w:lang w:val="la-Latn"/>
        </w:rPr>
        <w:footnoteReference w:id="665"/>
      </w:r>
      <w:r w:rsidRPr="003C3536">
        <w:rPr>
          <w:lang w:val="la-Latn"/>
        </w:rPr>
        <w:t xml:space="preserve"> proficui</w:t>
      </w:r>
      <w:r w:rsidRPr="003C3536">
        <w:rPr>
          <w:rStyle w:val="FootnoteReference"/>
          <w:lang w:val="la-Latn"/>
        </w:rPr>
        <w:footnoteReference w:id="666"/>
      </w:r>
      <w:r w:rsidRPr="003C3536">
        <w:rPr>
          <w:lang w:val="la-Latn"/>
        </w:rPr>
        <w:t xml:space="preserve"> significatrix</w:t>
      </w:r>
      <w:r w:rsidRPr="003C3536">
        <w:rPr>
          <w:rStyle w:val="FootnoteReference"/>
          <w:lang w:val="la-Latn"/>
        </w:rPr>
        <w:footnoteReference w:id="667"/>
      </w:r>
      <w:r w:rsidRPr="003C3536">
        <w:rPr>
          <w:lang w:val="la-Latn"/>
        </w:rPr>
        <w:t xml:space="preserve"> dicitur,</w:t>
      </w:r>
      <w:r w:rsidRPr="003C3536">
        <w:rPr>
          <w:rStyle w:val="FootnoteReference"/>
          <w:lang w:val="la-Latn"/>
        </w:rPr>
        <w:footnoteReference w:id="668"/>
      </w:r>
      <w:r w:rsidRPr="003C3536">
        <w:rPr>
          <w:lang w:val="la-Latn"/>
        </w:rPr>
        <w:t xml:space="preserve"> libri quoque et que mittuntur littere sub</w:t>
      </w:r>
      <w:r w:rsidRPr="003C3536">
        <w:rPr>
          <w:rStyle w:val="FootnoteReference"/>
          <w:lang w:val="la-Latn"/>
        </w:rPr>
        <w:footnoteReference w:id="669"/>
      </w:r>
      <w:r w:rsidRPr="003C3536">
        <w:rPr>
          <w:lang w:val="la-Latn"/>
        </w:rPr>
        <w:t xml:space="preserve"> ipsius significatione continentur. Infirmis mala</w:t>
      </w:r>
      <w:r w:rsidRPr="003C3536">
        <w:rPr>
          <w:rStyle w:val="FootnoteReference"/>
          <w:lang w:val="la-Latn"/>
        </w:rPr>
        <w:footnoteReference w:id="670"/>
      </w:r>
      <w:r w:rsidRPr="003C3536">
        <w:rPr>
          <w:lang w:val="la-Latn"/>
        </w:rPr>
        <w:t xml:space="preserve"> est et inutilis.</w:t>
      </w:r>
      <w:r w:rsidRPr="003C3536">
        <w:rPr>
          <w:rStyle w:val="FootnoteReference"/>
          <w:lang w:val="la-Latn"/>
        </w:rPr>
        <w:footnoteReference w:id="671"/>
      </w:r>
      <w:r w:rsidRPr="003C3536">
        <w:rPr>
          <w:lang w:val="la-Latn"/>
        </w:rPr>
        <w:t xml:space="preserve"> </w:t>
      </w:r>
    </w:p>
    <w:p w14:paraId="0D019D49" w14:textId="3B586981" w:rsidR="00242EFA" w:rsidRPr="003C3536" w:rsidRDefault="00242EFA" w:rsidP="00242EFA">
      <w:pPr>
        <w:rPr>
          <w:lang w:val="la-Latn"/>
        </w:rPr>
      </w:pPr>
      <w:r w:rsidRPr="003C3536">
        <w:rPr>
          <w:lang w:val="la-Latn"/>
        </w:rPr>
        <w:t>12</w:t>
      </w:r>
      <w:r w:rsidRPr="003C3536">
        <w:rPr>
          <w:lang w:val="la-Latn"/>
        </w:rPr>
        <w:tab/>
        <w:t>Sextadecima, que algemaha,</w:t>
      </w:r>
      <w:r w:rsidRPr="003C3536">
        <w:rPr>
          <w:rStyle w:val="FootnoteReference"/>
          <w:lang w:val="la-Latn"/>
        </w:rPr>
        <w:footnoteReference w:id="672"/>
      </w:r>
      <w:r w:rsidRPr="003C3536">
        <w:rPr>
          <w:lang w:val="la-Latn"/>
        </w:rPr>
        <w:t xml:space="preserve"> id est collectio nominatur, hiis punctis representatur (2222). Cuius signatio espeditionibus, exercitibus</w:t>
      </w:r>
      <w:r w:rsidRPr="003C3536">
        <w:rPr>
          <w:rStyle w:val="FootnoteReference"/>
          <w:lang w:val="la-Latn"/>
        </w:rPr>
        <w:footnoteReference w:id="673"/>
      </w:r>
      <w:r w:rsidRPr="003C3536">
        <w:rPr>
          <w:lang w:val="la-Latn"/>
        </w:rPr>
        <w:t xml:space="preserve"> collectionibus</w:t>
      </w:r>
      <w:r w:rsidRPr="003C3536">
        <w:rPr>
          <w:rStyle w:val="FootnoteReference"/>
          <w:lang w:val="la-Latn"/>
        </w:rPr>
        <w:footnoteReference w:id="674"/>
      </w:r>
      <w:r w:rsidRPr="003C3536">
        <w:rPr>
          <w:lang w:val="la-Latn"/>
        </w:rPr>
        <w:t xml:space="preserve"> pertinet</w:t>
      </w:r>
      <w:r w:rsidR="007C25BA" w:rsidRPr="003C3536">
        <w:rPr>
          <w:lang w:val="la-Latn"/>
        </w:rPr>
        <w:t>,</w:t>
      </w:r>
      <w:r w:rsidRPr="003C3536">
        <w:rPr>
          <w:rStyle w:val="FootnoteReference"/>
          <w:lang w:val="la-Latn"/>
        </w:rPr>
        <w:footnoteReference w:id="675"/>
      </w:r>
      <w:r w:rsidRPr="003C3536">
        <w:rPr>
          <w:lang w:val="la-Latn"/>
        </w:rPr>
        <w:t xml:space="preserve"> </w:t>
      </w:r>
      <w:r w:rsidR="007C25BA" w:rsidRPr="003C3536">
        <w:rPr>
          <w:lang w:val="la-Latn"/>
        </w:rPr>
        <w:t>r</w:t>
      </w:r>
      <w:r w:rsidRPr="003C3536">
        <w:rPr>
          <w:lang w:val="la-Latn"/>
        </w:rPr>
        <w:t>aphegas</w:t>
      </w:r>
      <w:r w:rsidRPr="003C3536">
        <w:rPr>
          <w:rStyle w:val="FootnoteReference"/>
          <w:lang w:val="la-Latn"/>
        </w:rPr>
        <w:footnoteReference w:id="676"/>
      </w:r>
      <w:r w:rsidRPr="003C3536">
        <w:rPr>
          <w:lang w:val="la-Latn"/>
        </w:rPr>
        <w:t xml:space="preserve"> etiam, et</w:t>
      </w:r>
      <w:r w:rsidRPr="003C3536">
        <w:rPr>
          <w:rStyle w:val="FootnoteReference"/>
          <w:lang w:val="la-Latn"/>
        </w:rPr>
        <w:footnoteReference w:id="677"/>
      </w:r>
      <w:r w:rsidRPr="003C3536">
        <w:rPr>
          <w:lang w:val="la-Latn"/>
        </w:rPr>
        <w:t xml:space="preserve"> id est viatorum hominum, multitudines et viatores,</w:t>
      </w:r>
      <w:r w:rsidRPr="003C3536">
        <w:rPr>
          <w:rStyle w:val="FootnoteReference"/>
          <w:lang w:val="la-Latn"/>
        </w:rPr>
        <w:footnoteReference w:id="678"/>
      </w:r>
      <w:r w:rsidRPr="003C3536">
        <w:rPr>
          <w:lang w:val="la-Latn"/>
        </w:rPr>
        <w:t xml:space="preserve"> naves et</w:t>
      </w:r>
      <w:r w:rsidRPr="003C3536">
        <w:rPr>
          <w:rStyle w:val="FootnoteReference"/>
          <w:lang w:val="la-Latn"/>
        </w:rPr>
        <w:footnoteReference w:id="679"/>
      </w:r>
      <w:r w:rsidRPr="003C3536">
        <w:rPr>
          <w:lang w:val="la-Latn"/>
        </w:rPr>
        <w:t xml:space="preserve"> palacia, montes et fulgura,</w:t>
      </w:r>
      <w:r w:rsidRPr="003C3536">
        <w:rPr>
          <w:rStyle w:val="FootnoteReference"/>
          <w:lang w:val="la-Latn"/>
        </w:rPr>
        <w:footnoteReference w:id="680"/>
      </w:r>
      <w:r w:rsidRPr="003C3536">
        <w:rPr>
          <w:lang w:val="la-Latn"/>
        </w:rPr>
        <w:t xml:space="preserve"> domos, occultam pecuniam, foveas, camelos, honera domini</w:t>
      </w:r>
      <w:r w:rsidRPr="003C3536">
        <w:rPr>
          <w:rStyle w:val="FootnoteReference"/>
          <w:lang w:val="la-Latn"/>
        </w:rPr>
        <w:footnoteReference w:id="681"/>
      </w:r>
      <w:r w:rsidRPr="003C3536">
        <w:rPr>
          <w:lang w:val="la-Latn"/>
        </w:rPr>
        <w:t xml:space="preserve"> omnia que gravia sunt et que adunatur</w:t>
      </w:r>
      <w:r w:rsidRPr="003C3536">
        <w:rPr>
          <w:rStyle w:val="FootnoteReference"/>
          <w:lang w:val="la-Latn"/>
        </w:rPr>
        <w:footnoteReference w:id="682"/>
      </w:r>
      <w:r w:rsidRPr="003C3536">
        <w:rPr>
          <w:lang w:val="la-Latn"/>
        </w:rPr>
        <w:t xml:space="preserve"> signatio.</w:t>
      </w:r>
      <w:r w:rsidRPr="003C3536">
        <w:rPr>
          <w:rStyle w:val="FootnoteReference"/>
          <w:lang w:val="la-Latn"/>
        </w:rPr>
        <w:footnoteReference w:id="683"/>
      </w:r>
      <w:r w:rsidRPr="003C3536">
        <w:rPr>
          <w:lang w:val="la-Latn"/>
        </w:rPr>
        <w:t xml:space="preserve"> </w:t>
      </w:r>
    </w:p>
    <w:p w14:paraId="11FBB16B" w14:textId="77777777" w:rsidR="00242EFA" w:rsidRPr="003C3536" w:rsidRDefault="00242EFA" w:rsidP="00242EFA">
      <w:pPr>
        <w:rPr>
          <w:lang w:val="la-Latn"/>
        </w:rPr>
      </w:pPr>
      <w:r w:rsidRPr="003C3536">
        <w:rPr>
          <w:lang w:val="la-Latn"/>
        </w:rPr>
        <w:t>13</w:t>
      </w:r>
      <w:r w:rsidRPr="003C3536">
        <w:rPr>
          <w:lang w:val="la-Latn"/>
        </w:rPr>
        <w:tab/>
        <w:t>Cumque</w:t>
      </w:r>
      <w:r w:rsidRPr="003C3536">
        <w:rPr>
          <w:rStyle w:val="FootnoteReference"/>
          <w:lang w:val="la-Latn"/>
        </w:rPr>
        <w:footnoteReference w:id="684"/>
      </w:r>
      <w:r w:rsidRPr="003C3536">
        <w:rPr>
          <w:lang w:val="la-Latn"/>
        </w:rPr>
        <w:t xml:space="preserve"> autem</w:t>
      </w:r>
      <w:r w:rsidRPr="003C3536">
        <w:rPr>
          <w:rStyle w:val="FootnoteReference"/>
          <w:lang w:val="la-Latn"/>
        </w:rPr>
        <w:footnoteReference w:id="685"/>
      </w:r>
      <w:r w:rsidRPr="003C3536">
        <w:rPr>
          <w:lang w:val="la-Latn"/>
        </w:rPr>
        <w:t xml:space="preserve"> ei que dicitur alchalhe</w:t>
      </w:r>
      <w:r w:rsidRPr="003C3536">
        <w:rPr>
          <w:rStyle w:val="FootnoteReference"/>
          <w:lang w:val="la-Latn"/>
        </w:rPr>
        <w:footnoteReference w:id="686"/>
      </w:r>
      <w:r w:rsidRPr="003C3536">
        <w:rPr>
          <w:lang w:val="la-Latn"/>
        </w:rPr>
        <w:t xml:space="preserve"> coniungitur</w:t>
      </w:r>
      <w:r w:rsidRPr="003C3536">
        <w:rPr>
          <w:rStyle w:val="FootnoteReference"/>
          <w:lang w:val="la-Latn"/>
        </w:rPr>
        <w:footnoteReference w:id="687"/>
      </w:r>
      <w:r w:rsidRPr="003C3536">
        <w:rPr>
          <w:lang w:val="la-Latn"/>
        </w:rPr>
        <w:t xml:space="preserve"> magnum proficuum grandeque</w:t>
      </w:r>
      <w:r w:rsidRPr="003C3536">
        <w:rPr>
          <w:rStyle w:val="FootnoteReference"/>
          <w:lang w:val="la-Latn"/>
        </w:rPr>
        <w:footnoteReference w:id="688"/>
      </w:r>
      <w:r w:rsidRPr="003C3536">
        <w:rPr>
          <w:lang w:val="la-Latn"/>
        </w:rPr>
        <w:t xml:space="preserve"> lucrum</w:t>
      </w:r>
      <w:r w:rsidRPr="003C3536">
        <w:rPr>
          <w:rStyle w:val="FootnoteReference"/>
          <w:lang w:val="la-Latn"/>
        </w:rPr>
        <w:footnoteReference w:id="689"/>
      </w:r>
      <w:r w:rsidRPr="003C3536">
        <w:rPr>
          <w:lang w:val="la-Latn"/>
        </w:rPr>
        <w:t xml:space="preserve"> /121r/ designabit,</w:t>
      </w:r>
      <w:r w:rsidRPr="003C3536">
        <w:rPr>
          <w:rStyle w:val="FootnoteReference"/>
          <w:lang w:val="la-Latn"/>
        </w:rPr>
        <w:footnoteReference w:id="690"/>
      </w:r>
      <w:r w:rsidRPr="003C3536">
        <w:rPr>
          <w:lang w:val="la-Latn"/>
        </w:rPr>
        <w:t xml:space="preserve"> et omne id de quo questio[ne] fecerit ei pro velle,</w:t>
      </w:r>
      <w:r w:rsidRPr="003C3536">
        <w:rPr>
          <w:rStyle w:val="FootnoteReference"/>
          <w:lang w:val="la-Latn"/>
        </w:rPr>
        <w:footnoteReference w:id="691"/>
      </w:r>
      <w:r w:rsidRPr="003C3536">
        <w:rPr>
          <w:lang w:val="la-Latn"/>
        </w:rPr>
        <w:t xml:space="preserve"> deo volente, continget. Perfecte sunt XVI figure, que ex quattuor lineis ut diximus oriuntur. Cum igitur has lineas punctare volueris, sicut in geomentiam</w:t>
      </w:r>
      <w:r w:rsidRPr="003C3536">
        <w:rPr>
          <w:rStyle w:val="FootnoteReference"/>
          <w:lang w:val="la-Latn"/>
        </w:rPr>
        <w:footnoteReference w:id="692"/>
      </w:r>
      <w:r w:rsidRPr="003C3536">
        <w:rPr>
          <w:lang w:val="la-Latn"/>
        </w:rPr>
        <w:t xml:space="preserve"> Indiana et ‘Rerum opifex’ continetur, in omnibus operari debes. </w:t>
      </w:r>
      <w:r w:rsidRPr="003C3536">
        <w:rPr>
          <w:rStyle w:val="FootnoteReference"/>
          <w:lang w:val="la-Latn"/>
        </w:rPr>
        <w:footnoteReference w:id="693"/>
      </w:r>
    </w:p>
    <w:p w14:paraId="7FD21CAD" w14:textId="17EB6B8B" w:rsidR="00242EFA" w:rsidRPr="003C3536" w:rsidRDefault="00242EFA" w:rsidP="00242EFA">
      <w:pPr>
        <w:rPr>
          <w:lang w:val="la-Latn"/>
        </w:rPr>
      </w:pPr>
      <w:r w:rsidRPr="003C3536">
        <w:rPr>
          <w:lang w:val="la-Latn"/>
        </w:rPr>
        <w:t>14</w:t>
      </w:r>
      <w:r w:rsidRPr="003C3536">
        <w:rPr>
          <w:lang w:val="la-Latn"/>
        </w:rPr>
        <w:tab/>
        <w:t xml:space="preserve">Omnibus igitur sic figuris annumeratis, et in unam iudicialem redactis, ter quinas invenies, quod si harum figurarum ultima ex pari numero constituta fuerit, te nullatenus errasse cognoscas. Si vero ex inpari numero fuerit ordinata, te graviter errasse non dubites. Ad primas autem figuras revertere et errorem cun&lt;c&gt;ta numerando corrige. Omnibusque veraciter perfectis, tres ultimas figuras seorsum pone, et que sunt observa. </w:t>
      </w:r>
    </w:p>
    <w:p w14:paraId="3AA30BA3" w14:textId="1CFE3DBC" w:rsidR="00242EFA" w:rsidRPr="003C3536" w:rsidRDefault="00242EFA" w:rsidP="00242EFA">
      <w:pPr>
        <w:rPr>
          <w:lang w:val="la-Latn"/>
        </w:rPr>
      </w:pPr>
      <w:r w:rsidRPr="003C3536">
        <w:rPr>
          <w:lang w:val="la-Latn"/>
        </w:rPr>
        <w:t>15</w:t>
      </w:r>
      <w:r w:rsidRPr="003C3536">
        <w:rPr>
          <w:lang w:val="la-Latn"/>
        </w:rPr>
        <w:tab/>
        <w:t xml:space="preserve">Deinde, ad huius libri paginas conversus, earum exempl&lt;ific&gt;ationem indubitanter, annuente te </w:t>
      </w:r>
      <w:r w:rsidR="007C0B77" w:rsidRPr="003C3536">
        <w:rPr>
          <w:lang w:val="la-Latn"/>
        </w:rPr>
        <w:t>D</w:t>
      </w:r>
      <w:r w:rsidRPr="003C3536">
        <w:rPr>
          <w:lang w:val="la-Latn"/>
        </w:rPr>
        <w:t>eo, reperies. Deinde tractatum de triplicitatibus quod hic deberet subsequi in folio 41 et 89</w:t>
      </w:r>
      <w:r w:rsidRPr="003C3536">
        <w:rPr>
          <w:rStyle w:val="FootnoteReference"/>
          <w:lang w:val="la-Latn"/>
        </w:rPr>
        <w:footnoteReference w:id="694"/>
      </w:r>
      <w:r w:rsidRPr="003C3536">
        <w:rPr>
          <w:lang w:val="la-Latn"/>
        </w:rPr>
        <w:t xml:space="preserve"> require. Deinde de naturali proprietate et locali cuiuslibet figure in qualibet domo et cuiusmodi iudicium prestabit, folio 17 require, situationem domorum \et naturam. Similiter folio I […] item III (?).</w:t>
      </w:r>
      <w:r w:rsidRPr="003C3536">
        <w:rPr>
          <w:rStyle w:val="FootnoteReference"/>
          <w:lang w:val="la-Latn"/>
        </w:rPr>
        <w:footnoteReference w:id="695"/>
      </w:r>
    </w:p>
    <w:p w14:paraId="1C02508C" w14:textId="77777777" w:rsidR="00242EFA" w:rsidRPr="00D41F3B" w:rsidRDefault="00242EFA" w:rsidP="00242EFA">
      <w:pPr>
        <w:rPr>
          <w:lang w:val="pt-PT"/>
        </w:rPr>
      </w:pPr>
    </w:p>
    <w:p w14:paraId="1FD8C6A8" w14:textId="289BECE5" w:rsidR="00242EFA" w:rsidRPr="00573775" w:rsidRDefault="00242EFA" w:rsidP="00641DB1">
      <w:pPr>
        <w:ind w:firstLine="0"/>
        <w:jc w:val="center"/>
        <w:rPr>
          <w:b/>
          <w:bCs/>
          <w:lang w:val="la-Latn"/>
        </w:rPr>
      </w:pPr>
      <w:r w:rsidRPr="00573775">
        <w:rPr>
          <w:b/>
          <w:bCs/>
          <w:lang w:val="la-Latn"/>
        </w:rPr>
        <w:t>Hic incipiunt significationes cogitationum querentium secundum proprietates figurarum</w:t>
      </w:r>
    </w:p>
    <w:p w14:paraId="5A49CC8F" w14:textId="77777777" w:rsidR="00242EFA" w:rsidRPr="00573775" w:rsidRDefault="00242EFA" w:rsidP="00242EFA">
      <w:pPr>
        <w:ind w:firstLine="0"/>
        <w:rPr>
          <w:lang w:val="la-Latn"/>
        </w:rPr>
      </w:pPr>
    </w:p>
    <w:p w14:paraId="5C396642" w14:textId="5541C5D7" w:rsidR="00242EFA" w:rsidRPr="00573775" w:rsidRDefault="00242EFA" w:rsidP="00242EFA">
      <w:pPr>
        <w:rPr>
          <w:lang w:val="la-Latn"/>
        </w:rPr>
      </w:pPr>
      <w:r w:rsidRPr="00573775">
        <w:rPr>
          <w:lang w:val="la-Latn"/>
        </w:rPr>
        <w:t>16</w:t>
      </w:r>
      <w:r w:rsidRPr="00573775">
        <w:rPr>
          <w:b/>
          <w:bCs/>
          <w:lang w:val="la-Latn"/>
        </w:rPr>
        <w:tab/>
      </w:r>
      <w:r w:rsidRPr="00573775">
        <w:rPr>
          <w:lang w:val="la-Latn"/>
        </w:rPr>
        <w:t>(2121) Et primo de significatione adquisitionis. Hec figura caput arietis vocatur. Cum signum eveniet, autem accipiet mor&lt;abidos&gt; vel nummos, sive pro incarcerato, vel pregnante, vel infirmo qui salvabitur, captivus redimetur, quod querit accipiet, pregnans pariet. (2211) De significatione fortune maioris. Hec figura dicitur finis arietis et initium tauri. Hac queritur pro muliere ducenda, vel bestiis emendis, vel nuncio longinquo, vel suscipiet m&lt;ulierem&gt; vel bestiam</w:t>
      </w:r>
      <w:r w:rsidR="00C27935" w:rsidRPr="00573775">
        <w:rPr>
          <w:lang w:val="la-Latn"/>
        </w:rPr>
        <w:t>. H</w:t>
      </w:r>
      <w:r w:rsidRPr="00573775">
        <w:rPr>
          <w:lang w:val="la-Latn"/>
        </w:rPr>
        <w:t>ec figura bona est in omni re.</w:t>
      </w:r>
    </w:p>
    <w:p w14:paraId="2114E9CA" w14:textId="0EB1643C" w:rsidR="00242EFA" w:rsidRPr="00573775" w:rsidRDefault="00242EFA" w:rsidP="00242EFA">
      <w:pPr>
        <w:rPr>
          <w:lang w:val="la-Latn"/>
        </w:rPr>
      </w:pPr>
      <w:r w:rsidRPr="00573775">
        <w:rPr>
          <w:lang w:val="la-Latn"/>
        </w:rPr>
        <w:t>17</w:t>
      </w:r>
      <w:r w:rsidRPr="00573775">
        <w:rPr>
          <w:lang w:val="la-Latn"/>
        </w:rPr>
        <w:tab/>
        <w:t>(1222) De significatione letitie. Hac queritur de potente, vel lege vel potestate vel similibus, et est adituris iudicem, et quod queritur post longum tempus accipiet, et est pro itinere vel vendere. Infirmus de lecto exit vel ad sanitatem vel mortem, non durabit desponsatio, pregnans pariet. (1211) De significatione pueri. Hac queritur pro inberbi, vel uxore desponsanda, vel pro societate in multa quam accipiet, et est bona in omnibus</w:t>
      </w:r>
      <w:r w:rsidR="00587303">
        <w:t>. P</w:t>
      </w:r>
      <w:r w:rsidRPr="00573775">
        <w:rPr>
          <w:lang w:val="la-Latn"/>
        </w:rPr>
        <w:t>regnans filium pariet.</w:t>
      </w:r>
    </w:p>
    <w:p w14:paraId="3A59AEDE" w14:textId="77777777" w:rsidR="00242EFA" w:rsidRPr="00573775" w:rsidRDefault="00242EFA" w:rsidP="00242EFA">
      <w:pPr>
        <w:rPr>
          <w:lang w:val="la-Latn"/>
        </w:rPr>
      </w:pPr>
      <w:r w:rsidRPr="00573775">
        <w:rPr>
          <w:lang w:val="la-Latn"/>
        </w:rPr>
        <w:t>18</w:t>
      </w:r>
      <w:r w:rsidRPr="00573775">
        <w:rPr>
          <w:lang w:val="la-Latn"/>
        </w:rPr>
        <w:tab/>
        <w:t>(2122) De significatione rubei. Hac queritur pro dissocietate ablitus</w:t>
      </w:r>
      <w:r w:rsidRPr="00573775">
        <w:rPr>
          <w:rStyle w:val="FootnoteReference"/>
          <w:lang w:val="la-Latn"/>
        </w:rPr>
        <w:footnoteReference w:id="696"/>
      </w:r>
      <w:r w:rsidRPr="00573775">
        <w:rPr>
          <w:lang w:val="la-Latn"/>
        </w:rPr>
        <w:t xml:space="preserve"> et scribet cartam pro muliere vel denariis, et quod querit accipiet. Itineri mala est, et in exercitu. (2212) De significatione candidi. Hac queritur pro carta scribenda inter ipsum et amicum, vel emere bestias, vel pro infirmo et incarcerato a rege, et albam rem, accepturus denarios vel oves et boves. &lt;Bona&gt; in omnibus accipiendis, mala pro infirmitate vel itinere.</w:t>
      </w:r>
    </w:p>
    <w:p w14:paraId="1D96553D" w14:textId="1F31A280" w:rsidR="00242EFA" w:rsidRPr="00573775" w:rsidRDefault="00242EFA" w:rsidP="00242EFA">
      <w:pPr>
        <w:rPr>
          <w:lang w:val="la-Latn"/>
        </w:rPr>
      </w:pPr>
      <w:r w:rsidRPr="00573775">
        <w:rPr>
          <w:lang w:val="la-Latn"/>
        </w:rPr>
        <w:t>19</w:t>
      </w:r>
      <w:r w:rsidRPr="00573775">
        <w:rPr>
          <w:lang w:val="la-Latn"/>
        </w:rPr>
        <w:tab/>
        <w:t xml:space="preserve"> /121v/ (2111) De significatione limitis intrantis. Hac queritur pro honore quem postulat a rege, consequetur altitudinem ad honorem, et scribet cartam cum muliere, et habebit multa bona. Et est bona in omnibus nisi in itinere et vendere et habere, regem adire. (2112) De significatione coadunati. Hac queritur de copulatione vel mulierem desponsare. Si queritur de pregnante, infirmatur vel captivatur qui cepit iter, exient in eum adversarii. Hec mala est itineri et egrotis, amis&lt;s&gt;a non parabit, quod petit accipiet.</w:t>
      </w:r>
    </w:p>
    <w:p w14:paraId="2B50CFCA" w14:textId="23574046" w:rsidR="00242EFA" w:rsidRPr="00573775" w:rsidRDefault="00242EFA" w:rsidP="00242EFA">
      <w:pPr>
        <w:rPr>
          <w:lang w:val="la-Latn"/>
        </w:rPr>
      </w:pPr>
      <w:r w:rsidRPr="00573775">
        <w:rPr>
          <w:lang w:val="la-Latn"/>
        </w:rPr>
        <w:t>20</w:t>
      </w:r>
      <w:r w:rsidRPr="00573775">
        <w:rPr>
          <w:lang w:val="la-Latn"/>
        </w:rPr>
        <w:tab/>
        <w:t>(1212) De significatione amissionis. Hac queritur de re que exierat de manu sue uxoris vel bestiis femineis, vel ligatura denariorum</w:t>
      </w:r>
      <w:r w:rsidR="00AE6D52">
        <w:t>.</w:t>
      </w:r>
      <w:r w:rsidRPr="00573775">
        <w:rPr>
          <w:lang w:val="la-Latn"/>
        </w:rPr>
        <w:t xml:space="preserve"> </w:t>
      </w:r>
      <w:r w:rsidR="00AE6D52">
        <w:t>B</w:t>
      </w:r>
      <w:r w:rsidRPr="00573775">
        <w:rPr>
          <w:lang w:val="la-Latn"/>
        </w:rPr>
        <w:t>ona itineri et infirmo, res perdita non redibit, pregnans paret. (1121) De significatione puelle. Hac queritur de itinere, vel desponsare, vel pro carta mittere ad regem, et accipiet vel muli</w:t>
      </w:r>
      <w:r w:rsidR="00AE0BE5">
        <w:t xml:space="preserve"> (</w:t>
      </w:r>
      <w:r w:rsidR="00AE0BE5" w:rsidRPr="00F210A8">
        <w:rPr>
          <w:i/>
          <w:iCs/>
          <w:lang w:val="la-Latn"/>
        </w:rPr>
        <w:t>lege</w:t>
      </w:r>
      <w:r w:rsidR="00AE0BE5">
        <w:t xml:space="preserve">: </w:t>
      </w:r>
      <w:r w:rsidR="00AE0BE5" w:rsidRPr="00F210A8">
        <w:rPr>
          <w:lang w:val="la-Latn"/>
        </w:rPr>
        <w:t>mulum</w:t>
      </w:r>
      <w:r w:rsidR="00AE0BE5">
        <w:t>)</w:t>
      </w:r>
      <w:r w:rsidRPr="00573775">
        <w:rPr>
          <w:lang w:val="la-Latn"/>
        </w:rPr>
        <w:t xml:space="preserve"> vel bestiam, vel gaudium eveniet</w:t>
      </w:r>
      <w:r w:rsidR="003078EE">
        <w:t>. B</w:t>
      </w:r>
      <w:r w:rsidRPr="00573775">
        <w:rPr>
          <w:lang w:val="la-Latn"/>
        </w:rPr>
        <w:t>o&lt;na&gt; pro infirmitate vel vendere, mala pro desponsare, amissum omne non recuperabitur, vel mittet cartam, vel mittetur ei et postulabit aliquid cum lite.</w:t>
      </w:r>
    </w:p>
    <w:p w14:paraId="56404EED" w14:textId="5540C469" w:rsidR="00242EFA" w:rsidRPr="00573775" w:rsidRDefault="00242EFA" w:rsidP="00242EFA">
      <w:pPr>
        <w:rPr>
          <w:lang w:val="la-Latn"/>
        </w:rPr>
      </w:pPr>
      <w:r w:rsidRPr="00573775">
        <w:rPr>
          <w:lang w:val="la-Latn"/>
        </w:rPr>
        <w:t>21</w:t>
      </w:r>
      <w:r w:rsidRPr="00573775">
        <w:rPr>
          <w:lang w:val="la-Latn"/>
        </w:rPr>
        <w:tab/>
        <w:t>(2221) De significatione tristicie. Hac queritur pro multo malo et est timendum, et queritur pro germano, vel germana, vel amico, vel pro emptione captive, et bo&lt;num&gt; inveniet</w:t>
      </w:r>
      <w:r w:rsidR="00F210A8">
        <w:t>. Q</w:t>
      </w:r>
      <w:r w:rsidRPr="00573775">
        <w:rPr>
          <w:lang w:val="la-Latn"/>
        </w:rPr>
        <w:t>ui iter arripit magnam aquam tras[t]iet, amissum recuperabitur omne, quod querit accipiet, pregnans mulierem pariet. (2222) De significatione populi. Hac queritur de itinere in ex</w:t>
      </w:r>
      <w:r w:rsidR="0074626F">
        <w:t>[</w:t>
      </w:r>
      <w:r w:rsidRPr="00573775">
        <w:rPr>
          <w:lang w:val="la-Latn"/>
        </w:rPr>
        <w:t>c</w:t>
      </w:r>
      <w:r w:rsidR="0074626F">
        <w:t>]</w:t>
      </w:r>
      <w:r w:rsidRPr="00573775">
        <w:rPr>
          <w:lang w:val="la-Latn"/>
        </w:rPr>
        <w:t>ercitum, ex</w:t>
      </w:r>
      <w:r w:rsidR="0074626F">
        <w:t>[</w:t>
      </w:r>
      <w:r w:rsidRPr="00573775">
        <w:rPr>
          <w:lang w:val="la-Latn"/>
        </w:rPr>
        <w:t>c</w:t>
      </w:r>
      <w:r w:rsidR="0074626F">
        <w:t>]</w:t>
      </w:r>
      <w:r w:rsidRPr="00573775">
        <w:rPr>
          <w:lang w:val="la-Latn"/>
        </w:rPr>
        <w:t>ercitus recte ibit, sive pro bestiis amissis que recuperabuntur, quod petit inveniet, adunabit multos.</w:t>
      </w:r>
    </w:p>
    <w:p w14:paraId="7C20AC11" w14:textId="72255155" w:rsidR="00242EFA" w:rsidRPr="00573775" w:rsidRDefault="00242EFA" w:rsidP="00242EFA">
      <w:pPr>
        <w:rPr>
          <w:lang w:val="la-Latn"/>
        </w:rPr>
      </w:pPr>
      <w:r w:rsidRPr="00573775">
        <w:rPr>
          <w:lang w:val="la-Latn"/>
        </w:rPr>
        <w:t>22</w:t>
      </w:r>
      <w:r w:rsidRPr="00573775">
        <w:rPr>
          <w:lang w:val="la-Latn"/>
        </w:rPr>
        <w:tab/>
        <w:t>(1112) De significatione limitis exeuntis. Hac queritur de mutatione loci ad locum, bonum est propter venditionem, et emptionem, et iter, ma&lt;lum&gt; disponsationi; litem habebit cum muliere vel equa ante iudicem consistet, perditum non recuperabitur, pregnans feminam pariet. Rex aliam terram intrabit. (1111) De significatione vie. Hac queritur de itinere, caveat a socio in itinere</w:t>
      </w:r>
      <w:r w:rsidR="00E72837">
        <w:t>. B</w:t>
      </w:r>
      <w:r w:rsidRPr="00573775">
        <w:rPr>
          <w:lang w:val="la-Latn"/>
        </w:rPr>
        <w:t>ona est pro mercari et infirmus sanabitur, amissum non recuperabitur, desponsatio non durabit, carta veniet et cum bonitate.</w:t>
      </w:r>
    </w:p>
    <w:p w14:paraId="0C75FD71" w14:textId="6FBB1359" w:rsidR="00242EFA" w:rsidRPr="00573775" w:rsidRDefault="00242EFA" w:rsidP="00242EFA">
      <w:pPr>
        <w:rPr>
          <w:lang w:val="la-Latn"/>
        </w:rPr>
      </w:pPr>
      <w:r w:rsidRPr="00573775">
        <w:rPr>
          <w:lang w:val="la-Latn"/>
        </w:rPr>
        <w:t>23</w:t>
      </w:r>
      <w:r w:rsidRPr="00573775">
        <w:rPr>
          <w:lang w:val="la-Latn"/>
        </w:rPr>
        <w:tab/>
        <w:t>(1122) De significatione fortune minoris. Hac queritur exire cum rege, et inveniet bonum vel rebus alibi dif&lt;f&gt;erendis, et inveniet bonitatem, et bona pro infirmo et desponsatione. Incarceratus exibit, omne amissum non recuperabitur, mercator tranciet</w:t>
      </w:r>
      <w:r w:rsidRPr="00573775">
        <w:rPr>
          <w:rStyle w:val="FootnoteReference"/>
          <w:lang w:val="la-Latn"/>
        </w:rPr>
        <w:footnoteReference w:id="697"/>
      </w:r>
      <w:r w:rsidRPr="00573775">
        <w:rPr>
          <w:lang w:val="la-Latn"/>
        </w:rPr>
        <w:t xml:space="preserve"> mare vel magnam aquam, quod petierit a rege habebit. (1221) De significatione carceris. Hac queritur de mulieribus infirmata vel pregnante vel de abscondito; ducet uxorem vel emet feminam vel bestiam</w:t>
      </w:r>
      <w:r w:rsidR="00E87AF1">
        <w:t>.</w:t>
      </w:r>
      <w:r w:rsidRPr="00573775">
        <w:rPr>
          <w:lang w:val="la-Latn"/>
        </w:rPr>
        <w:t xml:space="preserve"> </w:t>
      </w:r>
      <w:r w:rsidR="00E87AF1">
        <w:t>B</w:t>
      </w:r>
      <w:r w:rsidRPr="00573775">
        <w:rPr>
          <w:lang w:val="la-Latn"/>
        </w:rPr>
        <w:t xml:space="preserve">o&lt;nam&gt; ad mutandum comparandum, vendendum, amissum recuperabitur, hinc naves vel bestie aut honor veniet, pregnans filium pariet. </w:t>
      </w:r>
    </w:p>
    <w:p w14:paraId="258895DE" w14:textId="77777777" w:rsidR="00242EFA" w:rsidRPr="00CD43BB" w:rsidRDefault="00242EFA" w:rsidP="00242EFA">
      <w:pPr>
        <w:rPr>
          <w:lang w:val="fr-FR"/>
        </w:rPr>
      </w:pPr>
    </w:p>
    <w:p w14:paraId="03EA39DF" w14:textId="77777777" w:rsidR="00242EFA" w:rsidRPr="00A81152" w:rsidRDefault="00242EFA" w:rsidP="00BE445A">
      <w:pPr>
        <w:ind w:firstLine="0"/>
        <w:jc w:val="center"/>
        <w:rPr>
          <w:b/>
          <w:bCs/>
          <w:lang w:val="la-Latn"/>
        </w:rPr>
      </w:pPr>
      <w:r w:rsidRPr="00A81152">
        <w:rPr>
          <w:b/>
          <w:bCs/>
          <w:lang w:val="la-Latn"/>
        </w:rPr>
        <w:t>/122r/ De iudicio in quo XVI figura semper est invenienda.</w:t>
      </w:r>
    </w:p>
    <w:p w14:paraId="4BBAD9C8" w14:textId="77777777" w:rsidR="00242EFA" w:rsidRPr="00A81152" w:rsidRDefault="00242EFA" w:rsidP="00242EFA">
      <w:pPr>
        <w:ind w:firstLine="0"/>
        <w:rPr>
          <w:lang w:val="la-Latn"/>
        </w:rPr>
      </w:pPr>
    </w:p>
    <w:p w14:paraId="5A41A938" w14:textId="77777777" w:rsidR="00242EFA" w:rsidRPr="00A81152" w:rsidRDefault="00242EFA" w:rsidP="00242EFA">
      <w:pPr>
        <w:rPr>
          <w:lang w:val="la-Latn"/>
        </w:rPr>
      </w:pPr>
      <w:r w:rsidRPr="00A81152">
        <w:rPr>
          <w:lang w:val="la-Latn"/>
        </w:rPr>
        <w:t>24</w:t>
      </w:r>
      <w:r w:rsidRPr="00A81152">
        <w:rPr>
          <w:lang w:val="la-Latn"/>
        </w:rPr>
        <w:tab/>
        <w:t>Hic consenciunt omnes quoniam in iudiciis faciendis per hec XVI postrema capitula que sic incipiunt: ‘He&lt;c&gt; figura, que vocatur capud arietis etc.’ XVI semper intuenda est, que post desponsationem</w:t>
      </w:r>
      <w:r w:rsidRPr="00A81152">
        <w:rPr>
          <w:rStyle w:val="FootnoteReference"/>
          <w:lang w:val="la-Latn"/>
        </w:rPr>
        <w:footnoteReference w:id="698"/>
      </w:r>
      <w:r w:rsidRPr="00A81152">
        <w:rPr>
          <w:lang w:val="la-Latn"/>
        </w:rPr>
        <w:t xml:space="preserve"> XV figurarum ex prima et XV colligetur, post questionem eiusmodi factam. Statim, ut mos est, XV figuris disponitur</w:t>
      </w:r>
      <w:r w:rsidRPr="00A81152">
        <w:rPr>
          <w:rStyle w:val="FootnoteReference"/>
          <w:lang w:val="la-Latn"/>
        </w:rPr>
        <w:footnoteReference w:id="699"/>
      </w:r>
      <w:r w:rsidRPr="00A81152">
        <w:rPr>
          <w:lang w:val="la-Latn"/>
        </w:rPr>
        <w:t>, ex prima et XVa colligenda est XVIa, que inter XVI predicta capitula requisita, in quocumque capitulo reperta fuerit, sicut sententia illius capituli iudicium questionis absolvet.</w:t>
      </w:r>
    </w:p>
    <w:p w14:paraId="2405A1D6" w14:textId="77777777" w:rsidR="00242EFA" w:rsidRPr="00A81152" w:rsidRDefault="00242EFA" w:rsidP="00242EFA">
      <w:pPr>
        <w:ind w:firstLine="0"/>
        <w:rPr>
          <w:lang w:val="la-Latn"/>
        </w:rPr>
      </w:pPr>
    </w:p>
    <w:p w14:paraId="071E5614" w14:textId="77777777" w:rsidR="00242EFA" w:rsidRPr="00A81152" w:rsidRDefault="00242EFA" w:rsidP="00A81152">
      <w:pPr>
        <w:ind w:firstLine="0"/>
        <w:jc w:val="center"/>
        <w:rPr>
          <w:b/>
          <w:bCs/>
          <w:lang w:val="la-Latn"/>
        </w:rPr>
      </w:pPr>
      <w:r w:rsidRPr="00A81152">
        <w:rPr>
          <w:b/>
          <w:bCs/>
          <w:lang w:val="la-Latn"/>
        </w:rPr>
        <w:t>De ratione inventionis cogitationis interrogationum.</w:t>
      </w:r>
    </w:p>
    <w:p w14:paraId="31D8EDBF" w14:textId="77777777" w:rsidR="00242EFA" w:rsidRPr="00A81152" w:rsidRDefault="00242EFA" w:rsidP="00242EFA">
      <w:pPr>
        <w:ind w:firstLine="0"/>
        <w:rPr>
          <w:lang w:val="la-Latn"/>
        </w:rPr>
      </w:pPr>
    </w:p>
    <w:p w14:paraId="6A257FDE" w14:textId="77777777" w:rsidR="00242EFA" w:rsidRPr="00A81152" w:rsidRDefault="00242EFA" w:rsidP="00242EFA">
      <w:pPr>
        <w:rPr>
          <w:lang w:val="la-Latn"/>
        </w:rPr>
      </w:pPr>
      <w:r w:rsidRPr="00A81152">
        <w:rPr>
          <w:lang w:val="la-Latn"/>
        </w:rPr>
        <w:t>25</w:t>
      </w:r>
      <w:r w:rsidRPr="00A81152">
        <w:rPr>
          <w:lang w:val="la-Latn"/>
        </w:rPr>
        <w:tab/>
        <w:t xml:space="preserve">Si vis scire questionem querentis, id est cogitationem interrogantis, secundum predictorum rationem, accipe primam figuram, que est domus vite et etia&lt;m&gt; cognitionis, et XV que iudex appellatur, et fac ex eis unam figuram. Deinde, ex secunda, que est domus substantie, et octava, que est domus mortis, fac aliam figuram, ex quibus duabus unam collige. Quo facto, respice si illa ultima sic facta, scilicet octavadecima, usquam inter XII domicilia reperiatur. </w:t>
      </w:r>
    </w:p>
    <w:p w14:paraId="3BA74C6D" w14:textId="77777777" w:rsidR="00242EFA" w:rsidRPr="00A81152" w:rsidRDefault="00242EFA" w:rsidP="00242EFA">
      <w:pPr>
        <w:rPr>
          <w:lang w:val="la-Latn"/>
        </w:rPr>
      </w:pPr>
      <w:r w:rsidRPr="00A81152">
        <w:rPr>
          <w:lang w:val="la-Latn"/>
        </w:rPr>
        <w:t>26</w:t>
      </w:r>
      <w:r w:rsidRPr="00A81152">
        <w:rPr>
          <w:lang w:val="la-Latn"/>
        </w:rPr>
        <w:tab/>
        <w:t xml:space="preserve">Et si sit, secund&lt;um&gt; naturam illius domus in qua fuerit reperta iudica. Si autem in duabus domibus vel pluribus simul reperta fuerit, accipe postremam et secund&lt;um&gt; naturam illius postreme iudica. Deinde numera ab illa postrema usque ad domum illius negotii de quo queris, et secund&lt;um&gt; naturam illius invente iudica, hoc diligenter observato ut in numerando semper fiat compotus numerandi a primo in octavum, secundum fortitudinem dispositionis domiciliorum. </w:t>
      </w:r>
    </w:p>
    <w:p w14:paraId="1C2BD734" w14:textId="77777777" w:rsidR="00242EFA" w:rsidRPr="00A81152" w:rsidRDefault="00242EFA" w:rsidP="00242EFA">
      <w:pPr>
        <w:rPr>
          <w:lang w:val="la-Latn"/>
        </w:rPr>
      </w:pPr>
      <w:r w:rsidRPr="00A81152">
        <w:rPr>
          <w:lang w:val="la-Latn"/>
        </w:rPr>
        <w:t>27</w:t>
      </w:r>
      <w:r w:rsidRPr="00A81152">
        <w:rPr>
          <w:lang w:val="la-Latn"/>
        </w:rPr>
        <w:tab/>
        <w:t>Deinde post VIII, a XIIo numeretur, per XI et X et IX consequenter a primo per ordinem. Eodem modo predicto per XII et XI et X ad IX fiat computus numerandi, et deinceps, quotiens opus fuerit ita videlicet ut numerando XII, sic fit IX, et XI sit X, et X sit XI, et IX sit XII, et deinde in reversione, primum sit XIII et incipis per ordinem predicto modo. Si autem nusquam inter XII domicilia, incipe a capite figurarum et secundum naturam domiciliorum iudica, verbi gratia: si \ista/ ultima collecta, id est XVIII, in quarto domicilio reperta fuerit, dices questionem esse de patre.</w:t>
      </w:r>
    </w:p>
    <w:p w14:paraId="58EBA50E" w14:textId="44329EE8" w:rsidR="00242EFA" w:rsidRPr="00A81152" w:rsidRDefault="00242EFA" w:rsidP="00242EFA">
      <w:pPr>
        <w:rPr>
          <w:lang w:val="la-Latn"/>
        </w:rPr>
      </w:pPr>
      <w:r w:rsidRPr="00A81152">
        <w:rPr>
          <w:lang w:val="la-Latn"/>
        </w:rPr>
        <w:t>28</w:t>
      </w:r>
      <w:r w:rsidRPr="00A81152">
        <w:rPr>
          <w:lang w:val="la-Latn"/>
        </w:rPr>
        <w:tab/>
        <w:t>Deinde numerabis ab illo quarto usque ad alium quartum, et secundum naturam illius quarti iudicabis fortunam vel infortunium patris. Notabis enim que de signis XVI, id est sive via, sive puer, sive puella, sive quevis alia sit in illa domo et quid significet in eadem, et secundum hoc iudica. Similiter si inventa fuerit in quinta, dices questionem esse de filiis, si in VIIa, de uxore, et sic in ceteris. Deinde numerans a V ad alium V, iudicabis</w:t>
      </w:r>
      <w:r w:rsidR="00F43DC6">
        <w:t xml:space="preserve"> &lt;de&gt;</w:t>
      </w:r>
      <w:r w:rsidRPr="00A81152">
        <w:rPr>
          <w:lang w:val="la-Latn"/>
        </w:rPr>
        <w:t xml:space="preserve"> fortunis vel infortunis filiorum, secundum naturam illius, ratione supra dicta. </w:t>
      </w:r>
    </w:p>
    <w:p w14:paraId="6327E8A5" w14:textId="77777777" w:rsidR="00242EFA" w:rsidRPr="00A81152" w:rsidRDefault="00242EFA" w:rsidP="00242EFA">
      <w:pPr>
        <w:rPr>
          <w:lang w:val="la-Latn"/>
        </w:rPr>
      </w:pPr>
      <w:r w:rsidRPr="00A81152">
        <w:rPr>
          <w:lang w:val="la-Latn"/>
        </w:rPr>
        <w:t>29</w:t>
      </w:r>
      <w:r w:rsidRPr="00A81152">
        <w:rPr>
          <w:lang w:val="la-Latn"/>
        </w:rPr>
        <w:tab/>
        <w:t>Sicque a VII usque ad alium VII numerans, iudicabis for&lt;tunam&gt; vel infor&lt;tunium&gt; uxoris, sicut ostensum est. Secundum quosda&lt;m&gt; tamen postquam inventum est /122v/ questionem esse de patre, ratione predicta, statim de substantia eius iudicabimus per naturam secundi ab illo quarto. Sicque de fratribus, per naturam tertii ab illo quarto, de patre quidem per naturam tertii</w:t>
      </w:r>
      <w:r w:rsidRPr="00A81152">
        <w:rPr>
          <w:rStyle w:val="FootnoteReference"/>
          <w:lang w:val="la-Latn"/>
        </w:rPr>
        <w:footnoteReference w:id="700"/>
      </w:r>
      <w:r w:rsidRPr="00A81152">
        <w:rPr>
          <w:lang w:val="la-Latn"/>
        </w:rPr>
        <w:t xml:space="preserve"> ab illo quarto sicque deinceps in V, VI, VII, VIII, IX, X, XI, XII ab illo quarto, iudicabimus secundum naturam singulorum. </w:t>
      </w:r>
    </w:p>
    <w:p w14:paraId="0D14E4A0" w14:textId="77777777" w:rsidR="00242EFA" w:rsidRPr="00A81152" w:rsidRDefault="00242EFA" w:rsidP="00242EFA">
      <w:pPr>
        <w:rPr>
          <w:lang w:val="la-Latn"/>
        </w:rPr>
      </w:pPr>
      <w:r w:rsidRPr="00A81152">
        <w:rPr>
          <w:lang w:val="la-Latn"/>
        </w:rPr>
        <w:t>30</w:t>
      </w:r>
      <w:r w:rsidRPr="00A81152">
        <w:rPr>
          <w:lang w:val="la-Latn"/>
        </w:rPr>
        <w:tab/>
        <w:t xml:space="preserve">Eadem ratio iudicii observari potest et in omnibus sive questio fuerit de filiis, sive de aliis quibuscumque, et ita, secundum hoc, non erit necesse numerare a quarto ad alium IIII, neque a V ad alium V, et cetera. Secundum quosdam, item si XVIII inter XII domicilia usquam reperta fuerit, questio querentis iudicabitur secundum naturam loci ubi XVIII reperta fuerit. Causa vero questionis secundum naturam et significationem figure que in eo loco reperta fuerit, ut si XVIIIa in prima domo fuerit reperta, quoniam prima domus significat querentem, querens de seipso interrogat. </w:t>
      </w:r>
    </w:p>
    <w:p w14:paraId="75938A11" w14:textId="77777777" w:rsidR="00242EFA" w:rsidRPr="00A81152" w:rsidRDefault="00242EFA" w:rsidP="00242EFA">
      <w:pPr>
        <w:rPr>
          <w:lang w:val="la-Latn"/>
        </w:rPr>
      </w:pPr>
      <w:r w:rsidRPr="00A81152">
        <w:rPr>
          <w:lang w:val="la-Latn"/>
        </w:rPr>
        <w:t>31</w:t>
      </w:r>
      <w:r w:rsidRPr="00A81152">
        <w:rPr>
          <w:lang w:val="la-Latn"/>
        </w:rPr>
        <w:tab/>
        <w:t xml:space="preserve">Sique via in prima domo fuerit, quia via significatrix est itinerum, questio fit de itinere. Sicque demum questio fit de proprio itinere. Simili modo, sive puer sive puella sive quevis alia de XVI figuris in prima domo reperta fuerit, semper causa questionis determinabitur secundum naturam et significationem illius figure que ibidem reperta fuerit. </w:t>
      </w:r>
    </w:p>
    <w:p w14:paraId="38249401" w14:textId="77777777" w:rsidR="00242EFA" w:rsidRPr="00A81152" w:rsidRDefault="00242EFA" w:rsidP="00242EFA">
      <w:pPr>
        <w:rPr>
          <w:lang w:val="la-Latn"/>
        </w:rPr>
      </w:pPr>
      <w:r w:rsidRPr="00A81152">
        <w:rPr>
          <w:lang w:val="la-Latn"/>
        </w:rPr>
        <w:t>32</w:t>
      </w:r>
      <w:r w:rsidRPr="00A81152">
        <w:rPr>
          <w:b/>
          <w:bCs/>
          <w:lang w:val="la-Latn"/>
        </w:rPr>
        <w:tab/>
      </w:r>
      <w:r w:rsidRPr="00A81152">
        <w:rPr>
          <w:lang w:val="la-Latn"/>
        </w:rPr>
        <w:t>Eadem penitus ratione, simile iudicium fiet per omnia XII domicilia. Si autem XVIII nusquam inter XII domicilia reperta fuerit, vide diligenter que figura sit de XVI figuris, et secundum naturam illius figure iudica, quod in libro questionum scriptum invenies, ubi questionem querentis absolvit, cum dixit ‘cum ceciderit hec sors.’</w:t>
      </w:r>
    </w:p>
    <w:p w14:paraId="6E4EBE81" w14:textId="77777777" w:rsidR="00242EFA" w:rsidRPr="00A81152" w:rsidRDefault="00242EFA" w:rsidP="00242EFA">
      <w:pPr>
        <w:ind w:firstLine="0"/>
        <w:rPr>
          <w:rFonts w:ascii="Garamond" w:hAnsi="Garamond"/>
          <w:lang w:val="la-Latn"/>
        </w:rPr>
      </w:pPr>
    </w:p>
    <w:p w14:paraId="5DEF5A64" w14:textId="77777777" w:rsidR="00242EFA" w:rsidRPr="00C2234C" w:rsidRDefault="00242EFA" w:rsidP="00C2234C">
      <w:pPr>
        <w:ind w:firstLine="0"/>
        <w:jc w:val="center"/>
        <w:rPr>
          <w:b/>
          <w:bCs/>
          <w:lang w:val="la-Latn"/>
        </w:rPr>
      </w:pPr>
      <w:r w:rsidRPr="00C2234C">
        <w:rPr>
          <w:b/>
          <w:bCs/>
          <w:lang w:val="la-Latn"/>
        </w:rPr>
        <w:t>De generali modo inquirendi intentionem.</w:t>
      </w:r>
    </w:p>
    <w:p w14:paraId="426B8E29" w14:textId="77777777" w:rsidR="00242EFA" w:rsidRPr="00C2234C" w:rsidRDefault="00242EFA" w:rsidP="00242EFA">
      <w:pPr>
        <w:ind w:firstLine="0"/>
        <w:rPr>
          <w:b/>
          <w:bCs/>
          <w:lang w:val="la-Latn"/>
        </w:rPr>
      </w:pPr>
    </w:p>
    <w:p w14:paraId="3339A0F3" w14:textId="6DE634B7" w:rsidR="00242EFA" w:rsidRPr="00C2234C" w:rsidRDefault="00242EFA" w:rsidP="00242EFA">
      <w:pPr>
        <w:rPr>
          <w:lang w:val="la-Latn"/>
        </w:rPr>
      </w:pPr>
      <w:r w:rsidRPr="00C2234C">
        <w:rPr>
          <w:lang w:val="la-Latn"/>
        </w:rPr>
        <w:t>33</w:t>
      </w:r>
      <w:r w:rsidRPr="00C2234C">
        <w:rPr>
          <w:b/>
          <w:bCs/>
          <w:lang w:val="la-Latn"/>
        </w:rPr>
        <w:tab/>
      </w:r>
      <w:r w:rsidRPr="00C2234C">
        <w:rPr>
          <w:lang w:val="la-Latn"/>
        </w:rPr>
        <w:t xml:space="preserve">Est igitur regula generalis investigande querentis questionem. Sufficiens ut collecta figura tertia ex duabus figuris quarum altera ex prima et XV, altera ex II et VIII colligitur, sicut premonstratum est, videatur que figura sit de XVI figuris, et secundum naturam illius questio querentis determinabitur, sicut ipsam verba autoris terminant cum dicit ‘cum ceciderit sors’. De hac enim ultima, que secundum ordinem figura &lt;decima&gt; octava est, autor ipse in hiis verbis manifeste intelligit, non ut quedam </w:t>
      </w:r>
      <w:r w:rsidR="00C2234C">
        <w:t>(</w:t>
      </w:r>
      <w:r w:rsidR="00C2234C" w:rsidRPr="00C2234C">
        <w:rPr>
          <w:i/>
          <w:iCs/>
        </w:rPr>
        <w:t>lege:</w:t>
      </w:r>
      <w:r w:rsidR="00C2234C">
        <w:t xml:space="preserve"> quidam) </w:t>
      </w:r>
      <w:r w:rsidRPr="00C2234C">
        <w:rPr>
          <w:lang w:val="la-Latn"/>
        </w:rPr>
        <w:t xml:space="preserve">volunt de XV, que iudex appellatur. Quod duobus modis ostenditur: uno modo, quoniam XV ex paribus semper punctis construitur, si dispositio figurarum recte facta fuerit. </w:t>
      </w:r>
    </w:p>
    <w:p w14:paraId="44E04CE3" w14:textId="77777777" w:rsidR="00242EFA" w:rsidRPr="00C2234C" w:rsidRDefault="00242EFA" w:rsidP="00242EFA">
      <w:pPr>
        <w:rPr>
          <w:lang w:val="la-Latn"/>
        </w:rPr>
      </w:pPr>
      <w:r w:rsidRPr="00C2234C">
        <w:rPr>
          <w:lang w:val="la-Latn"/>
        </w:rPr>
        <w:t>34</w:t>
      </w:r>
      <w:r w:rsidRPr="00C2234C">
        <w:rPr>
          <w:lang w:val="la-Latn"/>
        </w:rPr>
        <w:tab/>
        <w:t>Hec autem ultima de qua autor intendit, id est XVIII, aliquando ex paribus aliquando ex imparibus punctis colligitur, q&lt;u&gt;id tum ex ipsa figurarum dispositione ad oculum etiam evidens est; tum ex ipsis verbis autoris. Cum enim dicit: ‘si ceciderit unum p[ar]ar</w:t>
      </w:r>
      <w:r w:rsidRPr="00C2234C">
        <w:rPr>
          <w:rStyle w:val="FootnoteReference"/>
          <w:lang w:val="la-Latn"/>
        </w:rPr>
        <w:footnoteReference w:id="701"/>
      </w:r>
      <w:r w:rsidRPr="00C2234C">
        <w:rPr>
          <w:lang w:val="la-Latn"/>
        </w:rPr>
        <w:t xml:space="preserve"> et unum par et duo imparia’, figuram ex inparibus punctis innuit. Cumque dixerit: ‘Si ceciderit primum /123r/ inpar, secundum par, tertium inpar, quartum par,’ figuram parem a par[c]te determinavit.</w:t>
      </w:r>
    </w:p>
    <w:p w14:paraId="6BF28CA9" w14:textId="77777777" w:rsidR="00242EFA" w:rsidRPr="00C2234C" w:rsidRDefault="00242EFA" w:rsidP="00242EFA">
      <w:pPr>
        <w:rPr>
          <w:lang w:val="la-Latn"/>
        </w:rPr>
      </w:pPr>
      <w:r w:rsidRPr="00C2234C">
        <w:rPr>
          <w:lang w:val="la-Latn"/>
        </w:rPr>
        <w:t>35</w:t>
      </w:r>
      <w:r w:rsidRPr="00C2234C">
        <w:rPr>
          <w:lang w:val="la-Latn"/>
        </w:rPr>
        <w:tab/>
        <w:t>Altero quidem modo: quoniam si investigando cogitationi XV semper sum&lt;m&gt;atur, cum dicit ‘si ceciderit hec sors’, aut vix, aut raro &lt;de&gt;terminaretur querentis intentio. Quod ipse etiam in iudicio ipso prospicies. Secundum tamen querendam sententiam de XVI, que ex prima et XV postreme colligitur, intelligendum est quod dicit autor ‘si ceciderit hec sors’. Quotiens enim in questionis causam terminare volunt statim, et ex prima et XV collectam XVI respiciunt, que figura sit ex XVI figuris quas ponit autor in serie capitulorum.</w:t>
      </w:r>
    </w:p>
    <w:p w14:paraId="530B1452" w14:textId="42E3AF4E" w:rsidR="00242EFA" w:rsidRPr="00C2234C" w:rsidRDefault="00242EFA" w:rsidP="00242EFA">
      <w:pPr>
        <w:rPr>
          <w:lang w:val="la-Latn"/>
        </w:rPr>
      </w:pPr>
      <w:r w:rsidRPr="00C2234C">
        <w:rPr>
          <w:lang w:val="la-Latn"/>
        </w:rPr>
        <w:t>36</w:t>
      </w:r>
      <w:r w:rsidRPr="00C2234C">
        <w:rPr>
          <w:lang w:val="la-Latn"/>
        </w:rPr>
        <w:tab/>
        <w:t>Quo facto, secundum naturam illius, querentis intentionem determinant, sicut autoris ipsa verba determinant cum dicit ‘si ceciderit h</w:t>
      </w:r>
      <w:r w:rsidR="0064350E" w:rsidRPr="00C2234C">
        <w:rPr>
          <w:lang w:val="la-Latn"/>
        </w:rPr>
        <w:t>e</w:t>
      </w:r>
      <w:r w:rsidRPr="00C2234C">
        <w:rPr>
          <w:lang w:val="la-Latn"/>
        </w:rPr>
        <w:t>c sors’, eodem modo per XVI capitula postrema que sic incipiunt: ‘Hec figura vocatur capud arieti</w:t>
      </w:r>
      <w:r w:rsidR="00F82666">
        <w:t>s</w:t>
      </w:r>
      <w:r w:rsidRPr="00C2234C">
        <w:rPr>
          <w:lang w:val="la-Latn"/>
        </w:rPr>
        <w:t xml:space="preserve"> etc.’, querentis intentionem determinant.  Collecta enim ut(?) dictum est XVI ex prima et XV</w:t>
      </w:r>
      <w:r w:rsidR="003E7428">
        <w:t>,</w:t>
      </w:r>
      <w:r w:rsidRPr="00C2234C">
        <w:rPr>
          <w:lang w:val="la-Latn"/>
        </w:rPr>
        <w:t xml:space="preserve"> respiciunt in quod capitulum predictorum XVI incidit collecta figura XVIa. Quo facto, secundum sentenciam inventi capituli, causam questionis absolvunt. Possumus igitur per hanc XVI quemadmodum dictum est, de XVIIIa ubicumque inter XII domicilia reperiatur, intentionem iudicare, scilicet secundum naturam domicilii in quo reperitur. </w:t>
      </w:r>
    </w:p>
    <w:p w14:paraId="6B178167" w14:textId="33C91AA1" w:rsidR="00242EFA" w:rsidRPr="00C2234C" w:rsidRDefault="00242EFA" w:rsidP="00242EFA">
      <w:pPr>
        <w:rPr>
          <w:lang w:val="la-Latn"/>
        </w:rPr>
      </w:pPr>
      <w:r w:rsidRPr="00C2234C">
        <w:rPr>
          <w:lang w:val="la-Latn"/>
        </w:rPr>
        <w:t>37</w:t>
      </w:r>
      <w:r w:rsidRPr="00C2234C">
        <w:rPr>
          <w:lang w:val="la-Latn"/>
        </w:rPr>
        <w:tab/>
        <w:t>Si vero fuerit in pluribus domiciliis simul secundum naturam postremi domicilii fiet iudicium, a quo deinde instauratur compotus usque ad domicilium quesiti negotii deducetur. Ibique, secundum naturam inventi domicilii, fiet iudicium hoc diligenter observato ut numerando semper fiat compotus numerandi a primo ad VIII, per XII et XI et X et IX, secundum quod premisimus, ut per XVIII causam questionis absolvimus.</w:t>
      </w:r>
    </w:p>
    <w:p w14:paraId="7FCC30AB" w14:textId="77777777" w:rsidR="00242EFA" w:rsidRPr="00C2234C" w:rsidRDefault="00242EFA" w:rsidP="00242EFA">
      <w:pPr>
        <w:rPr>
          <w:lang w:val="la-Latn"/>
        </w:rPr>
      </w:pPr>
      <w:r w:rsidRPr="00C2234C">
        <w:rPr>
          <w:lang w:val="la-Latn"/>
        </w:rPr>
        <w:t>38</w:t>
      </w:r>
      <w:r w:rsidRPr="00C2234C">
        <w:rPr>
          <w:lang w:val="la-Latn"/>
        </w:rPr>
        <w:tab/>
        <w:t xml:space="preserve">Figure vero tres postreme, XIII, XIIII et XV, diligenter in omni iudicio sunt intuende. Due enim istarum prime vocantur testes duodecim domorum et rei quesite, et precipue XIII, que est testimonium in numero omnium, simile planete a cuius coniunctione vel respectu luna separatur. Innuit super radicem cogitationum et significat res preteritas. </w:t>
      </w:r>
    </w:p>
    <w:p w14:paraId="577411D2" w14:textId="436419F8" w:rsidR="00242EFA" w:rsidRPr="00C2234C" w:rsidRDefault="00242EFA" w:rsidP="00242EFA">
      <w:pPr>
        <w:rPr>
          <w:lang w:val="la-Latn"/>
        </w:rPr>
      </w:pPr>
      <w:r w:rsidRPr="00C2234C">
        <w:rPr>
          <w:lang w:val="la-Latn"/>
        </w:rPr>
        <w:t>39</w:t>
      </w:r>
      <w:r w:rsidRPr="00C2234C">
        <w:rPr>
          <w:lang w:val="la-Latn"/>
        </w:rPr>
        <w:tab/>
        <w:t>XIIII vero similis est planete ad cuius coniunctionem vel aspectum luna vadit. Hec autem innuit super res futuras. Quintadecima radix est totius sortis, et certificatio interrogationis secundum XII domos, ut in astronomia</w:t>
      </w:r>
      <w:r w:rsidR="00D706D8">
        <w:t xml:space="preserve"> p</w:t>
      </w:r>
      <w:r w:rsidRPr="00C2234C">
        <w:rPr>
          <w:lang w:val="la-Latn"/>
        </w:rPr>
        <w:t xml:space="preserve">eritorum huius artis quidam iudicant secundum primam et V, quoniam hec est prima matrum illa prima filiarum. Alii iudicant secundum primam et IIII, quoniam prima est causa initii, alia finis. </w:t>
      </w:r>
    </w:p>
    <w:p w14:paraId="1ADC8F51" w14:textId="77777777" w:rsidR="00242EFA" w:rsidRPr="00C2234C" w:rsidRDefault="00242EFA" w:rsidP="00242EFA">
      <w:pPr>
        <w:rPr>
          <w:lang w:val="la-Latn"/>
        </w:rPr>
      </w:pPr>
      <w:r w:rsidRPr="00C2234C">
        <w:rPr>
          <w:lang w:val="la-Latn"/>
        </w:rPr>
        <w:t>40</w:t>
      </w:r>
      <w:r w:rsidRPr="00C2234C">
        <w:rPr>
          <w:lang w:val="la-Latn"/>
        </w:rPr>
        <w:tab/>
        <w:t>Alii iudicant secundum prima&lt;m&gt;, quia est causa initii, et XV, que est radix totius sortis. Verum tantum</w:t>
      </w:r>
      <w:r w:rsidRPr="00C2234C">
        <w:rPr>
          <w:rStyle w:val="FootnoteReference"/>
          <w:lang w:val="la-Latn"/>
        </w:rPr>
        <w:footnoteReference w:id="702"/>
      </w:r>
      <w:r w:rsidRPr="00C2234C">
        <w:rPr>
          <w:lang w:val="la-Latn"/>
        </w:rPr>
        <w:t xml:space="preserve"> iudicium procedet si inspiciatur quotiens figura occurrerit, et inspiciantur II testes et finis et secundam ipsas iudicetur, quoniam sicut prediximus, XVI figurarum varietates ex punctis et rigis provenire contingunt, verissimum quod sumitur ex domo rei, consideratis pluries contingentibus et ex II testibus et iudice. </w:t>
      </w:r>
    </w:p>
    <w:p w14:paraId="1A72CABA" w14:textId="044D307D" w:rsidR="00242EFA" w:rsidRPr="007B5D56" w:rsidRDefault="00242EFA" w:rsidP="0053014F">
      <w:pPr>
        <w:rPr>
          <w:lang w:val="la-Latn"/>
        </w:rPr>
      </w:pPr>
      <w:r w:rsidRPr="00C2234C">
        <w:rPr>
          <w:lang w:val="la-Latn"/>
        </w:rPr>
        <w:t>41</w:t>
      </w:r>
      <w:r w:rsidRPr="00C2234C">
        <w:rPr>
          <w:lang w:val="la-Latn"/>
        </w:rPr>
        <w:tab/>
        <w:t>Si enim boni fuerint testes bonum proveniet de re quesita. /123v/ Hoc tamen considera: si ille due de bonis vel malis provenerint. Nam si de bono bo&lt;n</w:t>
      </w:r>
      <w:r w:rsidR="00632EA0">
        <w:t>i</w:t>
      </w:r>
      <w:r w:rsidRPr="00C2234C">
        <w:rPr>
          <w:lang w:val="la-Latn"/>
        </w:rPr>
        <w:t>&gt; erunt eventus. Si  vero de malis, econverso. Si vero predicti testes boni fuerint et de malis exierint, illarum malitia remittitur aliquantulum ex bonitate istarum, et econverso. Si vero predicti testes mali fuerint et de malis exierint (lacuna ca. 4 litterarum) de malis et \de/ bonis et econverso</w:t>
      </w:r>
      <w:r w:rsidR="0066619B">
        <w:t xml:space="preserve">, </w:t>
      </w:r>
      <w:r w:rsidR="0066619B" w:rsidRPr="007B5D56">
        <w:t>c</w:t>
      </w:r>
      <w:r w:rsidR="0066619B" w:rsidRPr="007B5D56">
        <w:rPr>
          <w:lang w:val="la-Latn"/>
        </w:rPr>
        <w:t>onversim signabunt a predictis, et hoc secundum illas de quibus exierunt, bene incipit et male de</w:t>
      </w:r>
      <w:r w:rsidR="0053014F" w:rsidRPr="007B5D56">
        <w:t>s</w:t>
      </w:r>
      <w:r w:rsidR="0066619B" w:rsidRPr="007B5D56">
        <w:rPr>
          <w:lang w:val="la-Latn"/>
        </w:rPr>
        <w:t>init, et econverso.</w:t>
      </w:r>
    </w:p>
    <w:p w14:paraId="40D8132B" w14:textId="48DBBC41" w:rsidR="00242EFA" w:rsidRPr="00C2234C" w:rsidRDefault="00242EFA" w:rsidP="00242EFA">
      <w:pPr>
        <w:rPr>
          <w:lang w:val="la-Latn"/>
        </w:rPr>
      </w:pPr>
      <w:r w:rsidRPr="00C2234C">
        <w:rPr>
          <w:lang w:val="la-Latn"/>
        </w:rPr>
        <w:t>42</w:t>
      </w:r>
      <w:r w:rsidRPr="00C2234C">
        <w:rPr>
          <w:lang w:val="la-Latn"/>
        </w:rPr>
        <w:tab/>
        <w:t xml:space="preserve">Si vero prima bona fuerit, testes vero mali bonitas prime aliquantulum minuitur, sed omnino non destruit&lt;ur&gt;. Si autem prima exierunt mala testimonia aut bona, malitia prime testium bonitatem avertit. Nec hoc pretermittendum est: quoniam si exierint de bono et malo, quesitum negotium bene incipiet et male desinet. Si autem de malo et bono, conversim significabit a predictis. </w:t>
      </w:r>
    </w:p>
    <w:p w14:paraId="3C642B0B" w14:textId="28D6B4AC" w:rsidR="00242EFA" w:rsidRPr="00C2234C" w:rsidRDefault="00242EFA" w:rsidP="00242EFA">
      <w:pPr>
        <w:rPr>
          <w:lang w:val="la-Latn"/>
        </w:rPr>
      </w:pPr>
      <w:r w:rsidRPr="00C2234C">
        <w:rPr>
          <w:lang w:val="la-Latn"/>
        </w:rPr>
        <w:t>43</w:t>
      </w:r>
      <w:r w:rsidRPr="00C2234C">
        <w:rPr>
          <w:lang w:val="la-Latn"/>
        </w:rPr>
        <w:tab/>
        <w:t>Consideranda est etiam XVa: utrum bona fuerit vel mala, id est si a bonis vel malis, et a quibus exierit et iuxta rationem predictam iudicari poteris. Nota: quando limes intrans aut res intrans in prima casa occurrerit, tunc iudicium verum erit. Si in prima casa fuerit limes exiens aut res sumpta evadens, innuit falsitatem et debes extrahere unam figuram ex prima et quintadecima, que si fuerit bona erit testimonium boni, si mala</w:t>
      </w:r>
      <w:r w:rsidR="00334D17">
        <w:t>,</w:t>
      </w:r>
      <w:r w:rsidRPr="00C2234C">
        <w:rPr>
          <w:lang w:val="la-Latn"/>
        </w:rPr>
        <w:t xml:space="preserve"> econverso.</w:t>
      </w:r>
    </w:p>
    <w:p w14:paraId="69D41757" w14:textId="77777777" w:rsidR="00242EFA" w:rsidRPr="00C2234C" w:rsidRDefault="00242EFA" w:rsidP="00242EFA">
      <w:pPr>
        <w:ind w:firstLine="0"/>
        <w:rPr>
          <w:lang w:val="la-Latn"/>
        </w:rPr>
      </w:pPr>
    </w:p>
    <w:p w14:paraId="0890565A" w14:textId="07F97D95" w:rsidR="00242EFA" w:rsidRPr="00334D17" w:rsidRDefault="00242EFA" w:rsidP="00334D17">
      <w:pPr>
        <w:ind w:firstLine="0"/>
        <w:jc w:val="center"/>
        <w:rPr>
          <w:b/>
          <w:bCs/>
          <w:lang w:val="la-Latn"/>
        </w:rPr>
      </w:pPr>
      <w:r w:rsidRPr="00334D17">
        <w:rPr>
          <w:b/>
          <w:bCs/>
          <w:lang w:val="la-Latn"/>
        </w:rPr>
        <w:t xml:space="preserve">De regulis inveniendi intentionem secundum </w:t>
      </w:r>
      <w:r w:rsidR="00334D17" w:rsidRPr="00334D17">
        <w:rPr>
          <w:b/>
          <w:bCs/>
        </w:rPr>
        <w:t>A</w:t>
      </w:r>
      <w:r w:rsidRPr="00334D17">
        <w:rPr>
          <w:b/>
          <w:bCs/>
          <w:lang w:val="la-Latn"/>
        </w:rPr>
        <w:t>ephata astrologum.</w:t>
      </w:r>
    </w:p>
    <w:p w14:paraId="244D63D5" w14:textId="77777777" w:rsidR="00242EFA" w:rsidRPr="00C2234C" w:rsidRDefault="00242EFA" w:rsidP="00242EFA">
      <w:pPr>
        <w:ind w:firstLine="0"/>
        <w:rPr>
          <w:lang w:val="la-Latn"/>
        </w:rPr>
      </w:pPr>
    </w:p>
    <w:p w14:paraId="47FBB181" w14:textId="42ABF35A" w:rsidR="00242EFA" w:rsidRPr="00C2234C" w:rsidRDefault="00242EFA" w:rsidP="00242EFA">
      <w:pPr>
        <w:rPr>
          <w:lang w:val="la-Latn"/>
        </w:rPr>
      </w:pPr>
      <w:r w:rsidRPr="00C2234C">
        <w:rPr>
          <w:lang w:val="la-Latn"/>
        </w:rPr>
        <w:t>44</w:t>
      </w:r>
      <w:r w:rsidRPr="00C2234C">
        <w:rPr>
          <w:lang w:val="la-Latn"/>
        </w:rPr>
        <w:tab/>
        <w:t xml:space="preserve">Hec sunt regule quas excepit </w:t>
      </w:r>
      <w:r w:rsidR="00AC62DA">
        <w:t>A</w:t>
      </w:r>
      <w:r w:rsidRPr="00C2234C">
        <w:rPr>
          <w:lang w:val="la-Latn"/>
        </w:rPr>
        <w:t>ephatan sapiens astronomicus cum quibus operatus est in vita sua et post illum arabes usion (?) et egiptii ceterique sapientes. Iste sunt IIIIor regule que te docebunt quid velint vel quid cogitant homines prius t&lt;amen&gt;</w:t>
      </w:r>
      <w:r w:rsidRPr="00C2234C">
        <w:rPr>
          <w:rStyle w:val="FootnoteReference"/>
          <w:lang w:val="la-Latn"/>
        </w:rPr>
        <w:footnoteReference w:id="703"/>
      </w:r>
      <w:r w:rsidRPr="00C2234C">
        <w:rPr>
          <w:lang w:val="la-Latn"/>
        </w:rPr>
        <w:t xml:space="preserve"> manifestum sit quid in corde teneatur. Quas regulas sine numero series</w:t>
      </w:r>
      <w:r w:rsidR="00A0587B">
        <w:t xml:space="preserve"> (</w:t>
      </w:r>
      <w:r w:rsidR="00A0587B" w:rsidRPr="00A0587B">
        <w:rPr>
          <w:i/>
          <w:iCs/>
        </w:rPr>
        <w:t>lege</w:t>
      </w:r>
      <w:r w:rsidR="00A0587B">
        <w:t>: scies)</w:t>
      </w:r>
      <w:r w:rsidRPr="00C2234C">
        <w:rPr>
          <w:lang w:val="la-Latn"/>
        </w:rPr>
        <w:t>.</w:t>
      </w:r>
    </w:p>
    <w:p w14:paraId="1DD57483" w14:textId="50ECA8FB" w:rsidR="00242EFA" w:rsidRPr="00C2234C" w:rsidRDefault="00242EFA" w:rsidP="00242EFA">
      <w:pPr>
        <w:rPr>
          <w:lang w:val="la-Latn"/>
        </w:rPr>
      </w:pPr>
      <w:r w:rsidRPr="00C2234C">
        <w:rPr>
          <w:lang w:val="la-Latn"/>
        </w:rPr>
        <w:t>45</w:t>
      </w:r>
      <w:r w:rsidRPr="00C2234C">
        <w:rPr>
          <w:lang w:val="la-Latn"/>
        </w:rPr>
        <w:tab/>
        <w:t>Et si remanserit in ultima computatione tale signum (1111) dic ei: ‘Tu interrogas me pro motione vel itinere de loco ad locum’. Si responderit: ‘Verum’, dic quod custodiat de socio suo qui tradet eum, seducet vel de corpore suo, vel pecunia</w:t>
      </w:r>
      <w:r w:rsidR="00FA7E88">
        <w:t>. Q</w:t>
      </w:r>
      <w:r w:rsidRPr="00C2234C">
        <w:rPr>
          <w:lang w:val="la-Latn"/>
        </w:rPr>
        <w:t>uod si dixerit: ‘Volo iter ager</w:t>
      </w:r>
      <w:r w:rsidR="001550A3">
        <w:t>e</w:t>
      </w:r>
      <w:r w:rsidRPr="00C2234C">
        <w:rPr>
          <w:lang w:val="la-Latn"/>
        </w:rPr>
        <w:t>’, dic ei: ‘Inquiris pro homine qui est in itinere, vel pro homine qui a te elongatus est, aut pro re perdita que exivit de manu tua quam recuperabis, et serviens simul cum furto motus est de loco ad locum. Et hec sors bona est in emendo vel vendendo, et in dare vel accipere et res quam vis accipere bona erit, et res iam perdita non revertetur, nisi deo placuerit’.</w:t>
      </w:r>
    </w:p>
    <w:p w14:paraId="20E3867B" w14:textId="02CBF719" w:rsidR="00242EFA" w:rsidRPr="00C2234C" w:rsidRDefault="00242EFA" w:rsidP="00242EFA">
      <w:pPr>
        <w:rPr>
          <w:lang w:val="la-Latn"/>
        </w:rPr>
      </w:pPr>
      <w:r w:rsidRPr="00C2234C">
        <w:rPr>
          <w:lang w:val="la-Latn"/>
        </w:rPr>
        <w:t>46</w:t>
      </w:r>
      <w:r w:rsidRPr="00C2234C">
        <w:rPr>
          <w:lang w:val="la-Latn"/>
        </w:rPr>
        <w:tab/>
        <w:t>De significatione limitis exeuntis. Si venerint tres a duo in hac similitudine (1112) dic: ‘Tu inquiris pro itinere agendo vel parente qui a te elongatur, vel re perdita quam non recuperabis’. Qui</w:t>
      </w:r>
      <w:r w:rsidRPr="00C2234C">
        <w:rPr>
          <w:rStyle w:val="FootnoteReference"/>
          <w:lang w:val="la-Latn"/>
        </w:rPr>
        <w:footnoteReference w:id="704"/>
      </w:r>
      <w:r w:rsidRPr="00C2234C">
        <w:rPr>
          <w:lang w:val="la-Latn"/>
        </w:rPr>
        <w:t xml:space="preserve"> hec sors ceciderit, non habet bonam horam nisi in itinere, &lt;nec&gt; sponsalia&lt;s&gt; facere /124r/ neque nubere bonum est. Infirmus morietur vel infirmitas prolongabitur et homo qui foras exivit non revertetur domum, neque res perdita, aventura sua bona cecid&lt;er&gt;it, domus quedeserta et </w:t>
      </w:r>
      <w:r w:rsidR="001550A3">
        <w:t>(</w:t>
      </w:r>
      <w:r w:rsidR="001550A3" w:rsidRPr="001550A3">
        <w:rPr>
          <w:i/>
          <w:iCs/>
        </w:rPr>
        <w:t>lege:</w:t>
      </w:r>
      <w:r w:rsidR="001550A3">
        <w:t xml:space="preserve"> ex) </w:t>
      </w:r>
      <w:r w:rsidRPr="00C2234C">
        <w:rPr>
          <w:lang w:val="la-Latn"/>
        </w:rPr>
        <w:t>casu malo adveniente, et creator plus sapiens est.</w:t>
      </w:r>
    </w:p>
    <w:p w14:paraId="53AADBB3" w14:textId="77777777" w:rsidR="00242EFA" w:rsidRPr="00C2234C" w:rsidRDefault="00242EFA" w:rsidP="00242EFA">
      <w:pPr>
        <w:rPr>
          <w:b/>
          <w:bCs/>
          <w:lang w:val="la-Latn"/>
        </w:rPr>
      </w:pPr>
      <w:r w:rsidRPr="00C2234C">
        <w:rPr>
          <w:lang w:val="la-Latn"/>
        </w:rPr>
        <w:t>47</w:t>
      </w:r>
      <w:r w:rsidRPr="00C2234C">
        <w:rPr>
          <w:lang w:val="la-Latn"/>
        </w:rPr>
        <w:tab/>
        <w:t>De significatione fortune minoris.</w:t>
      </w:r>
      <w:r w:rsidRPr="00C2234C">
        <w:rPr>
          <w:b/>
          <w:bCs/>
          <w:lang w:val="la-Latn"/>
        </w:rPr>
        <w:t xml:space="preserve"> </w:t>
      </w:r>
      <w:r w:rsidRPr="00C2234C">
        <w:rPr>
          <w:lang w:val="la-Latn"/>
        </w:rPr>
        <w:t>Si exierint duo inparia et duo paria ut hic (1122), ipse inquirit pro itinere vel pro mutatione domus, &lt;vel&gt; de loco ad locum, et est in omni re bonum. Si dixerit: ‘Nolo istud facere quod dicis’, dic ei: ‘Tu interrogas me pro homine qui exierit a te, et queris illud separare a te, sicut est mulier vel serviens, vel animal, aut pro persona que non revertetur. Et ad presens aliquid perdes, et infirmus quem habes manibus infirmatur, et homo qui a te exiverit mare transfretavit qui et longam faciet moram, et omnia que queris accipere grave tibi evenient et in loco in quo dubitas milites ibi tecum sunt et inimici. Custodi animam tuam’.</w:t>
      </w:r>
    </w:p>
    <w:p w14:paraId="5CBB32A6" w14:textId="77777777" w:rsidR="00242EFA" w:rsidRPr="00C2234C" w:rsidRDefault="00242EFA" w:rsidP="00242EFA">
      <w:pPr>
        <w:rPr>
          <w:b/>
          <w:bCs/>
          <w:lang w:val="la-Latn"/>
        </w:rPr>
      </w:pPr>
      <w:r w:rsidRPr="00C2234C">
        <w:rPr>
          <w:lang w:val="la-Latn"/>
        </w:rPr>
        <w:t>48</w:t>
      </w:r>
      <w:r w:rsidRPr="00C2234C">
        <w:rPr>
          <w:lang w:val="la-Latn"/>
        </w:rPr>
        <w:tab/>
        <w:t>De significatione capitis alti.</w:t>
      </w:r>
      <w:r w:rsidRPr="00C2234C">
        <w:rPr>
          <w:b/>
          <w:bCs/>
          <w:lang w:val="la-Latn"/>
        </w:rPr>
        <w:t xml:space="preserve"> </w:t>
      </w:r>
      <w:r w:rsidRPr="00C2234C">
        <w:rPr>
          <w:lang w:val="la-Latn"/>
        </w:rPr>
        <w:t>Si ceciderit hec sors (1222), interrogat pro patre qui ab eo recessit, vel avunculo, vel pro servo quem queris vendere vel a se separare, bonum est iter agere, hominem qui recessit tarde revertetur, et rem quam vendere queris bonum, et quicquid petis cito habebis, bonum est vendere vel iter arripere, et infirmus moveat se de loco ad locum et sanabitur. Mulier pariet filiam et quicumque ex manu tua exibunt non redibunt. Deus novit plus quam ego.</w:t>
      </w:r>
    </w:p>
    <w:p w14:paraId="1492F53B" w14:textId="77777777" w:rsidR="00242EFA" w:rsidRPr="00C2234C" w:rsidRDefault="00242EFA" w:rsidP="00242EFA">
      <w:pPr>
        <w:rPr>
          <w:b/>
          <w:bCs/>
          <w:lang w:val="la-Latn"/>
        </w:rPr>
      </w:pPr>
      <w:r w:rsidRPr="00C2234C">
        <w:rPr>
          <w:lang w:val="la-Latn"/>
        </w:rPr>
        <w:t>49</w:t>
      </w:r>
      <w:r w:rsidRPr="00C2234C">
        <w:rPr>
          <w:lang w:val="la-Latn"/>
        </w:rPr>
        <w:tab/>
        <w:t>De significatione capitis imi.</w:t>
      </w:r>
      <w:r w:rsidRPr="00C2234C">
        <w:rPr>
          <w:b/>
          <w:bCs/>
          <w:lang w:val="la-Latn"/>
        </w:rPr>
        <w:t xml:space="preserve"> </w:t>
      </w:r>
      <w:r w:rsidRPr="00C2234C">
        <w:rPr>
          <w:lang w:val="la-Latn"/>
        </w:rPr>
        <w:t>Si ceciderit hec sors (2221), scias quod te interrogat pro fratribus suis vel parentibus, vel amicis, vel nuncio bono qui venit cum carta, vel cito veniet, vel homo qui exivit ab eo cito redibit. Aut interrogat pro sponsaliis, aut pro puella si iam corrupta est, aut pro pregnante que iam pariet filium, et homo qui venit ab</w:t>
      </w:r>
      <w:r w:rsidRPr="00C2234C">
        <w:rPr>
          <w:rStyle w:val="FootnoteReference"/>
          <w:lang w:val="la-Latn"/>
        </w:rPr>
        <w:footnoteReference w:id="705"/>
      </w:r>
      <w:r w:rsidRPr="00C2234C">
        <w:rPr>
          <w:lang w:val="la-Latn"/>
        </w:rPr>
        <w:t xml:space="preserve"> te mare transibit vel flumen magnum. Sed male serviens cito redibit in domum, furtum et res perdita cito revertetur, et hec sors bona est pro accipere et mala pro dare.</w:t>
      </w:r>
    </w:p>
    <w:p w14:paraId="64D693A0" w14:textId="07A3EF37" w:rsidR="00242EFA" w:rsidRPr="00C2234C" w:rsidRDefault="00242EFA" w:rsidP="00A50A2F">
      <w:pPr>
        <w:rPr>
          <w:lang w:val="la-Latn"/>
        </w:rPr>
      </w:pPr>
      <w:r w:rsidRPr="00C2234C">
        <w:rPr>
          <w:lang w:val="la-Latn"/>
        </w:rPr>
        <w:t>50</w:t>
      </w:r>
      <w:r w:rsidRPr="00C2234C">
        <w:rPr>
          <w:lang w:val="la-Latn"/>
        </w:rPr>
        <w:tab/>
        <w:t>De significatione collectionis.</w:t>
      </w:r>
      <w:r w:rsidRPr="00C2234C">
        <w:rPr>
          <w:b/>
          <w:bCs/>
          <w:lang w:val="la-Latn"/>
        </w:rPr>
        <w:t xml:space="preserve"> </w:t>
      </w:r>
      <w:r w:rsidRPr="00C2234C">
        <w:rPr>
          <w:lang w:val="la-Latn"/>
        </w:rPr>
        <w:t>Si ceciderit hec sors (2222), ipse qui te interrogat iturus est supra mare vel iter habebit, pluvias, et in hiis tamen salvamen habebit. Interrogas pro homine qui a te exivit et mulier</w:t>
      </w:r>
      <w:r w:rsidR="00617AEA">
        <w:t>e</w:t>
      </w:r>
      <w:r w:rsidRPr="00C2234C">
        <w:rPr>
          <w:lang w:val="la-Latn"/>
        </w:rPr>
        <w:t xml:space="preserve"> pregnata si paritura est cum salute, et pro perdita bestiarum, et pro itinere ex</w:t>
      </w:r>
      <w:r w:rsidR="00617AEA">
        <w:t>[</w:t>
      </w:r>
      <w:r w:rsidRPr="00C2234C">
        <w:rPr>
          <w:lang w:val="la-Latn"/>
        </w:rPr>
        <w:t>c</w:t>
      </w:r>
      <w:r w:rsidR="00617AEA">
        <w:t>]</w:t>
      </w:r>
      <w:r w:rsidRPr="00C2234C">
        <w:rPr>
          <w:lang w:val="la-Latn"/>
        </w:rPr>
        <w:t>ercitus de quo cum salute redibit, et pro revertione /124v/ patre</w:t>
      </w:r>
      <w:r w:rsidR="00D75A48" w:rsidRPr="00C2234C">
        <w:rPr>
          <w:lang w:val="la-Latn"/>
        </w:rPr>
        <w:t>,</w:t>
      </w:r>
      <w:r w:rsidRPr="00C2234C">
        <w:rPr>
          <w:rStyle w:val="FootnoteReference"/>
          <w:lang w:val="la-Latn"/>
        </w:rPr>
        <w:footnoteReference w:id="706"/>
      </w:r>
      <w:r w:rsidRPr="00C2234C">
        <w:rPr>
          <w:lang w:val="la-Latn"/>
        </w:rPr>
        <w:t xml:space="preserve"> et pro iudicio domorum quas cupis habere, pro vincta hominum qui conveniunt, super infirmum qui habet metum mortis. Hec sors concedit omnia bona scilicet sponsalia</w:t>
      </w:r>
      <w:r w:rsidR="00A50A2F">
        <w:t xml:space="preserve"> </w:t>
      </w:r>
      <w:r w:rsidRPr="00C2234C">
        <w:rPr>
          <w:lang w:val="la-Latn"/>
        </w:rPr>
        <w:t>facere, et homo qui foras est veniet cum salute. Infirmus sanabitur, omne bonum concedit. Salutis, prosperitatem, honorem et quicquid queris habebit, factum unum bonum erit, nec dimittas facere</w:t>
      </w:r>
      <w:r w:rsidR="00A50A2F">
        <w:t>. M</w:t>
      </w:r>
      <w:r w:rsidRPr="00C2234C">
        <w:rPr>
          <w:lang w:val="la-Latn"/>
        </w:rPr>
        <w:t>e habes in animo perutile tibi erit.</w:t>
      </w:r>
    </w:p>
    <w:p w14:paraId="16EA4E00" w14:textId="33A1A2AE" w:rsidR="00242EFA" w:rsidRPr="00C2234C" w:rsidRDefault="00242EFA" w:rsidP="00242EFA">
      <w:pPr>
        <w:rPr>
          <w:b/>
          <w:bCs/>
          <w:lang w:val="la-Latn"/>
        </w:rPr>
      </w:pPr>
      <w:r w:rsidRPr="00C2234C">
        <w:rPr>
          <w:lang w:val="la-Latn"/>
        </w:rPr>
        <w:t>51</w:t>
      </w:r>
      <w:r w:rsidRPr="00C2234C">
        <w:rPr>
          <w:lang w:val="la-Latn"/>
        </w:rPr>
        <w:tab/>
        <w:t>De significatione fortune maioris.</w:t>
      </w:r>
      <w:r w:rsidRPr="00C2234C">
        <w:rPr>
          <w:b/>
          <w:bCs/>
          <w:lang w:val="la-Latn"/>
        </w:rPr>
        <w:t xml:space="preserve"> </w:t>
      </w:r>
      <w:r w:rsidRPr="00C2234C">
        <w:rPr>
          <w:lang w:val="la-Latn"/>
        </w:rPr>
        <w:t>Si ceciderint duo paria et duo inparia hoc modo (2211), scias quod te interrogat pro animali rubeo quod querit habere, quod vel emit vel exivit a manu quod cito recuperabis. Si dixerit: ‘Non’, dic ei: ‘Interrogas pro muliere pregnante que paritura est filium et homine qui exivit a te et cito veniet, vel littere eius tibi venient, vel nuncius eius nec iam venit; vel perquiris de denariis qui ventura sunt in manu tua, vel bestia, vel muliere, et est bonum iter arripere, sponsalia facere, bellum inire, et res furata cito domum redibit. Infirmus sanabitur et de eo sanguis exibit, et homo qui est in itinere infirmus redibit, et quicquid interrogasti iam tecum est. Et quod tenes in mente facere fac, quia bonum tibi erit, si deo placuerit</w:t>
      </w:r>
      <w:r w:rsidR="00B174BC" w:rsidRPr="00C2234C">
        <w:rPr>
          <w:lang w:val="la-Latn"/>
        </w:rPr>
        <w:t>.</w:t>
      </w:r>
      <w:r w:rsidRPr="00C2234C">
        <w:rPr>
          <w:lang w:val="la-Latn"/>
        </w:rPr>
        <w:t>’</w:t>
      </w:r>
    </w:p>
    <w:p w14:paraId="35BF068E" w14:textId="77777777" w:rsidR="00242EFA" w:rsidRPr="00C2234C" w:rsidRDefault="00242EFA" w:rsidP="00242EFA">
      <w:pPr>
        <w:rPr>
          <w:lang w:val="la-Latn"/>
        </w:rPr>
      </w:pPr>
      <w:r w:rsidRPr="00C2234C">
        <w:rPr>
          <w:lang w:val="la-Latn"/>
        </w:rPr>
        <w:t>52</w:t>
      </w:r>
      <w:r w:rsidRPr="00C2234C">
        <w:rPr>
          <w:lang w:val="la-Latn"/>
        </w:rPr>
        <w:tab/>
        <w:t>De significatione limitis intrantis. Si ceciderint duo paria et tria inparia sic (2111), scias quod te interrogat pro honore quem cupit habere et pro desponsaliis que querunt</w:t>
      </w:r>
      <w:r w:rsidRPr="00C2234C">
        <w:rPr>
          <w:rStyle w:val="FootnoteReference"/>
          <w:lang w:val="la-Latn"/>
        </w:rPr>
        <w:footnoteReference w:id="707"/>
      </w:r>
      <w:r w:rsidRPr="00C2234C">
        <w:rPr>
          <w:lang w:val="la-Latn"/>
        </w:rPr>
        <w:t xml:space="preserve"> facere, et gaudium quod querit habere vel facere, et per se et divitie et omne bonum, et honor qui tibi venturus est, bonum est nisi in itinere et quando vis vendere, sed si fecerit iter ad dominum suum, iter hoc utile est sibi, quia adquiret inde honorem, mulier pariet filium. Qui est in itinere redit. Infirmus sanatur. Res perdita vel furata redit de domo est</w:t>
      </w:r>
      <w:r w:rsidRPr="00C2234C">
        <w:rPr>
          <w:rStyle w:val="FootnoteReference"/>
          <w:lang w:val="la-Latn"/>
        </w:rPr>
        <w:footnoteReference w:id="708"/>
      </w:r>
      <w:r w:rsidRPr="00C2234C">
        <w:rPr>
          <w:lang w:val="la-Latn"/>
        </w:rPr>
        <w:t xml:space="preserve"> qui furatus est eam, sed cito reponet eam in domo, et quis reputaverit in hac sorte pro thesauro suspecto in terra abscondito, ibi est in quo cogitat, et quicquid petierit inpetrabit. In omni faciendo bona est nisi iter arripere vel vendere, sicut supradiximus, et quicquid voluerit utile erit, sed deus novit plus quam ego.</w:t>
      </w:r>
    </w:p>
    <w:p w14:paraId="7C6B4408" w14:textId="77777777" w:rsidR="00242EFA" w:rsidRPr="00C2234C" w:rsidRDefault="00242EFA" w:rsidP="00242EFA">
      <w:pPr>
        <w:rPr>
          <w:b/>
          <w:bCs/>
          <w:lang w:val="la-Latn"/>
        </w:rPr>
      </w:pPr>
      <w:r w:rsidRPr="00C2234C">
        <w:rPr>
          <w:lang w:val="la-Latn"/>
        </w:rPr>
        <w:t>53</w:t>
      </w:r>
      <w:r w:rsidRPr="00C2234C">
        <w:rPr>
          <w:lang w:val="la-Latn"/>
        </w:rPr>
        <w:tab/>
        <w:t>De significatione pueri.</w:t>
      </w:r>
      <w:r w:rsidRPr="00C2234C">
        <w:rPr>
          <w:b/>
          <w:bCs/>
          <w:lang w:val="la-Latn"/>
        </w:rPr>
        <w:t xml:space="preserve"> </w:t>
      </w:r>
      <w:r w:rsidRPr="00C2234C">
        <w:rPr>
          <w:lang w:val="la-Latn"/>
        </w:rPr>
        <w:t>Si ceciderit unum inpar et unum par et duo inpar sic (1211), interrogat te pro pecunia accipere vel causis, vel terris sub quibus magnus thesaurus absconditur. Si dixerit ‘Non’, dic ei quod</w:t>
      </w:r>
      <w:r w:rsidRPr="00C2234C">
        <w:rPr>
          <w:rStyle w:val="FootnoteReference"/>
          <w:lang w:val="la-Latn"/>
        </w:rPr>
        <w:footnoteReference w:id="709"/>
      </w:r>
      <w:r w:rsidRPr="00C2234C">
        <w:rPr>
          <w:lang w:val="la-Latn"/>
        </w:rPr>
        <w:t xml:space="preserve"> querit nubere, aut amicus venit, omni quo&lt;que&gt;  gaudium habebit, vel associabitur cum participe cum quo omne bonum habebit, hec sors pro omni re bona est acceptus, mulier pregnata paret filium, et cui hec sors ceciderit, multam pecuniam feliciter lucrabitur, pro qua nullum patietur detrimentum, neque iram dei sui. Cuidam iam cecidit hec figura, /125r/ qui vendidit alteri mille marbotinos et exiens negotiari lucratus est tria milia.</w:t>
      </w:r>
    </w:p>
    <w:p w14:paraId="3A1DEDED" w14:textId="3519C20C" w:rsidR="00242EFA" w:rsidRPr="00C2234C" w:rsidRDefault="00242EFA" w:rsidP="00242EFA">
      <w:pPr>
        <w:rPr>
          <w:b/>
          <w:bCs/>
          <w:lang w:val="la-Latn"/>
        </w:rPr>
      </w:pPr>
      <w:r w:rsidRPr="00C2234C">
        <w:rPr>
          <w:lang w:val="la-Latn"/>
        </w:rPr>
        <w:t>54</w:t>
      </w:r>
      <w:r w:rsidRPr="00C2234C">
        <w:rPr>
          <w:lang w:val="la-Latn"/>
        </w:rPr>
        <w:tab/>
        <w:t>De significatione amissionis.</w:t>
      </w:r>
      <w:r w:rsidRPr="00C2234C">
        <w:rPr>
          <w:b/>
          <w:bCs/>
          <w:lang w:val="la-Latn"/>
        </w:rPr>
        <w:t xml:space="preserve"> </w:t>
      </w:r>
      <w:r w:rsidRPr="00C2234C">
        <w:rPr>
          <w:lang w:val="la-Latn"/>
        </w:rPr>
        <w:t>Si hec sors ceciderit (1212), scias quod pro seipso interrogat et pro homine suo. Dic ei omne bonum [omne] tibi veniet. Si dixerit: ‘Non quero pro hiis’, dicit ei: ‘Tu queris pro marito tuo qui a te exivit et magnum inter te et ipsum est, vel pro itinere super aquas, vel pro re quam perdidisti. Hec sors est bona in mutare de loco ad locum, et omnis res que perdita est non recuperabitur. Sed vendere bonum est, rem quam vis a te auferre malum est, et quicquid perdidisti et a te exivit non revertetur, bonum est pro infirmo, et captivo in vinculis, pregnata pariet filium, serviens cito redibit</w:t>
      </w:r>
      <w:r w:rsidR="0084705D" w:rsidRPr="00C2234C">
        <w:rPr>
          <w:lang w:val="la-Latn"/>
        </w:rPr>
        <w:t>.</w:t>
      </w:r>
      <w:r w:rsidRPr="00C2234C">
        <w:rPr>
          <w:lang w:val="la-Latn"/>
        </w:rPr>
        <w:t>’ Deus plus novit quam ego.</w:t>
      </w:r>
    </w:p>
    <w:p w14:paraId="293D833A" w14:textId="6636B352" w:rsidR="00242EFA" w:rsidRPr="00C2234C" w:rsidRDefault="00242EFA" w:rsidP="00242EFA">
      <w:pPr>
        <w:rPr>
          <w:b/>
          <w:bCs/>
          <w:lang w:val="la-Latn"/>
        </w:rPr>
      </w:pPr>
      <w:r w:rsidRPr="00C2234C">
        <w:rPr>
          <w:lang w:val="la-Latn"/>
        </w:rPr>
        <w:t>55</w:t>
      </w:r>
      <w:r w:rsidRPr="00C2234C">
        <w:rPr>
          <w:lang w:val="la-Latn"/>
        </w:rPr>
        <w:tab/>
        <w:t>De significatione adquisitionis.</w:t>
      </w:r>
      <w:r w:rsidRPr="00C2234C">
        <w:rPr>
          <w:b/>
          <w:bCs/>
          <w:lang w:val="la-Latn"/>
        </w:rPr>
        <w:t xml:space="preserve"> </w:t>
      </w:r>
      <w:r w:rsidRPr="00C2234C">
        <w:rPr>
          <w:lang w:val="la-Latn"/>
        </w:rPr>
        <w:t xml:space="preserve">Si ceciderit hec sors (2121), interrogat pro bestia et pro pecunia quam intrabit manum suam. Nuncius veniet cum bono omine, omnis res perdita domum redibit, bonum est iter arripere, et si quid est a se separare, malum est, mulier pregnata pariet filium, infirmus sanabitur, si </w:t>
      </w:r>
      <w:r w:rsidR="00F362D8">
        <w:t>D</w:t>
      </w:r>
      <w:r w:rsidRPr="00C2234C">
        <w:rPr>
          <w:lang w:val="la-Latn"/>
        </w:rPr>
        <w:t>eus voluerit.</w:t>
      </w:r>
    </w:p>
    <w:p w14:paraId="37E011A7" w14:textId="7BA3D23D" w:rsidR="00242EFA" w:rsidRPr="00C2234C" w:rsidRDefault="00242EFA" w:rsidP="00242EFA">
      <w:pPr>
        <w:rPr>
          <w:b/>
          <w:bCs/>
          <w:lang w:val="la-Latn"/>
        </w:rPr>
      </w:pPr>
      <w:r w:rsidRPr="00C2234C">
        <w:rPr>
          <w:lang w:val="la-Latn"/>
        </w:rPr>
        <w:t>56</w:t>
      </w:r>
      <w:r w:rsidRPr="00C2234C">
        <w:rPr>
          <w:lang w:val="la-Latn"/>
        </w:rPr>
        <w:tab/>
        <w:t>De significatione puelle.</w:t>
      </w:r>
      <w:r w:rsidRPr="00C2234C">
        <w:rPr>
          <w:b/>
          <w:bCs/>
          <w:lang w:val="la-Latn"/>
        </w:rPr>
        <w:t xml:space="preserve"> </w:t>
      </w:r>
      <w:r w:rsidRPr="00C2234C">
        <w:rPr>
          <w:lang w:val="la-Latn"/>
        </w:rPr>
        <w:t xml:space="preserve">Si ceciderit hec sors (1121), scias quod te interrogat pro muliere quam vult desponsare. Et par[t]itura si pregnata est, cum salute necne. Si dixerit tibi: ‘Non’, dic ei: ‘Tu queris pro pecunia que a te exivit, vel pro thesauro sub terra abscondito quod vis accipere, vel pro homine tuo et fratribus et amicis, vel de sponsaliis, vel pro bestia et thesauro quem de terra subtrahes. Hec sors bona est in omnibus et quamvis moram fecerit, recuperabis. Et homo qui a te exivit, inter te et ipsum aque maxime montes permagni sunt, et bonum est vendere vel accipere in omni re utilis est, si </w:t>
      </w:r>
      <w:r w:rsidR="00AC24FD">
        <w:t>D</w:t>
      </w:r>
      <w:r w:rsidRPr="00C2234C">
        <w:rPr>
          <w:lang w:val="la-Latn"/>
        </w:rPr>
        <w:t>eus voluerit’.</w:t>
      </w:r>
    </w:p>
    <w:p w14:paraId="2A11F562" w14:textId="77777777" w:rsidR="00242EFA" w:rsidRPr="00C2234C" w:rsidRDefault="00242EFA" w:rsidP="00242EFA">
      <w:pPr>
        <w:rPr>
          <w:b/>
          <w:bCs/>
          <w:lang w:val="la-Latn"/>
        </w:rPr>
      </w:pPr>
      <w:r w:rsidRPr="00C2234C">
        <w:rPr>
          <w:lang w:val="la-Latn"/>
        </w:rPr>
        <w:t>57</w:t>
      </w:r>
      <w:r w:rsidRPr="00C2234C">
        <w:rPr>
          <w:lang w:val="la-Latn"/>
        </w:rPr>
        <w:tab/>
        <w:t>De significatione candidi.</w:t>
      </w:r>
      <w:r w:rsidRPr="00C2234C">
        <w:rPr>
          <w:b/>
          <w:bCs/>
          <w:lang w:val="la-Latn"/>
        </w:rPr>
        <w:t xml:space="preserve"> </w:t>
      </w:r>
      <w:r w:rsidRPr="00C2234C">
        <w:rPr>
          <w:lang w:val="la-Latn"/>
        </w:rPr>
        <w:t>Si ceciderit hec sors (2212), interrogat pro iudiciis que sunt inter se et parentes suos, vel participe cum quo se iunget, aut pro infirmo, aut pro nuncio, muliere quam querit habere, et est bonum pro itinere, grave est tibi a te rem separare, et est bona in omni re accipere, pregnata pariet filium. Servus revertetur et quicquid perditum fuerit recuperabitur.</w:t>
      </w:r>
    </w:p>
    <w:p w14:paraId="0DFF6F8B" w14:textId="77777777" w:rsidR="00242EFA" w:rsidRPr="00C2234C" w:rsidRDefault="00242EFA" w:rsidP="00242EFA">
      <w:pPr>
        <w:rPr>
          <w:b/>
          <w:bCs/>
          <w:lang w:val="la-Latn"/>
        </w:rPr>
      </w:pPr>
      <w:r w:rsidRPr="00C2234C">
        <w:rPr>
          <w:lang w:val="la-Latn"/>
        </w:rPr>
        <w:t>58</w:t>
      </w:r>
      <w:r w:rsidRPr="00C2234C">
        <w:rPr>
          <w:lang w:val="la-Latn"/>
        </w:rPr>
        <w:tab/>
        <w:t>De significatione rubei.</w:t>
      </w:r>
      <w:r w:rsidRPr="00C2234C">
        <w:rPr>
          <w:b/>
          <w:bCs/>
          <w:lang w:val="la-Latn"/>
        </w:rPr>
        <w:t xml:space="preserve"> </w:t>
      </w:r>
      <w:r w:rsidRPr="00C2234C">
        <w:rPr>
          <w:lang w:val="la-Latn"/>
        </w:rPr>
        <w:t>Si ceciderit hec sors (2122), interrogat pro muliere quam querit habere, vel pro capto, vel infirmo super quem habet metum mortis, vel pro thesauro sub terra abscondito, vel pro marito quem non habebit, et non est bona in omni re, et super eum /125v/ laborare bonum est iter arripere et rem a te non speres, infirmus morietur aliquo morbo calido, et homo qui a te exivit vel mortuus est vel captus, quam captivitatem evadet.</w:t>
      </w:r>
    </w:p>
    <w:p w14:paraId="1B66F127" w14:textId="77777777" w:rsidR="00242EFA" w:rsidRPr="00C2234C" w:rsidRDefault="00242EFA" w:rsidP="00242EFA">
      <w:pPr>
        <w:rPr>
          <w:b/>
          <w:bCs/>
          <w:lang w:val="la-Latn"/>
        </w:rPr>
      </w:pPr>
      <w:r w:rsidRPr="00C2234C">
        <w:rPr>
          <w:lang w:val="la-Latn"/>
        </w:rPr>
        <w:t>59</w:t>
      </w:r>
      <w:r w:rsidRPr="00C2234C">
        <w:rPr>
          <w:lang w:val="la-Latn"/>
        </w:rPr>
        <w:tab/>
        <w:t>De significatione societatis.</w:t>
      </w:r>
      <w:r w:rsidRPr="00C2234C">
        <w:rPr>
          <w:b/>
          <w:bCs/>
          <w:lang w:val="la-Latn"/>
        </w:rPr>
        <w:t xml:space="preserve"> </w:t>
      </w:r>
      <w:r w:rsidRPr="00C2234C">
        <w:rPr>
          <w:lang w:val="la-Latn"/>
        </w:rPr>
        <w:t>Si ceciderit hec sors (2112), inquirit pro infirmo, cum sit figura feretri, sicut pro marito, vel parente, vel servo quem sibi applicare, vel pro bestia, vel pro homine qui de longe venit et salutabis eum qui veniendo magnas aquas et magnos montes transibit, et habebit iudicia et placita, et venit cum testiis oneratis. Iter arripere malum est, et de loco ad locum mutare, vendere, dare, accipere, servus redibit, pregnata pariet filiam et que petieris habebis.</w:t>
      </w:r>
    </w:p>
    <w:p w14:paraId="3F004835" w14:textId="348D92A0" w:rsidR="000C7E73" w:rsidRPr="00C2234C" w:rsidRDefault="00242EFA" w:rsidP="000C7E73">
      <w:pPr>
        <w:rPr>
          <w:lang w:val="la-Latn"/>
        </w:rPr>
      </w:pPr>
      <w:r w:rsidRPr="00C2234C">
        <w:rPr>
          <w:lang w:val="la-Latn"/>
        </w:rPr>
        <w:t>60</w:t>
      </w:r>
      <w:r w:rsidRPr="00C2234C">
        <w:rPr>
          <w:lang w:val="la-Latn"/>
        </w:rPr>
        <w:tab/>
        <w:t>Notandum quod letitia (1222), adquisitio (2121), fortuna maior (2211), albus (2212), limes superior (2111), puer (1211) sunt in superiori bonitate bona. Tristitia (2221), rubeus (2122), amissio (1212), limes inferior (1112), puella (1121), sunt in extrema malitia mala. Fortuna minor (1122), via (1111), temperate sunt bona. Populus vero (2222) et adunatio (2112) multitudinem significant in bono et in malo. Carcer (1221) in omnibus retentionem significat.</w:t>
      </w:r>
    </w:p>
    <w:p w14:paraId="53DF31FD" w14:textId="20F94AE5" w:rsidR="00242EFA" w:rsidRPr="000C7E73" w:rsidRDefault="000C7E73" w:rsidP="000C7E73">
      <w:pPr>
        <w:rPr>
          <w:lang w:val="fr-FR"/>
        </w:rPr>
      </w:pPr>
      <w:r>
        <w:rPr>
          <w:lang w:val="fr-FR"/>
        </w:rPr>
        <w:br w:type="page"/>
      </w:r>
    </w:p>
    <w:p w14:paraId="08DEE5D6" w14:textId="4D48B4F4" w:rsidR="00242EFA" w:rsidRPr="008C4622" w:rsidRDefault="0071539C" w:rsidP="0071539C">
      <w:pPr>
        <w:pStyle w:val="Heading2"/>
        <w:ind w:firstLine="0"/>
        <w:rPr>
          <w:rFonts w:asciiTheme="majorBidi" w:hAnsiTheme="majorBidi"/>
          <w:sz w:val="20"/>
          <w:szCs w:val="20"/>
        </w:rPr>
      </w:pPr>
      <w:bookmarkStart w:id="146" w:name="_Toc165108684"/>
      <w:r w:rsidRPr="0071539C">
        <w:rPr>
          <w:rFonts w:asciiTheme="majorBidi" w:hAnsiTheme="majorBidi"/>
          <w:color w:val="auto"/>
          <w:sz w:val="20"/>
          <w:szCs w:val="20"/>
        </w:rPr>
        <w:t xml:space="preserve">ENGLISH TRANSLATION OF THE </w:t>
      </w:r>
      <w:r w:rsidRPr="0071539C">
        <w:rPr>
          <w:rFonts w:asciiTheme="majorBidi" w:hAnsiTheme="majorBidi"/>
          <w:i/>
          <w:iCs/>
          <w:color w:val="auto"/>
          <w:sz w:val="20"/>
          <w:szCs w:val="20"/>
        </w:rPr>
        <w:t>LIBER ARENALIS SCIENTIAE.</w:t>
      </w:r>
      <w:r w:rsidR="008C4622">
        <w:rPr>
          <w:rStyle w:val="FootnoteReference"/>
          <w:rFonts w:asciiTheme="majorBidi" w:hAnsiTheme="majorBidi"/>
          <w:i/>
          <w:iCs/>
          <w:color w:val="auto"/>
          <w:sz w:val="20"/>
          <w:szCs w:val="20"/>
        </w:rPr>
        <w:footnoteReference w:id="710"/>
      </w:r>
      <w:bookmarkEnd w:id="146"/>
    </w:p>
    <w:p w14:paraId="6A23E847" w14:textId="77777777" w:rsidR="00242EFA" w:rsidRDefault="00242EFA" w:rsidP="00242EFA">
      <w:pPr>
        <w:ind w:firstLine="0"/>
      </w:pPr>
    </w:p>
    <w:p w14:paraId="7E92EC11" w14:textId="38508D12" w:rsidR="00242EFA" w:rsidRDefault="00242EFA" w:rsidP="00242EFA">
      <w:pPr>
        <w:ind w:firstLine="0"/>
      </w:pPr>
      <w:r>
        <w:tab/>
        <w:t>1</w:t>
      </w:r>
      <w:r>
        <w:tab/>
      </w:r>
      <w:r w:rsidRPr="00AF18A6">
        <w:t>Here begins the Book of the Science of the Sand, composed by Alfarin</w:t>
      </w:r>
      <w:r w:rsidR="00116D49">
        <w:t>us</w:t>
      </w:r>
      <w:r w:rsidRPr="00AF18A6">
        <w:t xml:space="preserve"> Abizarch and translated from Arabic into Latin by Plato of Tivoli. In the name of the merciful and pious Lord, it is shown that the science transmitted by God the Creator to one of the prophets is contained in lines. Whoever, therefore, through </w:t>
      </w:r>
      <w:r w:rsidR="00116D49">
        <w:t>its</w:t>
      </w:r>
      <w:r w:rsidRPr="00AF18A6">
        <w:t xml:space="preserve"> </w:t>
      </w:r>
      <w:r w:rsidR="00116D49">
        <w:t>(i.e. the science’s)</w:t>
      </w:r>
      <w:r w:rsidRPr="00AF18A6">
        <w:t xml:space="preserve"> lines, arrives at any of the lines of this prophecy, will by no means deviate from the truth, and, as they say, the son of this prophet, Calidcinem, was sent by God to the barbarians</w:t>
      </w:r>
      <w:r>
        <w:t>.</w:t>
      </w:r>
    </w:p>
    <w:p w14:paraId="6577472D" w14:textId="62F3F501" w:rsidR="00242EFA" w:rsidRPr="007D152D" w:rsidRDefault="00242EFA" w:rsidP="00242EFA">
      <w:pPr>
        <w:ind w:firstLine="0"/>
      </w:pPr>
      <w:r w:rsidRPr="007D152D">
        <w:tab/>
        <w:t>2</w:t>
      </w:r>
      <w:r w:rsidRPr="007D152D">
        <w:tab/>
        <w:t xml:space="preserve">And so, it is known </w:t>
      </w:r>
      <w:r w:rsidR="00D670BB" w:rsidRPr="007D152D">
        <w:t>that these</w:t>
      </w:r>
      <w:r w:rsidRPr="007D152D">
        <w:t xml:space="preserve"> lines issuing from the four lines </w:t>
      </w:r>
      <w:r w:rsidR="009736CF">
        <w:t xml:space="preserve">are divided </w:t>
      </w:r>
      <w:r w:rsidRPr="007D152D">
        <w:t xml:space="preserve">into the sixteen parts (figures). Of which this is the first ●●●●●●●●●●●●●●●. The second becomes in this way ●●●●●●●●●●●●●●●. This order of </w:t>
      </w:r>
      <w:r w:rsidR="002F2BE4">
        <w:t>points</w:t>
      </w:r>
      <w:r w:rsidRPr="007D152D">
        <w:t xml:space="preserve"> </w:t>
      </w:r>
      <w:r w:rsidR="00D670BB" w:rsidRPr="007D152D">
        <w:t>represents</w:t>
      </w:r>
      <w:r w:rsidRPr="007D152D">
        <w:t xml:space="preserve"> the third ●●●●●●●●●●●●●●. Such a collection of </w:t>
      </w:r>
      <w:r w:rsidR="002F2BE4">
        <w:t>points</w:t>
      </w:r>
      <w:r w:rsidRPr="007D152D">
        <w:t xml:space="preserve"> represents the fourth ●●●●●●●●●●●●●●. From these four lines come into being sixteen parts, the first of which is said to be the part of the journey and bears a significance in a journey</w:t>
      </w:r>
      <w:r w:rsidR="002B52AF">
        <w:t>. It</w:t>
      </w:r>
      <w:r w:rsidRPr="007D152D">
        <w:t xml:space="preserve"> is this (1111), that if it comes forth in the casting of the </w:t>
      </w:r>
      <w:r w:rsidR="002F2BE4">
        <w:t>points</w:t>
      </w:r>
      <w:r w:rsidRPr="007D152D">
        <w:t xml:space="preserve">, it will mean interruption. But if in the last </w:t>
      </w:r>
      <w:r w:rsidR="0025359C">
        <w:t>pointing</w:t>
      </w:r>
      <w:r w:rsidRPr="007D152D">
        <w:t xml:space="preserve"> you get two paths of such a nature, they will mark misfortune and fear, and bad movements and the lie in the promise. </w:t>
      </w:r>
    </w:p>
    <w:p w14:paraId="2BF2850E" w14:textId="44B8E0E2" w:rsidR="00242EFA" w:rsidRPr="007D152D" w:rsidRDefault="00242EFA" w:rsidP="00242EFA">
      <w:r w:rsidRPr="007D152D">
        <w:t>3</w:t>
      </w:r>
      <w:r w:rsidRPr="007D152D">
        <w:tab/>
        <w:t xml:space="preserve">The second, that they called Terrazel, that is the indication of good liveliness, which is (2111), so if it occurs in </w:t>
      </w:r>
      <w:r w:rsidR="00772B48">
        <w:t>a</w:t>
      </w:r>
      <w:r w:rsidRPr="007D152D">
        <w:t xml:space="preserve"> question about pregnancy, it will indicate a son. But if it happens for someone who wants to go, it will demonstrate their quick return. If it is produced for someone who wants to go, it will announce his going away quickly.</w:t>
      </w:r>
    </w:p>
    <w:p w14:paraId="11E73FA8" w14:textId="711D53CB" w:rsidR="00242EFA" w:rsidRDefault="00242EFA" w:rsidP="00242EFA">
      <w:r>
        <w:t>4</w:t>
      </w:r>
      <w:r>
        <w:tab/>
      </w:r>
      <w:r w:rsidRPr="007D152D">
        <w:t xml:space="preserve">But the third part, that they called Sultan, which means King, whose meaning concerns monarchs and powerful men, and in everything </w:t>
      </w:r>
      <w:r w:rsidR="00A543E5">
        <w:t>is agreeable, it</w:t>
      </w:r>
      <w:r w:rsidRPr="007D152D">
        <w:t xml:space="preserve"> is formed </w:t>
      </w:r>
      <w:r w:rsidR="00A543E5">
        <w:t>&lt;thus&gt;:</w:t>
      </w:r>
      <w:r w:rsidRPr="007D152D">
        <w:t xml:space="preserve"> (1121). The fourth, which is called Alagen, because he had a large beard, is formed thus (1222). </w:t>
      </w:r>
      <w:r w:rsidR="00994A14">
        <w:t>This</w:t>
      </w:r>
      <w:r w:rsidRPr="007D152D">
        <w:t xml:space="preserve"> also refers to viscounts and those who have large</w:t>
      </w:r>
      <w:r w:rsidR="00994A14">
        <w:t xml:space="preserve"> and great</w:t>
      </w:r>
      <w:r w:rsidRPr="007D152D">
        <w:t xml:space="preserve"> bodies. It means joy and is strong in its meaning.</w:t>
      </w:r>
    </w:p>
    <w:p w14:paraId="6F81D423" w14:textId="310C89A8" w:rsidR="00242EFA" w:rsidRDefault="00242EFA" w:rsidP="00242EFA">
      <w:r>
        <w:t>5</w:t>
      </w:r>
      <w:r>
        <w:tab/>
      </w:r>
      <w:r w:rsidRPr="007D152D">
        <w:t>The fifth, that they called Alastar, that is</w:t>
      </w:r>
      <w:r w:rsidR="00D1337A">
        <w:t>,</w:t>
      </w:r>
      <w:r w:rsidRPr="007D152D">
        <w:t xml:space="preserve"> one having the colour green and is the signifier of young men, is this indication (1211). And when it occurs twice or more in the pointing, because it appears more &lt;often&gt;</w:t>
      </w:r>
      <w:r w:rsidR="00D43485">
        <w:t xml:space="preserve">, </w:t>
      </w:r>
      <w:r w:rsidRPr="007D152D">
        <w:t>it will signify fear, lightnings, killings, all bad things and battles, and whatever pertains to sadness and grief.</w:t>
      </w:r>
      <w:r>
        <w:t xml:space="preserve"> </w:t>
      </w:r>
      <w:r w:rsidRPr="007D152D">
        <w:t xml:space="preserve">The sixth part, which is called Almantitus, i.e. ‘inverted’, whose indication pertains to feminine things, and also to the colours distant from black and white, is arranged in this way (1122).  </w:t>
      </w:r>
    </w:p>
    <w:p w14:paraId="62B44730" w14:textId="4CE0833E" w:rsidR="00242EFA" w:rsidRPr="007D152D" w:rsidRDefault="00242EFA" w:rsidP="00242EFA">
      <w:r>
        <w:t>6</w:t>
      </w:r>
      <w:r>
        <w:tab/>
      </w:r>
      <w:r w:rsidRPr="007D152D">
        <w:t xml:space="preserve">The seventh, which they called Tanzel, </w:t>
      </w:r>
      <w:r>
        <w:t>that is</w:t>
      </w:r>
      <w:r w:rsidRPr="007D152D">
        <w:t xml:space="preserve"> </w:t>
      </w:r>
      <w:r w:rsidR="001F3B1D">
        <w:t>inverted</w:t>
      </w:r>
      <w:r w:rsidRPr="007D152D">
        <w:t>, is pointed in this way (1112). Now this question announces the firmness of the matter, in addition to showing the slowness of the matter.</w:t>
      </w:r>
      <w:r>
        <w:t xml:space="preserve"> </w:t>
      </w:r>
      <w:r w:rsidRPr="007D152D">
        <w:t xml:space="preserve">And when </w:t>
      </w:r>
      <w:r>
        <w:t xml:space="preserve">such </w:t>
      </w:r>
      <w:r w:rsidR="001F3B1D">
        <w:t>&lt;</w:t>
      </w:r>
      <w:r>
        <w:t>figure</w:t>
      </w:r>
      <w:r w:rsidR="001F3B1D">
        <w:t>&gt;</w:t>
      </w:r>
      <w:r>
        <w:t xml:space="preserve"> comes forth </w:t>
      </w:r>
      <w:r w:rsidRPr="007D152D">
        <w:t>in</w:t>
      </w:r>
      <w:r>
        <w:t xml:space="preserve"> a</w:t>
      </w:r>
      <w:r w:rsidRPr="007D152D">
        <w:t xml:space="preserve"> question </w:t>
      </w:r>
      <w:r>
        <w:t>about</w:t>
      </w:r>
      <w:r w:rsidRPr="007D152D">
        <w:t xml:space="preserve"> travel, the form will indicate </w:t>
      </w:r>
      <w:r>
        <w:t>a slow journey</w:t>
      </w:r>
      <w:r w:rsidRPr="007D152D">
        <w:t>.</w:t>
      </w:r>
      <w:r w:rsidRPr="0045027C">
        <w:t xml:space="preserve"> But if it </w:t>
      </w:r>
      <w:r w:rsidR="001F3B1D">
        <w:t>(the figure)</w:t>
      </w:r>
      <w:r w:rsidR="001F3B1D" w:rsidRPr="0045027C">
        <w:t xml:space="preserve"> </w:t>
      </w:r>
      <w:r w:rsidRPr="0045027C">
        <w:t>is born</w:t>
      </w:r>
      <w:r>
        <w:t xml:space="preserve"> </w:t>
      </w:r>
      <w:r w:rsidRPr="0045027C">
        <w:t xml:space="preserve">in a matter of sickness, it portends his long </w:t>
      </w:r>
      <w:r w:rsidR="00B14233">
        <w:t>illness</w:t>
      </w:r>
      <w:r w:rsidRPr="0045027C">
        <w:t xml:space="preserve"> /120v/. If it comes </w:t>
      </w:r>
      <w:r>
        <w:t>in a</w:t>
      </w:r>
      <w:r w:rsidRPr="0045027C">
        <w:t xml:space="preserve"> question </w:t>
      </w:r>
      <w:r>
        <w:t>about</w:t>
      </w:r>
      <w:r w:rsidRPr="0045027C">
        <w:t xml:space="preserve"> a promise, it indicates that the promiser is a liar</w:t>
      </w:r>
      <w:r>
        <w:t>.</w:t>
      </w:r>
    </w:p>
    <w:p w14:paraId="391BDBAC" w14:textId="5B17E359" w:rsidR="00242EFA" w:rsidRDefault="00242EFA" w:rsidP="00242EFA">
      <w:pPr>
        <w:ind w:firstLine="0"/>
      </w:pPr>
      <w:r w:rsidRPr="0004141D">
        <w:tab/>
        <w:t>7</w:t>
      </w:r>
      <w:r w:rsidRPr="0004141D">
        <w:tab/>
        <w:t xml:space="preserve">The eighth, that is called </w:t>
      </w:r>
      <w:r w:rsidR="008E5A98">
        <w:t>Hafaram</w:t>
      </w:r>
      <w:r w:rsidRPr="0004141D">
        <w:t xml:space="preserve"> </w:t>
      </w:r>
      <w:r w:rsidR="00D670BB" w:rsidRPr="0004141D">
        <w:t>i.e.,</w:t>
      </w:r>
      <w:r w:rsidRPr="0004141D">
        <w:t xml:space="preserve"> the skull of the head</w:t>
      </w:r>
      <w:r w:rsidR="006D743F">
        <w:t>, is this:</w:t>
      </w:r>
      <w:r w:rsidRPr="0004141D">
        <w:t xml:space="preserve"> (1221). </w:t>
      </w:r>
      <w:r w:rsidR="006D743F">
        <w:t xml:space="preserve">Its </w:t>
      </w:r>
      <w:r w:rsidRPr="0004141D">
        <w:t>meaning</w:t>
      </w:r>
      <w:r w:rsidR="006D743F">
        <w:t xml:space="preserve"> </w:t>
      </w:r>
      <w:r w:rsidRPr="0004141D">
        <w:t xml:space="preserve">attains to feminine things, to anxieties, to illnesses, but also to lost things. The ninth, which is called Mustanar </w:t>
      </w:r>
      <w:r w:rsidR="00D670BB" w:rsidRPr="0004141D">
        <w:t>i.e.,</w:t>
      </w:r>
      <w:r w:rsidRPr="0004141D">
        <w:t xml:space="preserve"> of true goodness and quiet, is the signifier of reins also and of beasts having small claws, it is formed in this way (2211). But if by pointing this comes out for journey on land or sea, it will indicate the gentleness of the journey. </w:t>
      </w:r>
    </w:p>
    <w:p w14:paraId="7CC72A26" w14:textId="3EE1CBCE" w:rsidR="00242EFA" w:rsidRPr="0004141D" w:rsidRDefault="00242EFA" w:rsidP="00242EFA">
      <w:pPr>
        <w:ind w:firstLine="0"/>
      </w:pPr>
      <w:r>
        <w:tab/>
        <w:t>8</w:t>
      </w:r>
      <w:r>
        <w:tab/>
      </w:r>
      <w:r w:rsidRPr="0004141D">
        <w:t xml:space="preserve">The tenth, which is Almast, </w:t>
      </w:r>
      <w:r>
        <w:t>that is</w:t>
      </w:r>
      <w:r w:rsidRPr="0004141D">
        <w:t xml:space="preserve"> </w:t>
      </w:r>
      <w:r>
        <w:t>a comb</w:t>
      </w:r>
      <w:r w:rsidRPr="0004141D">
        <w:t xml:space="preserve">, that unites the </w:t>
      </w:r>
      <w:r w:rsidR="009D02A2">
        <w:t>querent</w:t>
      </w:r>
      <w:r w:rsidRPr="0004141D">
        <w:t xml:space="preserve"> with the thing that he looks for, is arranged in such manner (2112). </w:t>
      </w:r>
      <w:r w:rsidR="00250626">
        <w:t>I</w:t>
      </w:r>
      <w:r w:rsidRPr="0004141D">
        <w:t>t means the union of everything about which is being asked for. And when it appears in the same questions, it will indicate the bringing together and the summoning of armies, the wearing of round shields and tents.</w:t>
      </w:r>
    </w:p>
    <w:p w14:paraId="7FA8FDBE" w14:textId="46BEC688" w:rsidR="00242EFA" w:rsidRDefault="00242EFA" w:rsidP="00242EFA">
      <w:pPr>
        <w:ind w:firstLine="0"/>
      </w:pPr>
      <w:r w:rsidRPr="0004141D">
        <w:tab/>
        <w:t>9</w:t>
      </w:r>
      <w:r w:rsidRPr="0004141D">
        <w:tab/>
        <w:t xml:space="preserve">The eleventh, which is called Althandhe, which is interpreted as instructor, is depicted as follows (2121). This indicates the acceptance of wealth and of favourable things. But if such a collection of </w:t>
      </w:r>
      <w:r w:rsidR="002F2BE4">
        <w:t>points</w:t>
      </w:r>
      <w:r w:rsidRPr="0004141D">
        <w:t xml:space="preserve"> appears in an inquiry of the affairs of someone else, it will indicate no good. The twelfth, which they call Alveste, </w:t>
      </w:r>
      <w:r w:rsidR="001E2954">
        <w:t>that</w:t>
      </w:r>
      <w:r w:rsidRPr="0004141D">
        <w:t xml:space="preserve"> is</w:t>
      </w:r>
      <w:r w:rsidR="001E2954">
        <w:t>,</w:t>
      </w:r>
      <w:r w:rsidRPr="0004141D">
        <w:t xml:space="preserve"> ‘the improver’, has such a form (1212). Every time it appears in an inquiry that does not pertain to its meaning, it will announce an increment, a kingdom, an elevation and a highest good. </w:t>
      </w:r>
      <w:r w:rsidR="00D670BB" w:rsidRPr="0004141D">
        <w:t>If,</w:t>
      </w:r>
      <w:r w:rsidRPr="0004141D">
        <w:t xml:space="preserve"> however it appears in an inquiry which pertains</w:t>
      </w:r>
      <w:r w:rsidR="009825D4">
        <w:t xml:space="preserve"> to it</w:t>
      </w:r>
      <w:r w:rsidRPr="0004141D">
        <w:t xml:space="preserve">, it will not foretell any good. </w:t>
      </w:r>
    </w:p>
    <w:p w14:paraId="111B71AA" w14:textId="06C33EDE" w:rsidR="00242EFA" w:rsidRDefault="00242EFA" w:rsidP="00242EFA">
      <w:pPr>
        <w:ind w:firstLine="0"/>
      </w:pPr>
      <w:r>
        <w:tab/>
      </w:r>
      <w:r w:rsidRPr="0004141D">
        <w:t>10</w:t>
      </w:r>
      <w:r w:rsidRPr="0004141D">
        <w:tab/>
        <w:t xml:space="preserve">The thirteenth, that they call Almattati, </w:t>
      </w:r>
      <w:r>
        <w:t>that is</w:t>
      </w:r>
      <w:r w:rsidRPr="0004141D">
        <w:t xml:space="preserve"> ‘declination’, is this (2221). Whose meaning &lt;pertains&gt; to green colours and to those that differ from white and black, also it pertains to girls and to adult men, and also to those who, with lowered head, worry about nothing. If, however, it is </w:t>
      </w:r>
      <w:r w:rsidR="00B73BBB">
        <w:t>mixed</w:t>
      </w:r>
      <w:r w:rsidRPr="0004141D">
        <w:t xml:space="preserve"> with the part which is called Almuscamar, </w:t>
      </w:r>
      <w:r w:rsidR="00B73BBB">
        <w:t xml:space="preserve">it is the indicator of </w:t>
      </w:r>
      <w:r w:rsidRPr="0004141D">
        <w:t xml:space="preserve">associates and prisoners. </w:t>
      </w:r>
    </w:p>
    <w:p w14:paraId="64E4422D" w14:textId="0013672A" w:rsidR="00242EFA" w:rsidRDefault="00242EFA" w:rsidP="00242EFA">
      <w:pPr>
        <w:ind w:firstLine="0"/>
      </w:pPr>
      <w:r w:rsidRPr="0004141D">
        <w:tab/>
        <w:t>11</w:t>
      </w:r>
      <w:r w:rsidRPr="0004141D">
        <w:tab/>
        <w:t xml:space="preserve">The fourteenth, that they call Almustarcam, holds this configuration of </w:t>
      </w:r>
      <w:r w:rsidR="002F2BE4">
        <w:t>points</w:t>
      </w:r>
      <w:r w:rsidRPr="0004141D">
        <w:t xml:space="preserve"> (2122). </w:t>
      </w:r>
      <w:r w:rsidR="00B73BBB">
        <w:t>Its</w:t>
      </w:r>
      <w:r w:rsidRPr="0004141D">
        <w:t xml:space="preserve"> meaning is said to pertain to redness and blood-red gold, also to coral and maple trees and to every red thing, </w:t>
      </w:r>
      <w:r w:rsidR="00B73BBB">
        <w:t>for these are</w:t>
      </w:r>
      <w:r w:rsidRPr="0004141D">
        <w:t xml:space="preserve"> shown to be good for a sick person. The fifteenth, which &lt;is&gt; Alleallonus Zahim, that</w:t>
      </w:r>
      <w:r w:rsidR="00674C95">
        <w:t xml:space="preserve"> is, soft &lt;and&gt; direct</w:t>
      </w:r>
      <w:r w:rsidRPr="0004141D">
        <w:t xml:space="preserve">, is </w:t>
      </w:r>
      <w:r w:rsidR="00674C95">
        <w:t>pointed</w:t>
      </w:r>
      <w:r w:rsidRPr="0004141D">
        <w:t xml:space="preserve"> like this (2212). This brings the meaning of silver and white colours, and it </w:t>
      </w:r>
      <w:r w:rsidR="00674C95">
        <w:t>called</w:t>
      </w:r>
      <w:r w:rsidRPr="0004141D">
        <w:t xml:space="preserve"> the significa</w:t>
      </w:r>
      <w:r w:rsidR="00674C95">
        <w:t xml:space="preserve">tor </w:t>
      </w:r>
      <w:r w:rsidRPr="0004141D">
        <w:t>of profit</w:t>
      </w:r>
      <w:r w:rsidR="00674C95">
        <w:t>,</w:t>
      </w:r>
      <w:r w:rsidRPr="0004141D">
        <w:t xml:space="preserve"> acquisition, and great advantage. Books and letters that are sent are also under its meaning. For sick people it is bad and useless. </w:t>
      </w:r>
    </w:p>
    <w:p w14:paraId="23CB93C3" w14:textId="7B556DA2" w:rsidR="00242EFA" w:rsidRDefault="00242EFA" w:rsidP="00242EFA">
      <w:pPr>
        <w:ind w:firstLine="0"/>
      </w:pPr>
      <w:r>
        <w:tab/>
      </w:r>
      <w:r w:rsidRPr="0004141D">
        <w:t>12</w:t>
      </w:r>
      <w:r w:rsidRPr="0004141D">
        <w:tab/>
        <w:t xml:space="preserve">The sixteenth, which is named Algemaha, which means collection, is represented by these </w:t>
      </w:r>
      <w:r w:rsidR="002F2BE4">
        <w:t>points</w:t>
      </w:r>
      <w:r w:rsidRPr="0004141D">
        <w:t xml:space="preserve"> (2222). Its meaning pertains to expeditions, armies and gatherings</w:t>
      </w:r>
      <w:r w:rsidR="001B6E11">
        <w:t>,</w:t>
      </w:r>
      <w:r w:rsidRPr="0004141D">
        <w:t xml:space="preserve"> </w:t>
      </w:r>
      <w:r w:rsidR="001B6E11">
        <w:t>also</w:t>
      </w:r>
      <w:r w:rsidRPr="0004141D">
        <w:t xml:space="preserve"> Raphegasa, </w:t>
      </w:r>
      <w:r>
        <w:t>that is</w:t>
      </w:r>
      <w:r w:rsidRPr="0004141D">
        <w:t xml:space="preserve"> multitudes of travelling men and travellers, ships and palaces, mountains and lightings, houses, hidden money, pits, camels, all the burdens of the </w:t>
      </w:r>
      <w:r w:rsidR="00686AC6">
        <w:t>lord</w:t>
      </w:r>
      <w:r w:rsidRPr="0004141D">
        <w:t xml:space="preserve"> which are heavy and what signification is brought together.</w:t>
      </w:r>
    </w:p>
    <w:p w14:paraId="27DB79EA" w14:textId="77777777" w:rsidR="00595C0C" w:rsidRPr="0004141D" w:rsidRDefault="00242EFA" w:rsidP="00595C0C">
      <w:pPr>
        <w:ind w:firstLine="0"/>
      </w:pPr>
      <w:r>
        <w:tab/>
        <w:t>13</w:t>
      </w:r>
      <w:r>
        <w:tab/>
      </w:r>
      <w:r w:rsidR="00595C0C" w:rsidRPr="0004141D">
        <w:t xml:space="preserve">But </w:t>
      </w:r>
      <w:r w:rsidR="00595C0C">
        <w:t xml:space="preserve">since </w:t>
      </w:r>
      <w:r w:rsidR="00595C0C" w:rsidRPr="0004141D">
        <w:t xml:space="preserve">to what is called Alchalhe a great benefit </w:t>
      </w:r>
      <w:r w:rsidR="00595C0C">
        <w:t>is joined, it</w:t>
      </w:r>
      <w:r w:rsidR="00595C0C" w:rsidRPr="0004141D">
        <w:t xml:space="preserve"> will denote a great amount of money, and everything about which he asks a question will happen according to his will, if God w</w:t>
      </w:r>
      <w:r w:rsidR="00595C0C">
        <w:t>ill</w:t>
      </w:r>
      <w:r w:rsidR="00595C0C" w:rsidRPr="0004141D">
        <w:t>s. The sixteen figures that</w:t>
      </w:r>
      <w:r w:rsidR="00595C0C">
        <w:t>,</w:t>
      </w:r>
      <w:r w:rsidR="00595C0C" w:rsidRPr="0004141D">
        <w:t xml:space="preserve"> as we have said</w:t>
      </w:r>
      <w:r w:rsidR="00595C0C">
        <w:t>,</w:t>
      </w:r>
      <w:r w:rsidR="00595C0C" w:rsidRPr="0004141D">
        <w:t xml:space="preserve"> originate from the four lines, are completed. Therefore, when you want to point these lines, in the same way you have to operate in everything just as is contained in the Indian geomancy and the </w:t>
      </w:r>
      <w:r w:rsidR="00595C0C">
        <w:t>‘</w:t>
      </w:r>
      <w:r w:rsidR="00595C0C" w:rsidRPr="0004141D">
        <w:t>Rerum opifex</w:t>
      </w:r>
      <w:r w:rsidR="00595C0C">
        <w:t>.’</w:t>
      </w:r>
    </w:p>
    <w:p w14:paraId="492E7444" w14:textId="44BC04F0" w:rsidR="00242EFA" w:rsidRDefault="00242EFA" w:rsidP="00595C0C">
      <w:pPr>
        <w:ind w:firstLine="0"/>
      </w:pPr>
      <w:r w:rsidRPr="0004141D">
        <w:tab/>
        <w:t>14</w:t>
      </w:r>
      <w:r w:rsidRPr="0004141D">
        <w:tab/>
        <w:t>Therefore, having accounted for all the figures in this way and reduced them into one judicial &lt;figure&gt;, you will find three times five, and if of those figures the last one will be made of an even number, you will know that you have not made any mistake.</w:t>
      </w:r>
      <w:r>
        <w:t xml:space="preserve"> </w:t>
      </w:r>
      <w:r w:rsidR="00D670BB">
        <w:t>If,</w:t>
      </w:r>
      <w:r>
        <w:t xml:space="preserve"> however it was ordered from an odd number, </w:t>
      </w:r>
      <w:r w:rsidRPr="0004141D">
        <w:t>you shall not doubt that you have seriously erred. Go back to the first figures and correct the mistake by calculating them all. When everything has been truly perfected, put aside the last three figures, and observe what they are.</w:t>
      </w:r>
    </w:p>
    <w:p w14:paraId="162F2ACC" w14:textId="00B435CF" w:rsidR="00242EFA" w:rsidRDefault="00242EFA" w:rsidP="00242EFA">
      <w:pPr>
        <w:ind w:firstLine="0"/>
      </w:pPr>
      <w:r>
        <w:tab/>
        <w:t>15</w:t>
      </w:r>
      <w:r>
        <w:tab/>
      </w:r>
      <w:r w:rsidRPr="0004141D">
        <w:t xml:space="preserve">Then, turning to the pages of this book, you will undoubtedly find, if God agrees, their exemplification.  Then look for the treatise on the triplicities that should follow </w:t>
      </w:r>
      <w:r w:rsidR="007456E6">
        <w:t xml:space="preserve">here </w:t>
      </w:r>
      <w:r w:rsidRPr="0004141D">
        <w:t>on folio 41 and 89. Then for the natural and local properties of every figure in any house and the kind of judgement it will provide, look at folio 17. Similarly seek the situation of the houses and the nature on folio 103.</w:t>
      </w:r>
    </w:p>
    <w:p w14:paraId="2A89A2A3" w14:textId="77777777" w:rsidR="00242EFA" w:rsidRDefault="00242EFA" w:rsidP="00242EFA">
      <w:pPr>
        <w:ind w:firstLine="0"/>
      </w:pPr>
    </w:p>
    <w:p w14:paraId="7D310879" w14:textId="18380095" w:rsidR="00242EFA" w:rsidRPr="007456E6" w:rsidRDefault="00242EFA" w:rsidP="007456E6">
      <w:pPr>
        <w:ind w:firstLine="0"/>
        <w:jc w:val="center"/>
        <w:rPr>
          <w:b/>
          <w:bCs/>
        </w:rPr>
      </w:pPr>
      <w:r w:rsidRPr="007456E6">
        <w:rPr>
          <w:b/>
          <w:bCs/>
        </w:rPr>
        <w:t>Here begin the meanings of the thoughts of the querent according to the properties of the figures</w:t>
      </w:r>
    </w:p>
    <w:p w14:paraId="5D1F122D" w14:textId="77777777" w:rsidR="00242EFA" w:rsidRDefault="00242EFA" w:rsidP="00242EFA">
      <w:pPr>
        <w:ind w:firstLine="0"/>
      </w:pPr>
    </w:p>
    <w:p w14:paraId="0C092AE2" w14:textId="0A7EC25F" w:rsidR="00242EFA" w:rsidRDefault="00242EFA" w:rsidP="00242EFA">
      <w:pPr>
        <w:ind w:firstLine="0"/>
      </w:pPr>
      <w:r>
        <w:t>16</w:t>
      </w:r>
      <w:r>
        <w:tab/>
      </w:r>
      <w:r w:rsidR="007456E6">
        <w:t>And first, on</w:t>
      </w:r>
      <w:r w:rsidRPr="0004141D">
        <w:t xml:space="preserve"> the meaning of Acquisitio. This figure is called the head of Aries.  When this sign comes forth, he will receive morabits or coins, whether for the imprisoned man, the pregnant woman, or for the sick person that will be saved. The prisoner will be rescued, he will receive what he asked for, the pregnant woman will give birth.</w:t>
      </w:r>
      <w:r>
        <w:t xml:space="preserve"> </w:t>
      </w:r>
      <w:r w:rsidRPr="0004141D">
        <w:t xml:space="preserve">(2211) On the meaning of Fortuna Maior. This figure is called the end of Aries and the beginning of Taurus. </w:t>
      </w:r>
      <w:r w:rsidR="005C55CD">
        <w:t>By this</w:t>
      </w:r>
      <w:r w:rsidRPr="0004141D">
        <w:t xml:space="preserve"> he asks about marrying a woman, or buying animals, or about a distant messenger, or he will take up a wife or an animal. This figure is good for anything.</w:t>
      </w:r>
    </w:p>
    <w:p w14:paraId="29DA380C" w14:textId="77777777" w:rsidR="00496F54" w:rsidRDefault="00242EFA" w:rsidP="00496F54">
      <w:pPr>
        <w:ind w:firstLine="0"/>
      </w:pPr>
      <w:r>
        <w:tab/>
        <w:t>17</w:t>
      </w:r>
      <w:r>
        <w:tab/>
      </w:r>
      <w:r w:rsidR="00496F54" w:rsidRPr="0004141D">
        <w:t xml:space="preserve">On the meaning of Laetitia. </w:t>
      </w:r>
      <w:r w:rsidR="00496F54">
        <w:t>By t</w:t>
      </w:r>
      <w:r w:rsidR="00496F54" w:rsidRPr="0004141D">
        <w:t xml:space="preserve">his </w:t>
      </w:r>
      <w:r w:rsidR="00496F54">
        <w:t>one asks about</w:t>
      </w:r>
      <w:r w:rsidR="00496F54" w:rsidRPr="0004141D">
        <w:t xml:space="preserve"> a powerful man or law, or power or similar things, and it is for those who are approaching a judge, and the thing that he asks for, he will obtain after a long time, and it concerns a journey or selling</w:t>
      </w:r>
      <w:r w:rsidR="00496F54">
        <w:t>.</w:t>
      </w:r>
      <w:r w:rsidR="00496F54" w:rsidRPr="0004141D">
        <w:t xml:space="preserve"> </w:t>
      </w:r>
      <w:r w:rsidR="00496F54">
        <w:t>T</w:t>
      </w:r>
      <w:r w:rsidR="00496F54" w:rsidRPr="0004141D">
        <w:t xml:space="preserve">he sick person will leave the bed towards health or towards death, the </w:t>
      </w:r>
      <w:r w:rsidR="00496F54">
        <w:t>betrothal</w:t>
      </w:r>
      <w:r w:rsidR="00496F54" w:rsidRPr="0004141D">
        <w:t xml:space="preserve"> will not last, the pregnant woman will give birth.</w:t>
      </w:r>
      <w:r w:rsidR="00496F54">
        <w:t xml:space="preserve"> </w:t>
      </w:r>
      <w:r w:rsidR="00496F54" w:rsidRPr="0004141D">
        <w:t xml:space="preserve">(1211) On the meaning of Puer. </w:t>
      </w:r>
      <w:r w:rsidR="00496F54">
        <w:t>By t</w:t>
      </w:r>
      <w:r w:rsidR="00496F54" w:rsidRPr="0004141D">
        <w:t xml:space="preserve">his </w:t>
      </w:r>
      <w:r w:rsidR="00496F54">
        <w:t>one asks about</w:t>
      </w:r>
      <w:r w:rsidR="00496F54" w:rsidRPr="0004141D">
        <w:t xml:space="preserve"> the beardless</w:t>
      </w:r>
      <w:r w:rsidR="00496F54">
        <w:t xml:space="preserve"> man</w:t>
      </w:r>
      <w:r w:rsidR="00496F54" w:rsidRPr="0004141D">
        <w:t xml:space="preserve">, or for </w:t>
      </w:r>
      <w:r w:rsidR="00496F54">
        <w:t>betroth</w:t>
      </w:r>
      <w:r w:rsidR="00496F54" w:rsidRPr="0004141D">
        <w:t xml:space="preserve">ing a woman, or </w:t>
      </w:r>
      <w:r w:rsidR="00496F54">
        <w:t>about</w:t>
      </w:r>
      <w:r w:rsidR="00496F54" w:rsidRPr="0004141D">
        <w:t xml:space="preserve"> </w:t>
      </w:r>
      <w:r w:rsidR="00496F54">
        <w:t xml:space="preserve">association &lt;or&gt; </w:t>
      </w:r>
      <w:r w:rsidR="00496F54" w:rsidRPr="0004141D">
        <w:t>a penalty which he will receive, and it is good in all cases. The pregnant woman will give birth to a son.</w:t>
      </w:r>
    </w:p>
    <w:p w14:paraId="01D66E62" w14:textId="77777777" w:rsidR="00496F54" w:rsidRDefault="00242EFA" w:rsidP="00496F54">
      <w:pPr>
        <w:ind w:firstLine="0"/>
      </w:pPr>
      <w:r>
        <w:tab/>
        <w:t>18</w:t>
      </w:r>
      <w:r>
        <w:tab/>
      </w:r>
      <w:r w:rsidR="00496F54" w:rsidRPr="0004141D">
        <w:t xml:space="preserve">(2122) On the meaning of Rubeus. </w:t>
      </w:r>
      <w:r w:rsidR="00496F54">
        <w:t>By this is questioned</w:t>
      </w:r>
      <w:r w:rsidR="00496F54" w:rsidRPr="0004141D">
        <w:t xml:space="preserve"> </w:t>
      </w:r>
      <w:r w:rsidR="00496F54">
        <w:t>the condition</w:t>
      </w:r>
      <w:r w:rsidR="00496F54" w:rsidRPr="0004141D">
        <w:t xml:space="preserve"> concerning dissociation</w:t>
      </w:r>
      <w:r w:rsidR="00496F54">
        <w:t>,</w:t>
      </w:r>
      <w:r w:rsidR="00496F54" w:rsidRPr="0004141D">
        <w:t xml:space="preserve"> and he will write a letter for a woman or for money and he </w:t>
      </w:r>
      <w:r w:rsidR="00496F54">
        <w:t xml:space="preserve">will </w:t>
      </w:r>
      <w:r w:rsidR="00496F54" w:rsidRPr="0004141D">
        <w:t>obtain what he asks for. It is bad for a journey and in the army.</w:t>
      </w:r>
      <w:r w:rsidR="00496F54">
        <w:t xml:space="preserve"> </w:t>
      </w:r>
      <w:r w:rsidR="00496F54" w:rsidRPr="0004141D">
        <w:t xml:space="preserve">(2212) On the meaning of Candidus. </w:t>
      </w:r>
      <w:r w:rsidR="00496F54">
        <w:t>By this one asks about</w:t>
      </w:r>
      <w:r w:rsidR="00496F54" w:rsidRPr="0004141D">
        <w:t xml:space="preserve"> a letter </w:t>
      </w:r>
      <w:r w:rsidR="00496F54">
        <w:t xml:space="preserve">to be </w:t>
      </w:r>
      <w:r w:rsidR="00496F54" w:rsidRPr="0004141D">
        <w:t xml:space="preserve">written between him and his friend, or about buying animals, or for a sick person and for a person imprisoned by the king, and </w:t>
      </w:r>
      <w:r w:rsidR="00496F54">
        <w:t xml:space="preserve">a </w:t>
      </w:r>
      <w:r w:rsidR="00496F54" w:rsidRPr="0004141D">
        <w:t xml:space="preserve">white thing, money that he is about to receive or sheep or cows. &lt;It is good&gt; for obtaining everything, it is bad for </w:t>
      </w:r>
      <w:r w:rsidR="00496F54">
        <w:t xml:space="preserve">a </w:t>
      </w:r>
      <w:r w:rsidR="00496F54" w:rsidRPr="0004141D">
        <w:t xml:space="preserve">disease </w:t>
      </w:r>
      <w:r w:rsidR="00496F54">
        <w:t>or a</w:t>
      </w:r>
      <w:r w:rsidR="00496F54" w:rsidRPr="0004141D">
        <w:t xml:space="preserve"> journey.</w:t>
      </w:r>
    </w:p>
    <w:p w14:paraId="22231753" w14:textId="77777777" w:rsidR="00985184" w:rsidRDefault="00242EFA" w:rsidP="00985184">
      <w:r>
        <w:t>19</w:t>
      </w:r>
      <w:r>
        <w:tab/>
      </w:r>
      <w:r w:rsidRPr="0004141D">
        <w:t xml:space="preserve"> </w:t>
      </w:r>
      <w:r w:rsidR="00985184" w:rsidRPr="0004141D">
        <w:t xml:space="preserve"> </w:t>
      </w:r>
      <w:r w:rsidR="00985184">
        <w:t>/</w:t>
      </w:r>
      <w:r w:rsidR="00985184" w:rsidRPr="0004141D">
        <w:t>121v</w:t>
      </w:r>
      <w:r w:rsidR="00985184">
        <w:t xml:space="preserve">/ </w:t>
      </w:r>
      <w:r w:rsidR="00985184" w:rsidRPr="00CC4B8E">
        <w:t xml:space="preserve">(2111) On the meaning of Limes Intrans. By this </w:t>
      </w:r>
      <w:r w:rsidR="00985184">
        <w:t>one asks about</w:t>
      </w:r>
      <w:r w:rsidR="00985184" w:rsidRPr="00CC4B8E">
        <w:t xml:space="preserve"> </w:t>
      </w:r>
      <w:r w:rsidR="00985184">
        <w:t>an</w:t>
      </w:r>
      <w:r w:rsidR="00985184" w:rsidRPr="00CC4B8E">
        <w:t xml:space="preserve"> honour that he claims from the king, he will achieve height in honour, and he will write a letter to a woman, and he will have many good things. This is good in all cases except in journeys and in selling and </w:t>
      </w:r>
      <w:r w:rsidR="00985184">
        <w:t xml:space="preserve">acquiring and </w:t>
      </w:r>
      <w:r w:rsidR="00985184" w:rsidRPr="00CC4B8E">
        <w:t>in approaching a king.</w:t>
      </w:r>
      <w:r w:rsidR="00985184">
        <w:t xml:space="preserve"> </w:t>
      </w:r>
      <w:r w:rsidR="00985184" w:rsidRPr="00CC4B8E">
        <w:t xml:space="preserve">(2112) On the meaning of Coadunatus. By this one asks about intercourse or </w:t>
      </w:r>
      <w:r w:rsidR="00985184">
        <w:t>betrothing a</w:t>
      </w:r>
      <w:r w:rsidR="00985184" w:rsidRPr="00CC4B8E">
        <w:t xml:space="preserve"> woman. If one asks about a pregnant person, she is ill or captured; whoever has undertaken a journey, enemies will go out against him. This is bad for travelling and for invalids, he will not get what is lost; what he desires, he will receive.</w:t>
      </w:r>
    </w:p>
    <w:p w14:paraId="45938DD0" w14:textId="115B2E53" w:rsidR="00985184" w:rsidRDefault="00242EFA" w:rsidP="00985184">
      <w:r>
        <w:t>20</w:t>
      </w:r>
      <w:r>
        <w:tab/>
      </w:r>
      <w:r w:rsidR="00985184" w:rsidRPr="00CC4B8E">
        <w:t xml:space="preserve">(1212) On the meaning of Amissio. By this </w:t>
      </w:r>
      <w:r w:rsidR="00985184">
        <w:t>one</w:t>
      </w:r>
      <w:r w:rsidR="00985184" w:rsidRPr="00CC4B8E">
        <w:t xml:space="preserve"> asks about the thing that came from the hand of his wife or from female animals, or the parcel(?) of </w:t>
      </w:r>
      <w:r w:rsidR="00985184">
        <w:t>coins</w:t>
      </w:r>
      <w:r w:rsidR="00985184" w:rsidRPr="00CC4B8E">
        <w:t xml:space="preserve">. It is good for the journey and the invalid; </w:t>
      </w:r>
      <w:r w:rsidR="00985184">
        <w:t xml:space="preserve">the lost thing will not </w:t>
      </w:r>
      <w:r w:rsidR="00522360">
        <w:t>return;</w:t>
      </w:r>
      <w:r w:rsidR="00985184" w:rsidRPr="00CC4B8E">
        <w:t xml:space="preserve"> the pregnant woman will give birth.</w:t>
      </w:r>
      <w:r w:rsidR="00985184">
        <w:t xml:space="preserve"> </w:t>
      </w:r>
      <w:r w:rsidR="00985184" w:rsidRPr="00CC4B8E">
        <w:t xml:space="preserve">(1121) On the meaning of Puella. By this one asks about a journey, or about getting </w:t>
      </w:r>
      <w:r w:rsidR="00985184">
        <w:t>betroth</w:t>
      </w:r>
      <w:r w:rsidR="00985184" w:rsidRPr="00CC4B8E">
        <w:t xml:space="preserve">ed, or about sending a letter to the king, and he will obtain a mule or a beast, or joy will come forth. Good for sickness or </w:t>
      </w:r>
      <w:r w:rsidR="00985184">
        <w:t>sell</w:t>
      </w:r>
      <w:r w:rsidR="00985184" w:rsidRPr="00CC4B8E">
        <w:t xml:space="preserve">ing, bad for marriage. He will not regain any lost thing, either he will send a letter or one will be sent to him and he will demand something with a </w:t>
      </w:r>
      <w:r w:rsidR="00985184">
        <w:t>legal dispute</w:t>
      </w:r>
      <w:r w:rsidR="00985184" w:rsidRPr="00CC4B8E">
        <w:t>.</w:t>
      </w:r>
    </w:p>
    <w:p w14:paraId="38167763" w14:textId="276DE29E" w:rsidR="00985184" w:rsidRDefault="00242EFA" w:rsidP="00985184">
      <w:r>
        <w:t>21</w:t>
      </w:r>
      <w:r>
        <w:tab/>
      </w:r>
      <w:r w:rsidR="00985184" w:rsidRPr="00CC4B8E">
        <w:t xml:space="preserve">On the meaning of Tristitia. By this one asks about a great harm and </w:t>
      </w:r>
      <w:r w:rsidR="00985184">
        <w:t>one that is to be feared</w:t>
      </w:r>
      <w:r w:rsidR="00985184" w:rsidRPr="00CC4B8E">
        <w:t xml:space="preserve">, and </w:t>
      </w:r>
      <w:r w:rsidR="00985184">
        <w:t xml:space="preserve">one asks </w:t>
      </w:r>
      <w:r w:rsidR="00985184" w:rsidRPr="00CC4B8E">
        <w:t xml:space="preserve">on behalf of a brother, or a sister, or a friend, or for the acquisition of a female prisoner, and he will find something good. He </w:t>
      </w:r>
      <w:r w:rsidR="00985184">
        <w:t xml:space="preserve">who starts a journey </w:t>
      </w:r>
      <w:r w:rsidR="00985184" w:rsidRPr="00CC4B8E">
        <w:t xml:space="preserve">shall cross a great expanse of waters, all that is lost will be regained, he will obtain what he asks for, the pregnant person will give birth to a female.  (2222) On the meaning of Populus. By this one asks about </w:t>
      </w:r>
      <w:r w:rsidR="00985184">
        <w:t>a</w:t>
      </w:r>
      <w:r w:rsidR="00985184" w:rsidRPr="00CC4B8E">
        <w:t xml:space="preserve"> military travel, the army will march rightly, or for the lost beasts that will be regained; he will obtain what he asks for, he will gather </w:t>
      </w:r>
      <w:r w:rsidR="00985184">
        <w:t xml:space="preserve">together </w:t>
      </w:r>
      <w:r w:rsidR="00985184" w:rsidRPr="00CC4B8E">
        <w:t>many people.</w:t>
      </w:r>
    </w:p>
    <w:p w14:paraId="0CD57101" w14:textId="40EC85E5" w:rsidR="00242EFA" w:rsidRDefault="00242EFA" w:rsidP="00985184">
      <w:r>
        <w:t>22</w:t>
      </w:r>
      <w:r>
        <w:tab/>
      </w:r>
      <w:r w:rsidR="00985184" w:rsidRPr="00CC4B8E">
        <w:t xml:space="preserve">(1112) On the meaning of Limes Exiens. By this one asks about the change from one place to another. It is good for selling, and buying, and a journey, bad for getting </w:t>
      </w:r>
      <w:r w:rsidR="00985184">
        <w:t>betroth</w:t>
      </w:r>
      <w:r w:rsidR="00985184" w:rsidRPr="00CC4B8E">
        <w:t xml:space="preserve">ed. He will have a quarrel with his wife or the </w:t>
      </w:r>
      <w:r w:rsidR="00985184">
        <w:t>equivalent</w:t>
      </w:r>
      <w:r w:rsidR="00985184" w:rsidRPr="00CC4B8E">
        <w:t xml:space="preserve">; he will stand in front of the judge, what is lost will not be regained, the pregnant person will give birth to a female. The king will enter another land. (1111) On the meaning of Via.  By this one asks about a journey; he shall beware of a companion </w:t>
      </w:r>
      <w:r w:rsidR="00985184">
        <w:t>on the</w:t>
      </w:r>
      <w:r w:rsidR="00985184" w:rsidRPr="00CC4B8E">
        <w:t xml:space="preserve"> journey; it is good for trading, the sick person will be cured, what is lost will not be regained, the engagement will not last, a letter will come and with good</w:t>
      </w:r>
      <w:r w:rsidR="00985184">
        <w:t>ness</w:t>
      </w:r>
      <w:r w:rsidR="00985184" w:rsidRPr="00CC4B8E">
        <w:t>.</w:t>
      </w:r>
    </w:p>
    <w:p w14:paraId="73E7D754" w14:textId="7CBDF047" w:rsidR="00A024E3" w:rsidRPr="0004141D" w:rsidRDefault="00242EFA" w:rsidP="00A024E3">
      <w:r>
        <w:t>23</w:t>
      </w:r>
      <w:r>
        <w:tab/>
      </w:r>
      <w:r w:rsidR="00A024E3" w:rsidRPr="00CC4B8E">
        <w:t xml:space="preserve">On the meaning of Fortuna Minor. By this one asks about setting out on a journey with the king, and he will find good, either by transporting things elsewhere, and he will find goodness, and &lt;it is&gt; good for a sick person and for engagement. The prisoner will escape; all </w:t>
      </w:r>
      <w:r w:rsidR="00A024E3">
        <w:t>that</w:t>
      </w:r>
      <w:r w:rsidR="00A024E3" w:rsidRPr="00CC4B8E">
        <w:t xml:space="preserve"> is lost will not be regained; the merchant shall cross the sea or </w:t>
      </w:r>
      <w:r w:rsidR="00A024E3">
        <w:t xml:space="preserve">a large expanse of </w:t>
      </w:r>
      <w:r w:rsidR="00A024E3" w:rsidRPr="00CC4B8E">
        <w:t xml:space="preserve">water, he will have what he asks for from the king. (1221) On the meaning of Carcer. By this one asks about the sick or pregnant woman, or about the hidden; he will marry a wife, or will buy a woman, or an animal. Good for changing, buying, selling. What is lost will not be regained, from </w:t>
      </w:r>
      <w:r w:rsidR="00522360" w:rsidRPr="00CC4B8E">
        <w:t>these ships or beasts</w:t>
      </w:r>
      <w:r w:rsidR="00A024E3" w:rsidRPr="00CC4B8E">
        <w:t xml:space="preserve"> </w:t>
      </w:r>
      <w:r w:rsidR="00A024E3">
        <w:t xml:space="preserve">or </w:t>
      </w:r>
      <w:r w:rsidR="00A024E3" w:rsidRPr="00CC4B8E">
        <w:t>honour will come; the pregnant woman will give birth to a son.</w:t>
      </w:r>
    </w:p>
    <w:p w14:paraId="4DF998D0" w14:textId="203CA85B" w:rsidR="00242EFA" w:rsidRPr="0004141D" w:rsidRDefault="00242EFA" w:rsidP="00A024E3"/>
    <w:p w14:paraId="7B6837B4" w14:textId="1CB62E68" w:rsidR="00242EFA" w:rsidRPr="0004141D" w:rsidRDefault="00242EFA" w:rsidP="00A024E3">
      <w:pPr>
        <w:ind w:firstLine="0"/>
        <w:jc w:val="center"/>
      </w:pPr>
      <w:r>
        <w:t>/</w:t>
      </w:r>
      <w:r w:rsidRPr="00CC4B8E">
        <w:t>122r</w:t>
      </w:r>
      <w:r>
        <w:t>/</w:t>
      </w:r>
      <w:r w:rsidRPr="00CC4B8E">
        <w:t xml:space="preserve"> </w:t>
      </w:r>
      <w:r w:rsidRPr="00A024E3">
        <w:rPr>
          <w:b/>
          <w:bCs/>
        </w:rPr>
        <w:t>On the judgement in which the sixteenth figure is always to be found</w:t>
      </w:r>
    </w:p>
    <w:p w14:paraId="682DF3EB" w14:textId="77777777" w:rsidR="00242EFA" w:rsidRDefault="00242EFA" w:rsidP="00242EFA"/>
    <w:p w14:paraId="0739A41F" w14:textId="77777777" w:rsidR="00B313B1" w:rsidRDefault="00242EFA" w:rsidP="00B313B1">
      <w:pPr>
        <w:ind w:firstLine="0"/>
      </w:pPr>
      <w:r>
        <w:tab/>
        <w:t>24</w:t>
      </w:r>
      <w:r w:rsidRPr="00D1643E">
        <w:tab/>
      </w:r>
      <w:bookmarkStart w:id="147" w:name="_Hlk60501775"/>
      <w:r w:rsidR="00B313B1" w:rsidRPr="00D1643E">
        <w:t>Now, everyone agrees that in making the forecast through these sixteen last chapters which begin in this way: ‘This figure, which is called the ‘head of Aries’ etc. the sixteenth should always be observed, which is put together from the first and fifteenth, after the fifteen figures have been set down, immediately after a question of that kind is made. As the custom is, immediately after the fifteen figures have been set down, the sixteenth should be put together from the first and the fifteenth, which (the 1</w:t>
      </w:r>
      <w:r w:rsidR="00B313B1" w:rsidRPr="00D9437E">
        <w:rPr>
          <w:vertAlign w:val="superscript"/>
        </w:rPr>
        <w:t>6t</w:t>
      </w:r>
      <w:r w:rsidR="00B313B1" w:rsidRPr="00D1643E">
        <w:t>h figure) having been sought among the sixteen aforementioned chapters, in whichever chapter it is found, the verdict of that chapter will resolve the judgement of the question.</w:t>
      </w:r>
    </w:p>
    <w:p w14:paraId="2471D6F2" w14:textId="4959F2CE" w:rsidR="00242EFA" w:rsidRDefault="00242EFA" w:rsidP="00B313B1">
      <w:pPr>
        <w:ind w:firstLine="0"/>
      </w:pPr>
    </w:p>
    <w:p w14:paraId="3E4FC487" w14:textId="0C04CFBE" w:rsidR="00242EFA" w:rsidRPr="00C879EF" w:rsidRDefault="00242EFA" w:rsidP="00C879EF">
      <w:pPr>
        <w:ind w:firstLine="0"/>
        <w:jc w:val="center"/>
        <w:rPr>
          <w:b/>
          <w:bCs/>
        </w:rPr>
      </w:pPr>
      <w:r w:rsidRPr="00C879EF">
        <w:rPr>
          <w:b/>
          <w:bCs/>
        </w:rPr>
        <w:t>On the manner of discovery of the intention of the enquiries</w:t>
      </w:r>
    </w:p>
    <w:p w14:paraId="153334E1" w14:textId="77777777" w:rsidR="00242EFA" w:rsidRDefault="00242EFA" w:rsidP="00242EFA">
      <w:pPr>
        <w:ind w:firstLine="0"/>
      </w:pPr>
    </w:p>
    <w:p w14:paraId="42E61687" w14:textId="77777777" w:rsidR="003C3F23" w:rsidRDefault="00242EFA" w:rsidP="003C3F23">
      <w:pPr>
        <w:ind w:firstLine="0"/>
      </w:pPr>
      <w:r>
        <w:tab/>
        <w:t>25</w:t>
      </w:r>
      <w:r>
        <w:tab/>
      </w:r>
      <w:r w:rsidR="003C3F23" w:rsidRPr="005B0F35">
        <w:t>If you want to know the question of the enquirer, i.e. the thought of the one asking the question according to the rationale previously mentioned, take the first figure, which is the house of life and also of knowledge, and the fifteenth, which is called ‘</w:t>
      </w:r>
      <w:r w:rsidR="003C3F23">
        <w:t xml:space="preserve">the </w:t>
      </w:r>
      <w:r w:rsidR="003C3F23" w:rsidRPr="005B0F35">
        <w:t xml:space="preserve">judge’  and make from them one figure (=XVI). Then, from the second, which is the house of wealth, and the eighth, which is the house of death, make another figure (= XVII). Make another figure by </w:t>
      </w:r>
      <w:r w:rsidR="003C3F23">
        <w:t>joining</w:t>
      </w:r>
      <w:r w:rsidR="003C3F23" w:rsidRPr="005B0F35">
        <w:t xml:space="preserve"> these two (= XVIII</w:t>
      </w:r>
      <w:r w:rsidR="003C3F23">
        <w:t xml:space="preserve">). </w:t>
      </w:r>
      <w:r w:rsidR="003C3F23" w:rsidRPr="00D1643E">
        <w:t>Having done that, consider whether the last figure, made in this way, i.e. the eighteenth, is found anywhere among the twelve houses.</w:t>
      </w:r>
    </w:p>
    <w:p w14:paraId="1F152F84" w14:textId="0FFB0ADE" w:rsidR="00242EFA" w:rsidRDefault="00242EFA" w:rsidP="003C3F23">
      <w:pPr>
        <w:ind w:firstLine="0"/>
      </w:pPr>
      <w:r>
        <w:tab/>
        <w:t>26</w:t>
      </w:r>
      <w:r>
        <w:tab/>
      </w:r>
      <w:r w:rsidRPr="00D1643E">
        <w:t>And if it is so, make a judgement according to the nature of that house in which it is found. If, however, it is found in two or more houses together, accept the last one and judge according to the last one’s nature. Then, count from that last one as far as the house of the matter about which you ask, and judge according to the nature of the one found, observing carefully that in the counting the calculation should always occur from the first to the eighth, according to the power of the disposition of the houses.</w:t>
      </w:r>
    </w:p>
    <w:p w14:paraId="0ACC91E1" w14:textId="7B4150D5" w:rsidR="00242EFA" w:rsidRDefault="00242EFA" w:rsidP="00242EFA">
      <w:pPr>
        <w:ind w:firstLine="0"/>
      </w:pPr>
      <w:r>
        <w:tab/>
        <w:t>27</w:t>
      </w:r>
      <w:r>
        <w:tab/>
      </w:r>
      <w:r w:rsidRPr="00D1643E">
        <w:t>Then after the eighth, one should count from the twelfth, through the eleventh, the tenth and the ninth, and then from the first in order. In the same aforementioned method the computation of the counting should be made through twelve, eleven, ten and nine, and then as often as is necessary, namely, in the way that by counting, 12 becomes 11, and 11 becomes 10, and 10 becomes 11 and 9 becomes 12, and then, in reversing, the first is thirteen and subsequently according to the order in the above mentioned way. If, however, (the 18</w:t>
      </w:r>
      <w:r w:rsidRPr="001B7EE2">
        <w:rPr>
          <w:vertAlign w:val="superscript"/>
        </w:rPr>
        <w:t>th</w:t>
      </w:r>
      <w:r w:rsidRPr="00D1643E">
        <w:t xml:space="preserve"> figure is found) nowhere among the twelve houses, start from the head of the figures and you shall judge according to the nature of the houses. For example: if this last collected (figure), which is the eighteen</w:t>
      </w:r>
      <w:r w:rsidR="00F2567A">
        <w:t>&lt;</w:t>
      </w:r>
      <w:r w:rsidRPr="00D1643E">
        <w:t>th</w:t>
      </w:r>
      <w:r w:rsidR="00F2567A">
        <w:t>&gt;</w:t>
      </w:r>
      <w:r w:rsidRPr="00D1643E">
        <w:t>, is found in the fourth house, you will say that the enquiry is about the father.</w:t>
      </w:r>
    </w:p>
    <w:p w14:paraId="65051DAF" w14:textId="2AC06469" w:rsidR="00242EFA" w:rsidRDefault="00242EFA" w:rsidP="00242EFA">
      <w:pPr>
        <w:ind w:firstLine="0"/>
      </w:pPr>
      <w:r>
        <w:tab/>
        <w:t>28</w:t>
      </w:r>
      <w:r>
        <w:tab/>
      </w:r>
      <w:r w:rsidRPr="00D1643E">
        <w:t xml:space="preserve">Then you will add up from that fourth to another fourth (house), and according the nature of that fourth you will judge the good or bad fortune of the father. You will note which of the 16 signs, i.e. whether </w:t>
      </w:r>
      <w:r>
        <w:t>V</w:t>
      </w:r>
      <w:r w:rsidRPr="00D1643E">
        <w:t xml:space="preserve">ia, </w:t>
      </w:r>
      <w:r>
        <w:t>P</w:t>
      </w:r>
      <w:r w:rsidRPr="00D1643E">
        <w:t xml:space="preserve">uer, or </w:t>
      </w:r>
      <w:r>
        <w:t>P</w:t>
      </w:r>
      <w:r w:rsidRPr="00D1643E">
        <w:t xml:space="preserve">uella, or any other (figure) is in that house and what it means in that (house), and judge according to this. Similarly if it is found in the fifth, you will say that the enquiry is about children. If in the seventh, about the wife, and like this for the rest. Then, adding from the fifth to another fifth, </w:t>
      </w:r>
      <w:r w:rsidR="00F2567A">
        <w:t>you will judge</w:t>
      </w:r>
      <w:r w:rsidRPr="00D1643E">
        <w:t xml:space="preserve"> the good or bad luck of the children, according to its nature, for the reason mentioned above.</w:t>
      </w:r>
    </w:p>
    <w:p w14:paraId="10509E37" w14:textId="532C8C9D" w:rsidR="00242EFA" w:rsidRDefault="00242EFA" w:rsidP="00242EFA">
      <w:pPr>
        <w:ind w:firstLine="0"/>
      </w:pPr>
      <w:r>
        <w:tab/>
        <w:t>29</w:t>
      </w:r>
      <w:r>
        <w:tab/>
      </w:r>
      <w:r w:rsidRPr="00D1643E">
        <w:t>And thus, counting from the seventh to the seventh, you will judge the good or bad fortune of the wife, as has been shown. Nevertheless, according to some people after the discovery that the enquiry is about the father, by the abovementioned way, immediately we will judge about his wealth by the nature of the second from that fourth.</w:t>
      </w:r>
      <w:r>
        <w:t xml:space="preserve"> </w:t>
      </w:r>
      <w:r w:rsidRPr="00D1643E">
        <w:t>Thus about the brothers, by the nature of the third from the fourth, about the father indeed by the nature of the third (</w:t>
      </w:r>
      <w:r w:rsidRPr="00D1643E">
        <w:rPr>
          <w:i/>
          <w:iCs/>
        </w:rPr>
        <w:t>recte</w:t>
      </w:r>
      <w:r w:rsidRPr="00D1643E">
        <w:t>: fourth) from that fourth, and so on in the fifth, sixth, seventh, eighth, ninth, tenth, eleventh, twelfth from that fourth, we will judge according to the nature of every single (sign).</w:t>
      </w:r>
    </w:p>
    <w:p w14:paraId="7FD25D12" w14:textId="372F3EEE" w:rsidR="00242EFA" w:rsidRDefault="00242EFA" w:rsidP="00242EFA">
      <w:pPr>
        <w:ind w:firstLine="0"/>
      </w:pPr>
      <w:r>
        <w:tab/>
        <w:t>30</w:t>
      </w:r>
      <w:r>
        <w:tab/>
      </w:r>
      <w:r w:rsidRPr="00D1643E">
        <w:t>The same method of judgment can be observed also in all (enquiries), whether the enquiry will be about the children, or any other, and thus, according to this, it will not be necessary to count from the fourth to another four nor from the fifth to another fifth and so on. According to some people, likewise if the eighteenth will be found anywhere among the twelve houses, the question of the enquirer will be judged according to the nature of the place where the eighteen will be found. But the cause of the enquiry &lt;will be&gt; according to the nature and the meaning of the figure that will be found in that place, so that if the eighteenth is found in the first house, because the first house means the enquirer, the enquirer is asking about himself.</w:t>
      </w:r>
    </w:p>
    <w:p w14:paraId="44498B7A" w14:textId="268F7784" w:rsidR="00242EFA" w:rsidRDefault="00242EFA" w:rsidP="00242EFA">
      <w:pPr>
        <w:ind w:firstLine="0"/>
      </w:pPr>
      <w:r>
        <w:tab/>
        <w:t>31</w:t>
      </w:r>
      <w:r>
        <w:tab/>
      </w:r>
      <w:r w:rsidRPr="00BB3F9C">
        <w:t xml:space="preserve">If </w:t>
      </w:r>
      <w:r>
        <w:t>V</w:t>
      </w:r>
      <w:r w:rsidRPr="00BB3F9C">
        <w:t xml:space="preserve">ia is in the first house, because the meaning of via is of journeys, the question is made about </w:t>
      </w:r>
      <w:r w:rsidR="00514774">
        <w:t>a</w:t>
      </w:r>
      <w:r w:rsidRPr="00BB3F9C">
        <w:t xml:space="preserve"> journey. And therefore the question is</w:t>
      </w:r>
      <w:r w:rsidR="00514774">
        <w:t xml:space="preserve"> finally</w:t>
      </w:r>
      <w:r w:rsidRPr="00BB3F9C">
        <w:t xml:space="preserve"> made about his own journey. In a similar way, if </w:t>
      </w:r>
      <w:r>
        <w:t>P</w:t>
      </w:r>
      <w:r w:rsidRPr="00BB3F9C">
        <w:t xml:space="preserve">uer or </w:t>
      </w:r>
      <w:r>
        <w:t>P</w:t>
      </w:r>
      <w:r w:rsidRPr="00BB3F9C">
        <w:t>uella or any other of the sixteen figures is found in the first house, the cause of the question will always be defined according to the nature and the meaning of that figure that will be found in that place</w:t>
      </w:r>
    </w:p>
    <w:p w14:paraId="54789E9C" w14:textId="77777777" w:rsidR="00242EFA" w:rsidRDefault="00242EFA" w:rsidP="00242EFA">
      <w:pPr>
        <w:ind w:firstLine="0"/>
      </w:pPr>
      <w:r>
        <w:tab/>
        <w:t>32</w:t>
      </w:r>
      <w:r>
        <w:tab/>
      </w:r>
      <w:r w:rsidRPr="001D2ED7">
        <w:t xml:space="preserve">By completely the same method, a similar judgement will be made through all the twelve houses. If, however, the eighteenth is not found anywhere among the twelve houses, look carefully which figure of the sixteen figures it is, and judge according to the nature of that figure, what you find written in the book of questions, where it solves the question of the enquirer when it says ‘When this </w:t>
      </w:r>
      <w:r>
        <w:t>lot</w:t>
      </w:r>
      <w:r w:rsidRPr="001D2ED7">
        <w:t xml:space="preserve"> falls</w:t>
      </w:r>
      <w:r>
        <w:t>.</w:t>
      </w:r>
      <w:r w:rsidRPr="001D2ED7">
        <w:t>’</w:t>
      </w:r>
    </w:p>
    <w:p w14:paraId="3269B7F7" w14:textId="77777777" w:rsidR="00242EFA" w:rsidRDefault="00242EFA" w:rsidP="00242EFA">
      <w:pPr>
        <w:ind w:firstLine="0"/>
      </w:pPr>
    </w:p>
    <w:p w14:paraId="1CC34AC9" w14:textId="27825098" w:rsidR="00242EFA" w:rsidRPr="005A55ED" w:rsidRDefault="00242EFA" w:rsidP="005A55ED">
      <w:pPr>
        <w:ind w:firstLine="0"/>
        <w:jc w:val="center"/>
        <w:rPr>
          <w:b/>
          <w:bCs/>
        </w:rPr>
      </w:pPr>
      <w:r w:rsidRPr="005A55ED">
        <w:rPr>
          <w:b/>
          <w:bCs/>
        </w:rPr>
        <w:t>On the general method of investigating the intention</w:t>
      </w:r>
    </w:p>
    <w:p w14:paraId="0B18C283" w14:textId="77777777" w:rsidR="00242EFA" w:rsidRPr="00D1643E" w:rsidRDefault="00242EFA" w:rsidP="00242EFA">
      <w:pPr>
        <w:ind w:firstLine="0"/>
      </w:pPr>
    </w:p>
    <w:bookmarkEnd w:id="147"/>
    <w:p w14:paraId="4FEAC5A0" w14:textId="3581D5FF" w:rsidR="00242EFA" w:rsidRDefault="00242EFA" w:rsidP="00242EFA">
      <w:pPr>
        <w:ind w:firstLine="0"/>
      </w:pPr>
      <w:r>
        <w:tab/>
        <w:t>33</w:t>
      </w:r>
      <w:r>
        <w:tab/>
      </w:r>
      <w:r w:rsidRPr="001D2ED7">
        <w:t xml:space="preserve">There is, therefore, a general rule for investigating the question of the inquirer. It is sufficient, when the third figure has been </w:t>
      </w:r>
      <w:r w:rsidR="00244D6E">
        <w:t>put together</w:t>
      </w:r>
      <w:r w:rsidRPr="001D2ED7">
        <w:t xml:space="preserve"> from the two figures of which one is derived from the first and the fifteenth, the other from the second and the eighth, as has been shown previously,</w:t>
      </w:r>
      <w:r w:rsidR="00E633FD">
        <w:rPr>
          <w:rStyle w:val="FootnoteReference"/>
        </w:rPr>
        <w:footnoteReference w:id="711"/>
      </w:r>
      <w:r w:rsidRPr="001D2ED7">
        <w:t xml:space="preserve"> one should see which of the sixteen figures it is, and according to its nature the question of the enquirer will be determined, as the words of the author conclude by saying ‘when this </w:t>
      </w:r>
      <w:r>
        <w:t>lot</w:t>
      </w:r>
      <w:r w:rsidRPr="001D2ED7">
        <w:t xml:space="preserve"> falls’. For, concerning the last one, which, according to the order is the eight&lt;eent&gt;h figure,&lt;as&gt; the author himself in these words undoubtedly understands, not as some people wish, from the fifteenth, which is called the judge. This is </w:t>
      </w:r>
      <w:r>
        <w:t>exposed</w:t>
      </w:r>
      <w:r w:rsidRPr="001D2ED7">
        <w:t xml:space="preserve"> in two </w:t>
      </w:r>
      <w:r>
        <w:t>methods</w:t>
      </w:r>
      <w:r w:rsidRPr="001D2ED7">
        <w:t xml:space="preserve">: in one </w:t>
      </w:r>
      <w:r>
        <w:t>method</w:t>
      </w:r>
      <w:r w:rsidRPr="001D2ED7">
        <w:t xml:space="preserve">, because </w:t>
      </w:r>
      <w:r>
        <w:t>the fifteen&lt;th&gt;</w:t>
      </w:r>
      <w:r w:rsidRPr="001D2ED7">
        <w:t xml:space="preserve"> is always constructed from an even &lt;number of&gt; points, if the disposition of the figures has been made correctly.</w:t>
      </w:r>
    </w:p>
    <w:p w14:paraId="3B700BCD" w14:textId="5F20F5A3" w:rsidR="002F2880" w:rsidRDefault="00242EFA" w:rsidP="002F2880">
      <w:pPr>
        <w:ind w:firstLine="0"/>
      </w:pPr>
      <w:r>
        <w:tab/>
        <w:t>34</w:t>
      </w:r>
      <w:r>
        <w:tab/>
      </w:r>
      <w:r w:rsidR="002F2880" w:rsidRPr="001D2ED7">
        <w:t xml:space="preserve">The final one, however, to which the author refers, </w:t>
      </w:r>
      <w:r w:rsidR="002F2880">
        <w:t>that is</w:t>
      </w:r>
      <w:r w:rsidR="002F2880" w:rsidRPr="001D2ED7">
        <w:t xml:space="preserve"> the eighteenth, is </w:t>
      </w:r>
      <w:r w:rsidR="002F2880">
        <w:t>put together</w:t>
      </w:r>
      <w:r w:rsidR="002F2880" w:rsidRPr="001D2ED7">
        <w:t xml:space="preserve"> sometimes from even </w:t>
      </w:r>
      <w:r w:rsidR="002F2BE4">
        <w:t>points</w:t>
      </w:r>
      <w:r w:rsidR="002F2880" w:rsidRPr="001D2ED7">
        <w:t xml:space="preserve"> and sometimes from odd </w:t>
      </w:r>
      <w:r w:rsidR="002F2BE4">
        <w:t>points</w:t>
      </w:r>
      <w:r w:rsidR="002F2880" w:rsidRPr="001D2ED7">
        <w:t xml:space="preserve">, which however is also evident to the eyes </w:t>
      </w:r>
      <w:r w:rsidR="002F2880">
        <w:t xml:space="preserve">both </w:t>
      </w:r>
      <w:r w:rsidR="002F2880" w:rsidRPr="001D2ED7">
        <w:t xml:space="preserve">from the </w:t>
      </w:r>
      <w:r w:rsidR="002F2880">
        <w:t xml:space="preserve">very </w:t>
      </w:r>
      <w:r w:rsidR="002F2880" w:rsidRPr="001D2ED7">
        <w:t>disposition of th</w:t>
      </w:r>
      <w:r w:rsidR="002F2880">
        <w:t>e</w:t>
      </w:r>
      <w:r w:rsidR="002F2880" w:rsidRPr="001D2ED7">
        <w:t xml:space="preserve"> figures </w:t>
      </w:r>
      <w:r w:rsidR="002F2880">
        <w:t>and</w:t>
      </w:r>
      <w:r w:rsidR="002F2880" w:rsidRPr="001D2ED7">
        <w:t xml:space="preserve"> from the </w:t>
      </w:r>
      <w:r w:rsidR="002F2880">
        <w:t xml:space="preserve">very </w:t>
      </w:r>
      <w:r w:rsidR="002F2880" w:rsidRPr="001D2ED7">
        <w:t>words of the author</w:t>
      </w:r>
      <w:r w:rsidR="002F2880">
        <w:t>.</w:t>
      </w:r>
      <w:r w:rsidR="002F2880" w:rsidRPr="001D2ED7">
        <w:t xml:space="preserve"> </w:t>
      </w:r>
      <w:r w:rsidR="002F2880">
        <w:t xml:space="preserve">For, </w:t>
      </w:r>
      <w:r w:rsidR="002F2880" w:rsidRPr="001D2ED7">
        <w:t xml:space="preserve">when he says that: </w:t>
      </w:r>
      <w:r w:rsidR="002F2880">
        <w:t>‘I</w:t>
      </w:r>
      <w:r w:rsidR="002F2880" w:rsidRPr="001D2ED7">
        <w:t>f it happens that one is even and one even (odd?) and two odd</w:t>
      </w:r>
      <w:r w:rsidR="002F2880">
        <w:t>’</w:t>
      </w:r>
      <w:r w:rsidR="002F2880" w:rsidRPr="001D2ED7">
        <w:t xml:space="preserve">, it indicates that the figure will be from odd </w:t>
      </w:r>
      <w:r w:rsidR="002F2BE4">
        <w:t>points</w:t>
      </w:r>
      <w:r w:rsidR="002F2880" w:rsidRPr="001D2ED7">
        <w:t>’</w:t>
      </w:r>
      <w:r w:rsidR="002F2880">
        <w:t xml:space="preserve"> (2211?),</w:t>
      </w:r>
      <w:r w:rsidR="002F2880" w:rsidRPr="001D2ED7">
        <w:t xml:space="preserve"> </w:t>
      </w:r>
      <w:r w:rsidR="002F2880">
        <w:t>and w</w:t>
      </w:r>
      <w:r w:rsidR="002F2880" w:rsidRPr="001D2ED7">
        <w:t xml:space="preserve">hen he said ‘if the first one falls out as </w:t>
      </w:r>
      <w:r w:rsidR="002F2880">
        <w:t>/</w:t>
      </w:r>
      <w:r w:rsidR="002F2880" w:rsidRPr="001D2ED7">
        <w:t>123r</w:t>
      </w:r>
      <w:r w:rsidR="002F2880">
        <w:t>/</w:t>
      </w:r>
      <w:r w:rsidR="002F2880" w:rsidRPr="001D2ED7">
        <w:t xml:space="preserve"> odd, the second even, the third odd, the fourth even</w:t>
      </w:r>
      <w:r w:rsidR="002F2880">
        <w:t>’</w:t>
      </w:r>
      <w:r w:rsidR="002F2880" w:rsidRPr="001D2ED7">
        <w:t>, he has determined an even figure.</w:t>
      </w:r>
    </w:p>
    <w:p w14:paraId="3ABEA05C" w14:textId="77777777" w:rsidR="002F2880" w:rsidRDefault="00242EFA" w:rsidP="002F2880">
      <w:pPr>
        <w:ind w:firstLine="0"/>
      </w:pPr>
      <w:r>
        <w:tab/>
        <w:t>35</w:t>
      </w:r>
      <w:r>
        <w:tab/>
      </w:r>
      <w:r w:rsidR="002F2880" w:rsidRPr="001D2ED7">
        <w:t xml:space="preserve">The other </w:t>
      </w:r>
      <w:r w:rsidR="002F2880">
        <w:t>method</w:t>
      </w:r>
      <w:r w:rsidR="002F2880" w:rsidRPr="001D2ED7">
        <w:t xml:space="preserve">: since, if for investigating into the thought, the fifteenth is always taken, when he says ‘if this </w:t>
      </w:r>
      <w:r w:rsidR="002F2880">
        <w:t>lot</w:t>
      </w:r>
      <w:r w:rsidR="002F2880" w:rsidRPr="001D2ED7">
        <w:t xml:space="preserve"> occurs’, either hardly at all or seldom shall the intention of the inquirer be determined. You yourself will also see this in the judgment itself. However, according to the question to be asked from the sixteenth, which is finally </w:t>
      </w:r>
      <w:r w:rsidR="002F2880">
        <w:t>put together</w:t>
      </w:r>
      <w:r w:rsidR="002F2880" w:rsidRPr="001D2ED7">
        <w:t xml:space="preserve"> from the first and the fifteenth, what the author said should be understood: ‘If this </w:t>
      </w:r>
      <w:r w:rsidR="002F2880">
        <w:t>lot</w:t>
      </w:r>
      <w:r w:rsidR="002F2880" w:rsidRPr="001D2ED7">
        <w:t xml:space="preserve"> occurs’.</w:t>
      </w:r>
      <w:r w:rsidR="002F2880">
        <w:t xml:space="preserve"> </w:t>
      </w:r>
      <w:r w:rsidR="002F2880" w:rsidRPr="001D2ED7">
        <w:t>For, whenever they want to reach immediately the cause of the question, and consider the sixteenth, derived from the first and the fifteenth &lt;they consider&gt; which of the sixteen figures it is, out of those that the author places in the sequence of the chapters.</w:t>
      </w:r>
    </w:p>
    <w:p w14:paraId="2EFC1576" w14:textId="3E1AAAFC" w:rsidR="00242EFA" w:rsidRDefault="00242EFA" w:rsidP="002F2880">
      <w:pPr>
        <w:ind w:firstLine="0"/>
      </w:pPr>
      <w:r>
        <w:tab/>
        <w:t>36</w:t>
      </w:r>
      <w:r>
        <w:tab/>
      </w:r>
      <w:r w:rsidRPr="005035A5">
        <w:t xml:space="preserve">After having done that, according to its nature, they determine the intention of the inquirer, as the very words of the author determine when he says: ‘if this </w:t>
      </w:r>
      <w:r w:rsidR="00CA4EFE">
        <w:t>lot</w:t>
      </w:r>
      <w:r w:rsidRPr="005035A5">
        <w:t xml:space="preserve"> occurs’. In the same way through the last of the sixteen chapters whose beginning is: that figure is called the head of Aries etc., by which they determine the intention of the enquirer. Indeed, as has been said, when the sixteenth is collected from the first and from the fifteenth, they consider in which chapter of the aforementioned sixteen chapters, the collected sixteenth falls, </w:t>
      </w:r>
      <w:r>
        <w:t>the sixteenth figure having been assembled</w:t>
      </w:r>
      <w:r w:rsidRPr="005035A5">
        <w:t>. After having done that, according to the decree of the discovered chapter, they solve the cause of the inquiry. Therefore, through that sixteenth as has been said about the eighteenth, wherever it is found among the twelve houses, we are able to judge the intention, namely according to the nature of the house in which it is found.</w:t>
      </w:r>
    </w:p>
    <w:p w14:paraId="4EA9203D" w14:textId="77777777" w:rsidR="002F2880" w:rsidRDefault="00242EFA" w:rsidP="002F2880">
      <w:pPr>
        <w:ind w:firstLine="0"/>
      </w:pPr>
      <w:r>
        <w:tab/>
        <w:t>37</w:t>
      </w:r>
      <w:r>
        <w:tab/>
      </w:r>
      <w:r w:rsidR="002F2880" w:rsidRPr="005035A5">
        <w:t xml:space="preserve">But if it is in many houses at the same time, the judgement will be made from </w:t>
      </w:r>
      <w:r w:rsidR="002F2880">
        <w:t xml:space="preserve">nature of </w:t>
      </w:r>
      <w:r w:rsidR="002F2880" w:rsidRPr="005035A5">
        <w:t xml:space="preserve">the final house, from which is then started the counting up to the house of the matter inquired about. And there, according to the nature of the house that is found, the judgement will be made while observing diligently that in counting, the calculating of the counting will always be made from the first to the eighth, through twelve, eleven, ten and nine, according to what we said before, </w:t>
      </w:r>
      <w:r w:rsidR="002F2880">
        <w:t>when</w:t>
      </w:r>
      <w:r w:rsidR="002F2880" w:rsidRPr="005035A5">
        <w:t xml:space="preserve"> we resolve</w:t>
      </w:r>
      <w:r w:rsidR="002F2880">
        <w:t>d</w:t>
      </w:r>
      <w:r w:rsidR="002F2880" w:rsidRPr="005035A5">
        <w:t xml:space="preserve"> the cause of the inquiry through the eighteenth.</w:t>
      </w:r>
    </w:p>
    <w:p w14:paraId="014A2399" w14:textId="77777777" w:rsidR="00397AFB" w:rsidRDefault="00242EFA" w:rsidP="00397AFB">
      <w:pPr>
        <w:ind w:firstLine="0"/>
      </w:pPr>
      <w:r>
        <w:tab/>
        <w:t>38</w:t>
      </w:r>
      <w:r>
        <w:tab/>
      </w:r>
      <w:r w:rsidR="00397AFB" w:rsidRPr="005035A5">
        <w:t>The last three figures, the thirteenth, fourteenth and fifteenth, must certainly be carefully considered in every judgement. For, the first two of these are called witnesses of the twelve houses and of the thing that is asked about, and especially the thirteenth, which is the witness among the</w:t>
      </w:r>
      <w:r w:rsidR="00397AFB">
        <w:t xml:space="preserve"> </w:t>
      </w:r>
      <w:r w:rsidR="00397AFB" w:rsidRPr="005035A5">
        <w:t xml:space="preserve">number of </w:t>
      </w:r>
      <w:r w:rsidR="00397AFB">
        <w:t xml:space="preserve">all of </w:t>
      </w:r>
      <w:r w:rsidR="00397AFB" w:rsidRPr="005035A5">
        <w:t>them, similar to the planet from whose conjunction or aspect the Moon is separated. It indicates the root of thoughts and it indicates things that have passed.</w:t>
      </w:r>
    </w:p>
    <w:p w14:paraId="3F30378A" w14:textId="0FE3302B" w:rsidR="00242EFA" w:rsidRDefault="00242EFA" w:rsidP="00397AFB">
      <w:pPr>
        <w:ind w:firstLine="0"/>
      </w:pPr>
      <w:r>
        <w:tab/>
        <w:t>39</w:t>
      </w:r>
      <w:r>
        <w:tab/>
      </w:r>
      <w:r w:rsidRPr="005035A5">
        <w:t xml:space="preserve">But the fourteenth is similar to the planet to whose conjunction or aspect the Moon approaches. For this indicates future things. The fifteenth is the root of the whole </w:t>
      </w:r>
      <w:r w:rsidR="00CA4EFE">
        <w:t>lot</w:t>
      </w:r>
      <w:r w:rsidRPr="005035A5">
        <w:t xml:space="preserve">, and the certification of the interrogation according to the twelve houses, </w:t>
      </w:r>
      <w:r w:rsidRPr="00491D64">
        <w:t>just as in astronomy certain experts of this art judge something according to the first and the fifth (houses), since these are the first of the mothers &lt;and&gt; the first of the daughters. Others judge according to the first and the fourth, as the first is the cause of the beginning, and the other of the end</w:t>
      </w:r>
      <w:r>
        <w:t>.</w:t>
      </w:r>
    </w:p>
    <w:p w14:paraId="37CF7410" w14:textId="53A832F1" w:rsidR="00242EFA" w:rsidRDefault="00242EFA" w:rsidP="00242EFA">
      <w:pPr>
        <w:ind w:firstLine="0"/>
      </w:pPr>
      <w:r>
        <w:tab/>
        <w:t>40</w:t>
      </w:r>
      <w:r>
        <w:tab/>
      </w:r>
      <w:r w:rsidRPr="00F86134">
        <w:t xml:space="preserve">Others judge according to the first, since it is the cause of the beginning, and the fifteenth, which is the root of the whole </w:t>
      </w:r>
      <w:r w:rsidR="00CA4EFE">
        <w:t>lot</w:t>
      </w:r>
      <w:r w:rsidRPr="00F86134">
        <w:t>.</w:t>
      </w:r>
      <w:r w:rsidRPr="00491D64">
        <w:t xml:space="preserve"> A more truthful judgement however will proceed if one examines how often the (eighteenth) figure occurs, and the two witnesses and the end are examined and it is judged according to those</w:t>
      </w:r>
      <w:r w:rsidRPr="00F86134">
        <w:t xml:space="preserve">. As we have said before, since the differences of the sixteen figures happen to come forth from the </w:t>
      </w:r>
      <w:r w:rsidR="002F2BE4">
        <w:t>points</w:t>
      </w:r>
      <w:r w:rsidRPr="00F86134">
        <w:t xml:space="preserve"> and the lines, what is most true is what is obtained from the house of the matter, having considered the circumstances many times, and from the two witnesses and the judge.</w:t>
      </w:r>
    </w:p>
    <w:p w14:paraId="2CA455DE" w14:textId="62A4F1DD" w:rsidR="00242EFA" w:rsidRDefault="00242EFA" w:rsidP="00242EFA">
      <w:pPr>
        <w:ind w:firstLine="0"/>
      </w:pPr>
      <w:r>
        <w:tab/>
        <w:t>41</w:t>
      </w:r>
      <w:r>
        <w:tab/>
      </w:r>
      <w:r w:rsidRPr="00F86134">
        <w:t xml:space="preserve">If the witnesses are good, good will come forth about the matter that is inquired about. </w:t>
      </w:r>
      <w:r>
        <w:t>/</w:t>
      </w:r>
      <w:r w:rsidRPr="00F86134">
        <w:t>123v</w:t>
      </w:r>
      <w:r>
        <w:t>/</w:t>
      </w:r>
      <w:r w:rsidRPr="00F86134">
        <w:t xml:space="preserve"> However, consider this: if those two will come forth from good or bad.</w:t>
      </w:r>
      <w:r w:rsidRPr="0092115F">
        <w:t xml:space="preserve"> For the outcomes will be good if they &lt;come&gt; from the good</w:t>
      </w:r>
      <w:r w:rsidR="00334BD4">
        <w:t xml:space="preserve">. </w:t>
      </w:r>
      <w:r w:rsidR="00334BD4" w:rsidRPr="00334BD4">
        <w:t>But if from the bad</w:t>
      </w:r>
      <w:r w:rsidR="00334BD4">
        <w:t xml:space="preserve">, </w:t>
      </w:r>
      <w:r w:rsidRPr="0092115F">
        <w:t>the opposite</w:t>
      </w:r>
      <w:r w:rsidRPr="00F86134">
        <w:t xml:space="preserve">. If the aforementioned witnesses are good and emerge from the bad, their malice is taken away from their goodness to a small extent, and vice versa. </w:t>
      </w:r>
      <w:r w:rsidRPr="00F310B2">
        <w:t>But if the aforesaid witnesses have been good and come out of evil, their malice is remitted a little by their goodness, and vice versa. But if the aforesaid witnesses were evil and came out of the evil (</w:t>
      </w:r>
      <w:r w:rsidRPr="00F310B2">
        <w:rPr>
          <w:i/>
          <w:iCs/>
        </w:rPr>
        <w:t>lacuna</w:t>
      </w:r>
      <w:r w:rsidRPr="00F310B2">
        <w:t>) from the evil and from the good and vice versa</w:t>
      </w:r>
      <w:r w:rsidR="00334BD4">
        <w:t>,</w:t>
      </w:r>
      <w:r w:rsidR="00602C5B" w:rsidRPr="00602C5B">
        <w:t xml:space="preserve"> </w:t>
      </w:r>
      <w:r w:rsidR="00334BD4">
        <w:t>t</w:t>
      </w:r>
      <w:r w:rsidR="00602C5B" w:rsidRPr="00F310B2">
        <w:t xml:space="preserve">hey will </w:t>
      </w:r>
      <w:r w:rsidR="00602C5B">
        <w:t>indicate</w:t>
      </w:r>
      <w:r w:rsidR="00602C5B" w:rsidRPr="00F310B2">
        <w:t xml:space="preserve"> the reverse of the aforesaid, and this, according to those from which they came out, begins well and ends badly, and vice versa</w:t>
      </w:r>
      <w:r w:rsidR="00602C5B">
        <w:t>.</w:t>
      </w:r>
    </w:p>
    <w:p w14:paraId="4CC71131" w14:textId="77777777" w:rsidR="00334BD4" w:rsidRDefault="00242EFA" w:rsidP="00334BD4">
      <w:pPr>
        <w:ind w:firstLine="0"/>
      </w:pPr>
      <w:r>
        <w:tab/>
        <w:t>42</w:t>
      </w:r>
      <w:r>
        <w:tab/>
      </w:r>
      <w:r w:rsidR="00334BD4" w:rsidRPr="00F310B2">
        <w:t xml:space="preserve">But if the first &lt;witness&gt; is good, </w:t>
      </w:r>
      <w:r w:rsidR="00334BD4">
        <w:t xml:space="preserve">but the witnesses are bad, </w:t>
      </w:r>
      <w:r w:rsidR="00334BD4" w:rsidRPr="00F310B2">
        <w:t xml:space="preserve">the goodness is slightly diminished, but it is not destroyed entirely. However, if bad testimonies or good ones came forth first, malice diverts the goodness of the witnesses first. Nor should this be omitted: </w:t>
      </w:r>
      <w:r w:rsidR="00334BD4">
        <w:t>that</w:t>
      </w:r>
      <w:r w:rsidR="00334BD4" w:rsidRPr="00F310B2">
        <w:t xml:space="preserve"> if they have come from good and bad, the sought matter will begin well and end badly. However, if &lt;they come&gt; from bad and good, it will signify the opposite of </w:t>
      </w:r>
      <w:r w:rsidR="00334BD4">
        <w:t>what has been said.</w:t>
      </w:r>
    </w:p>
    <w:p w14:paraId="6DF49F51" w14:textId="77777777" w:rsidR="00334BD4" w:rsidRDefault="00242EFA" w:rsidP="00334BD4">
      <w:pPr>
        <w:ind w:firstLine="0"/>
      </w:pPr>
      <w:r>
        <w:tab/>
        <w:t>43</w:t>
      </w:r>
      <w:r>
        <w:tab/>
      </w:r>
      <w:r w:rsidR="00334BD4" w:rsidRPr="00F86134">
        <w:t>The fifteenth should also be considered: whether it is good or bad, that is</w:t>
      </w:r>
      <w:r w:rsidR="00334BD4">
        <w:t>,</w:t>
      </w:r>
      <w:r w:rsidR="00334BD4" w:rsidRPr="00F86134">
        <w:t xml:space="preserve"> if it emerges from the good or the bad</w:t>
      </w:r>
      <w:r w:rsidR="00334BD4">
        <w:t>,</w:t>
      </w:r>
      <w:r w:rsidR="00334BD4" w:rsidRPr="00F86134">
        <w:t xml:space="preserve"> and from which</w:t>
      </w:r>
      <w:r w:rsidR="00334BD4">
        <w:t>ever</w:t>
      </w:r>
      <w:r w:rsidR="00334BD4" w:rsidRPr="00F86134">
        <w:t xml:space="preserve"> &lt;of them&gt;</w:t>
      </w:r>
      <w:r w:rsidR="00334BD4">
        <w:t xml:space="preserve"> it emerges </w:t>
      </w:r>
      <w:r w:rsidR="00334BD4" w:rsidRPr="00F86134">
        <w:t xml:space="preserve">you will be able to judge </w:t>
      </w:r>
      <w:r w:rsidR="00334BD4">
        <w:t xml:space="preserve">also </w:t>
      </w:r>
      <w:r w:rsidR="00334BD4" w:rsidRPr="00F86134">
        <w:t>according to the aforesaid reasoning. Note that when Limen Intrans or Res Intrans occur in the first house, then the prediction will be true. If in the first house there is Limen Exiens</w:t>
      </w:r>
      <w:r w:rsidR="00334BD4" w:rsidRPr="00F86134">
        <w:rPr>
          <w:i/>
          <w:iCs/>
        </w:rPr>
        <w:t xml:space="preserve"> </w:t>
      </w:r>
      <w:r w:rsidR="00334BD4" w:rsidRPr="00F86134">
        <w:t>or R</w:t>
      </w:r>
      <w:r w:rsidR="00334BD4" w:rsidRPr="00F86134">
        <w:rPr>
          <w:lang w:val="it-IT"/>
        </w:rPr>
        <w:t>es Sumpta Evadens</w:t>
      </w:r>
      <w:r w:rsidR="00334BD4" w:rsidRPr="00F86134">
        <w:t>,</w:t>
      </w:r>
      <w:r w:rsidR="00334BD4" w:rsidRPr="00F86134">
        <w:rPr>
          <w:i/>
          <w:iCs/>
        </w:rPr>
        <w:t xml:space="preserve"> </w:t>
      </w:r>
      <w:r w:rsidR="00334BD4" w:rsidRPr="00F86134">
        <w:t>it indicates falsehood and you must extract a figure from the first and the fifteenth, which, if it is good, will be a testimony of</w:t>
      </w:r>
      <w:r w:rsidR="00334BD4">
        <w:t xml:space="preserve"> a</w:t>
      </w:r>
      <w:r w:rsidR="00334BD4" w:rsidRPr="00F86134">
        <w:t xml:space="preserve"> good witness, if it is bad, the opposite.</w:t>
      </w:r>
    </w:p>
    <w:p w14:paraId="5C90D791" w14:textId="77777777" w:rsidR="00334BD4" w:rsidRPr="00F86134" w:rsidRDefault="00334BD4" w:rsidP="00334BD4">
      <w:pPr>
        <w:ind w:firstLine="0"/>
      </w:pPr>
    </w:p>
    <w:p w14:paraId="63670F24" w14:textId="29B29B51" w:rsidR="00242EFA" w:rsidRPr="00334BD4" w:rsidRDefault="00242EFA" w:rsidP="00334BD4">
      <w:pPr>
        <w:ind w:firstLine="0"/>
        <w:jc w:val="center"/>
        <w:rPr>
          <w:b/>
          <w:bCs/>
        </w:rPr>
      </w:pPr>
      <w:r w:rsidRPr="00334BD4">
        <w:rPr>
          <w:b/>
          <w:bCs/>
        </w:rPr>
        <w:t>On the rules of finding the intention according to the astrologer Aephata</w:t>
      </w:r>
    </w:p>
    <w:p w14:paraId="03BCC3D4" w14:textId="77777777" w:rsidR="00242EFA" w:rsidRPr="00F86134" w:rsidRDefault="00242EFA" w:rsidP="00242EFA">
      <w:pPr>
        <w:ind w:firstLine="0"/>
      </w:pPr>
    </w:p>
    <w:p w14:paraId="7BB15721" w14:textId="195596E5" w:rsidR="00242EFA" w:rsidRDefault="00242EFA" w:rsidP="00CF634F">
      <w:r>
        <w:t>44</w:t>
      </w:r>
      <w:r>
        <w:tab/>
      </w:r>
      <w:r w:rsidR="0062609A" w:rsidRPr="0013284F">
        <w:t xml:space="preserve">These are the rules that the wise astronomer Aephatan </w:t>
      </w:r>
      <w:r w:rsidR="0062609A">
        <w:t>received</w:t>
      </w:r>
      <w:r w:rsidR="0062609A" w:rsidRPr="0013284F">
        <w:t xml:space="preserve">, with </w:t>
      </w:r>
      <w:r w:rsidR="0062609A">
        <w:t>which</w:t>
      </w:r>
      <w:r w:rsidR="0062609A" w:rsidRPr="0013284F">
        <w:t xml:space="preserve"> he worked during his life</w:t>
      </w:r>
      <w:r w:rsidR="0062609A">
        <w:t>,</w:t>
      </w:r>
      <w:r w:rsidR="0062609A" w:rsidRPr="0013284F">
        <w:t xml:space="preserve"> and after him the Arabs and Egyptians and </w:t>
      </w:r>
      <w:r w:rsidR="0062609A">
        <w:t xml:space="preserve">the </w:t>
      </w:r>
      <w:r w:rsidR="0062609A" w:rsidRPr="0013284F">
        <w:t>other wise men</w:t>
      </w:r>
      <w:r w:rsidR="0062609A">
        <w:t xml:space="preserve"> (used them)</w:t>
      </w:r>
      <w:r w:rsidR="0062609A" w:rsidRPr="0013284F">
        <w:t>. These are the four rules that will teach you what people want or think before it is clear what is held in the heart.</w:t>
      </w:r>
      <w:r w:rsidR="0062609A">
        <w:t xml:space="preserve"> You should know these rules without number.</w:t>
      </w:r>
    </w:p>
    <w:p w14:paraId="30335176" w14:textId="77777777" w:rsidR="00CF634F" w:rsidRDefault="00242EFA" w:rsidP="00CF634F">
      <w:pPr>
        <w:ind w:firstLine="0"/>
      </w:pPr>
      <w:r>
        <w:tab/>
        <w:t>45</w:t>
      </w:r>
      <w:r>
        <w:tab/>
      </w:r>
      <w:r w:rsidR="00CF634F">
        <w:t>And if such a sign</w:t>
      </w:r>
      <w:r w:rsidR="00CF634F" w:rsidRPr="0013284F">
        <w:t xml:space="preserve"> (1111)</w:t>
      </w:r>
      <w:r w:rsidR="00CF634F">
        <w:t xml:space="preserve"> remains in the last calculation</w:t>
      </w:r>
      <w:r w:rsidR="00CF634F" w:rsidRPr="0013284F">
        <w:t xml:space="preserve">, </w:t>
      </w:r>
      <w:r w:rsidR="00CF634F">
        <w:t>say to</w:t>
      </w:r>
      <w:r w:rsidR="00CF634F" w:rsidRPr="0013284F">
        <w:t xml:space="preserve"> him: </w:t>
      </w:r>
      <w:r w:rsidR="00CF634F">
        <w:t>‘Y</w:t>
      </w:r>
      <w:r w:rsidR="00CF634F" w:rsidRPr="0013284F">
        <w:t xml:space="preserve">ou </w:t>
      </w:r>
      <w:r w:rsidR="00CF634F">
        <w:t>are asking</w:t>
      </w:r>
      <w:r w:rsidR="00CF634F" w:rsidRPr="0013284F">
        <w:t xml:space="preserve"> me about a movement or a journey from </w:t>
      </w:r>
      <w:r w:rsidR="00CF634F">
        <w:t>place to place’</w:t>
      </w:r>
      <w:r w:rsidR="00CF634F" w:rsidRPr="0013284F">
        <w:t xml:space="preserve">. If he answered: </w:t>
      </w:r>
      <w:r w:rsidR="00CF634F">
        <w:t>‘</w:t>
      </w:r>
      <w:r w:rsidR="00CF634F" w:rsidRPr="0013284F">
        <w:t>True,</w:t>
      </w:r>
      <w:r w:rsidR="00CF634F">
        <w:t>’</w:t>
      </w:r>
      <w:r w:rsidR="00CF634F" w:rsidRPr="0013284F">
        <w:t xml:space="preserve"> tell him that he should guard against his companion who </w:t>
      </w:r>
      <w:r w:rsidR="00CF634F">
        <w:t xml:space="preserve">will </w:t>
      </w:r>
      <w:r w:rsidR="00CF634F" w:rsidRPr="0013284F">
        <w:t xml:space="preserve">betray him, and </w:t>
      </w:r>
      <w:r w:rsidR="00CF634F">
        <w:t>will lead him astray</w:t>
      </w:r>
      <w:r w:rsidR="00CF634F" w:rsidRPr="0013284F">
        <w:t xml:space="preserve"> either with his body or with money. But if he says ‘I want to make a journey’, tell him: </w:t>
      </w:r>
      <w:r w:rsidR="00CF634F">
        <w:t>‘</w:t>
      </w:r>
      <w:r w:rsidR="00CF634F" w:rsidRPr="0013284F">
        <w:t xml:space="preserve">You </w:t>
      </w:r>
      <w:r w:rsidR="00CF634F">
        <w:t>i</w:t>
      </w:r>
      <w:r w:rsidR="00CF634F" w:rsidRPr="0013284F">
        <w:t xml:space="preserve">nquire about </w:t>
      </w:r>
      <w:r w:rsidR="00CF634F" w:rsidRPr="001F1420">
        <w:t xml:space="preserve">a man who is on a journey, or for a man who </w:t>
      </w:r>
      <w:r w:rsidR="00CF634F">
        <w:t>is far</w:t>
      </w:r>
      <w:r w:rsidR="00CF634F" w:rsidRPr="001F1420">
        <w:t xml:space="preserve"> from you, or for a lost thing that has gone out of your hand which you will recover, and </w:t>
      </w:r>
      <w:r w:rsidR="00CF634F">
        <w:t xml:space="preserve">a </w:t>
      </w:r>
      <w:r w:rsidR="00CF634F" w:rsidRPr="001F1420">
        <w:t xml:space="preserve">servant has moved from place to place together with </w:t>
      </w:r>
      <w:r w:rsidR="00CF634F">
        <w:t>what he has stolen</w:t>
      </w:r>
      <w:r w:rsidR="00CF634F" w:rsidRPr="001F1420">
        <w:t>. And this lot is good in buying or selling, and in giving or receiving, and the thing you want to receive will be good, and the thing already lost will not return, unless it pleases God.</w:t>
      </w:r>
    </w:p>
    <w:p w14:paraId="3962B4AA" w14:textId="3D252A7A" w:rsidR="00C07455" w:rsidRDefault="00242EFA" w:rsidP="00C07455">
      <w:pPr>
        <w:ind w:firstLine="0"/>
      </w:pPr>
      <w:r>
        <w:tab/>
        <w:t>46</w:t>
      </w:r>
      <w:r>
        <w:tab/>
      </w:r>
      <w:r w:rsidR="00C07455" w:rsidRPr="001F1420">
        <w:t xml:space="preserve">On the meaning of </w:t>
      </w:r>
      <w:r w:rsidR="00C07455">
        <w:t>L</w:t>
      </w:r>
      <w:r w:rsidR="00C07455" w:rsidRPr="001F1420">
        <w:t xml:space="preserve">imes </w:t>
      </w:r>
      <w:r w:rsidR="00C07455">
        <w:t>E</w:t>
      </w:r>
      <w:r w:rsidR="00C07455" w:rsidRPr="001F1420">
        <w:t>xiens. If</w:t>
      </w:r>
      <w:r w:rsidR="00C07455">
        <w:t xml:space="preserve"> </w:t>
      </w:r>
      <w:r w:rsidR="00C07455" w:rsidRPr="001F1420">
        <w:t xml:space="preserve">three </w:t>
      </w:r>
      <w:r w:rsidR="00C07455">
        <w:t>from</w:t>
      </w:r>
      <w:r w:rsidR="00C07455" w:rsidRPr="001F1420">
        <w:t xml:space="preserve"> two </w:t>
      </w:r>
      <w:r w:rsidR="00C07455">
        <w:t xml:space="preserve">occur </w:t>
      </w:r>
      <w:r w:rsidR="00C07455" w:rsidRPr="001F1420">
        <w:t xml:space="preserve">in this way (1112), </w:t>
      </w:r>
      <w:r w:rsidR="00C07455">
        <w:t>say: ‘</w:t>
      </w:r>
      <w:r w:rsidR="00C07455" w:rsidRPr="001F1420">
        <w:t xml:space="preserve">You are </w:t>
      </w:r>
      <w:r w:rsidR="00C07455">
        <w:t>enquiring</w:t>
      </w:r>
      <w:r w:rsidR="00C07455" w:rsidRPr="001F1420">
        <w:t xml:space="preserve"> </w:t>
      </w:r>
      <w:r w:rsidR="00C07455">
        <w:t>about</w:t>
      </w:r>
      <w:r w:rsidR="00C07455" w:rsidRPr="001F1420">
        <w:t xml:space="preserve"> </w:t>
      </w:r>
      <w:r w:rsidR="00C07455">
        <w:t xml:space="preserve">making </w:t>
      </w:r>
      <w:r w:rsidR="00C07455" w:rsidRPr="001F1420">
        <w:t>a journey</w:t>
      </w:r>
      <w:r w:rsidR="00C07455">
        <w:t>,</w:t>
      </w:r>
      <w:r w:rsidR="00C07455" w:rsidRPr="001F1420">
        <w:t xml:space="preserve"> or </w:t>
      </w:r>
      <w:r w:rsidR="00C07455">
        <w:t xml:space="preserve">about </w:t>
      </w:r>
      <w:r w:rsidR="00C07455" w:rsidRPr="001F1420">
        <w:t xml:space="preserve">a </w:t>
      </w:r>
      <w:r w:rsidR="00C07455">
        <w:t>parent</w:t>
      </w:r>
      <w:r w:rsidR="00C07455" w:rsidRPr="001F1420">
        <w:t xml:space="preserve"> who is </w:t>
      </w:r>
      <w:r w:rsidR="00C07455">
        <w:t xml:space="preserve">far </w:t>
      </w:r>
      <w:r w:rsidR="00C07455" w:rsidRPr="001F1420">
        <w:t>from you, or a lost thing that you will not recover</w:t>
      </w:r>
      <w:r w:rsidR="00C07455">
        <w:t>.’</w:t>
      </w:r>
      <w:r w:rsidR="00C07455" w:rsidRPr="005A39A7">
        <w:t xml:space="preserve"> </w:t>
      </w:r>
      <w:r w:rsidR="00C07455">
        <w:t>He t</w:t>
      </w:r>
      <w:r w:rsidR="00C07455" w:rsidRPr="005A39A7">
        <w:t xml:space="preserve">o whom this lot has fallen does not have a good hour except on a journey, and it is not good either to make </w:t>
      </w:r>
      <w:r w:rsidR="00C07455">
        <w:t>a betrothal</w:t>
      </w:r>
      <w:r w:rsidR="00C07455" w:rsidRPr="005A39A7">
        <w:t xml:space="preserve"> /124r/ or to marry. The ill person will die or the disease will be prolonged and the man that </w:t>
      </w:r>
      <w:r w:rsidR="00C07455">
        <w:t xml:space="preserve">has gone </w:t>
      </w:r>
      <w:r w:rsidR="00C07455" w:rsidRPr="005A39A7">
        <w:t xml:space="preserve">of the door will not return to his home nor will his </w:t>
      </w:r>
      <w:r w:rsidR="00C07455">
        <w:t xml:space="preserve">lost </w:t>
      </w:r>
      <w:r w:rsidR="00C07455" w:rsidRPr="005A39A7">
        <w:t xml:space="preserve">property, his </w:t>
      </w:r>
      <w:r w:rsidR="00C07455">
        <w:t>venture will turn out well</w:t>
      </w:r>
      <w:r w:rsidR="008817C6">
        <w:t xml:space="preserve"> </w:t>
      </w:r>
      <w:r w:rsidR="00C07455">
        <w:t>(?)</w:t>
      </w:r>
      <w:r w:rsidR="00C07455" w:rsidRPr="005A39A7">
        <w:t>, a</w:t>
      </w:r>
      <w:r w:rsidR="00C07455">
        <w:t>nd his</w:t>
      </w:r>
      <w:r w:rsidR="00C07455" w:rsidRPr="005A39A7">
        <w:t xml:space="preserve"> house </w:t>
      </w:r>
      <w:r w:rsidR="00C07455">
        <w:t>(will be)</w:t>
      </w:r>
      <w:r w:rsidR="00C07455" w:rsidRPr="005A39A7">
        <w:t xml:space="preserve"> deserted </w:t>
      </w:r>
      <w:r w:rsidR="00C07455">
        <w:t xml:space="preserve">through (?) the advent of </w:t>
      </w:r>
      <w:r w:rsidR="00C07455" w:rsidRPr="005A39A7">
        <w:t>an evil accident</w:t>
      </w:r>
      <w:r w:rsidR="00C07455">
        <w:t>.</w:t>
      </w:r>
      <w:r w:rsidR="00C07455" w:rsidRPr="005A39A7">
        <w:t xml:space="preserve"> </w:t>
      </w:r>
      <w:r w:rsidR="00C07455">
        <w:t>A</w:t>
      </w:r>
      <w:r w:rsidR="00C07455" w:rsidRPr="005A39A7">
        <w:t xml:space="preserve">nd the </w:t>
      </w:r>
      <w:r w:rsidR="00C07455">
        <w:t>C</w:t>
      </w:r>
      <w:r w:rsidR="00C07455" w:rsidRPr="005A39A7">
        <w:t>reator is wiser.</w:t>
      </w:r>
    </w:p>
    <w:p w14:paraId="04002DBF" w14:textId="36CD0F18" w:rsidR="00242EFA" w:rsidRDefault="00242EFA" w:rsidP="00C07455">
      <w:pPr>
        <w:ind w:firstLine="0"/>
      </w:pPr>
      <w:r>
        <w:tab/>
        <w:t>47</w:t>
      </w:r>
      <w:r>
        <w:tab/>
      </w:r>
      <w:r w:rsidR="00C07455">
        <w:t xml:space="preserve">On the meaning of Fortuna Minor. </w:t>
      </w:r>
      <w:r w:rsidR="00C07455" w:rsidRPr="005A39A7">
        <w:t xml:space="preserve">If two odd and two even come out as here (1122), he </w:t>
      </w:r>
      <w:r w:rsidR="00C07455">
        <w:t>asks about</w:t>
      </w:r>
      <w:r w:rsidR="00C07455" w:rsidRPr="005A39A7">
        <w:t xml:space="preserve"> a journey or a change of house, or from place to place, and there is good in everything. If he says:</w:t>
      </w:r>
      <w:r w:rsidR="00C07455">
        <w:t xml:space="preserve"> ‘</w:t>
      </w:r>
      <w:r w:rsidR="00C07455" w:rsidRPr="005A39A7">
        <w:t xml:space="preserve">I do not want to do </w:t>
      </w:r>
      <w:r w:rsidR="00C07455">
        <w:t>that which you say</w:t>
      </w:r>
      <w:r w:rsidR="00C07455" w:rsidRPr="005A39A7">
        <w:t>,</w:t>
      </w:r>
      <w:r w:rsidR="00C07455">
        <w:t>’</w:t>
      </w:r>
      <w:r w:rsidR="00C07455" w:rsidRPr="006B3651">
        <w:t xml:space="preserve"> </w:t>
      </w:r>
      <w:r w:rsidR="00C07455">
        <w:t>say to him ‘</w:t>
      </w:r>
      <w:r w:rsidR="00C07455" w:rsidRPr="006B3651">
        <w:t xml:space="preserve">You are asking me about a man who </w:t>
      </w:r>
      <w:r w:rsidR="00C07455">
        <w:t xml:space="preserve">went </w:t>
      </w:r>
      <w:r w:rsidR="00C07455" w:rsidRPr="006B3651">
        <w:t xml:space="preserve">away from you, and you are enquiring about that separation from you, like a woman, or a servant, or an animal, or for the person who will not come back. And </w:t>
      </w:r>
      <w:r w:rsidR="00C07455">
        <w:t>you will presently lose something</w:t>
      </w:r>
      <w:r w:rsidR="00C07455" w:rsidRPr="006B3651">
        <w:t>,</w:t>
      </w:r>
      <w:r w:rsidR="00C07455">
        <w:t xml:space="preserve"> </w:t>
      </w:r>
      <w:r w:rsidR="00C07455" w:rsidRPr="006B3651">
        <w:t>and the sick person</w:t>
      </w:r>
      <w:r w:rsidR="00C07455">
        <w:t xml:space="preserve"> </w:t>
      </w:r>
      <w:r w:rsidR="00C07455" w:rsidRPr="006B3651">
        <w:t xml:space="preserve">you have </w:t>
      </w:r>
      <w:r w:rsidR="00C07455">
        <w:t>with you, is sick in his</w:t>
      </w:r>
      <w:r w:rsidR="00C07455" w:rsidRPr="006B3651">
        <w:t xml:space="preserve"> hands, and the man that went away from you has crossed the sea and he will make a long delay, and everything you ask to obtain comes forth as troublesome to you, and you are in a place in which you are not sure whether the soldiers are with you or </w:t>
      </w:r>
      <w:r w:rsidR="00C07455">
        <w:t xml:space="preserve">are </w:t>
      </w:r>
      <w:r w:rsidR="00C07455" w:rsidRPr="006B3651">
        <w:t>enemies. You must protect your soul</w:t>
      </w:r>
      <w:r w:rsidR="00C07455">
        <w:t>’</w:t>
      </w:r>
      <w:r w:rsidR="00C07455" w:rsidRPr="006B3651">
        <w:t>.</w:t>
      </w:r>
    </w:p>
    <w:p w14:paraId="34B5DC85" w14:textId="77777777" w:rsidR="008817C6" w:rsidRDefault="00242EFA" w:rsidP="008817C6">
      <w:pPr>
        <w:ind w:firstLine="0"/>
      </w:pPr>
      <w:r>
        <w:tab/>
        <w:t>48</w:t>
      </w:r>
      <w:r>
        <w:tab/>
      </w:r>
      <w:r w:rsidR="008817C6" w:rsidRPr="006B3651">
        <w:t xml:space="preserve">On the meaning of </w:t>
      </w:r>
      <w:r w:rsidR="008817C6">
        <w:t>C</w:t>
      </w:r>
      <w:r w:rsidR="008817C6" w:rsidRPr="006B3651">
        <w:t xml:space="preserve">aput </w:t>
      </w:r>
      <w:r w:rsidR="008817C6">
        <w:t>A</w:t>
      </w:r>
      <w:r w:rsidR="008817C6" w:rsidRPr="006B3651">
        <w:t xml:space="preserve">ltum. If this </w:t>
      </w:r>
      <w:r w:rsidR="008817C6">
        <w:t>lot</w:t>
      </w:r>
      <w:r w:rsidR="008817C6" w:rsidRPr="006B3651">
        <w:t xml:space="preserve"> falls (1222) he asks on behalf of his father who has gone away from him, or an uncle, or on behalf of a servant that he wants to sell or be separated from; conducting a journey is good, the m</w:t>
      </w:r>
      <w:r w:rsidR="008817C6">
        <w:t>a</w:t>
      </w:r>
      <w:r w:rsidR="008817C6" w:rsidRPr="006B3651">
        <w:t>n who left will come back late, and the thing you want to sell &lt;is&gt; good, and whatever you ask for, you will obtain quickly</w:t>
      </w:r>
      <w:r w:rsidR="008817C6">
        <w:t>.</w:t>
      </w:r>
      <w:r w:rsidR="008817C6" w:rsidRPr="006B3651">
        <w:t xml:space="preserve"> </w:t>
      </w:r>
      <w:r w:rsidR="008817C6">
        <w:t>S</w:t>
      </w:r>
      <w:r w:rsidR="008817C6" w:rsidRPr="006B3651">
        <w:t>elling or embarking on a journey is good</w:t>
      </w:r>
      <w:r w:rsidR="008817C6">
        <w:t>,</w:t>
      </w:r>
      <w:r w:rsidR="008817C6" w:rsidRPr="006B3651">
        <w:t xml:space="preserve"> and the sick person will move from one place to another and will be cured. The woman will give birth to a daughter, and whatever exits from your hand will not be restored, God knows more than I do.</w:t>
      </w:r>
    </w:p>
    <w:p w14:paraId="0C07A03D" w14:textId="77777777" w:rsidR="004977E7" w:rsidRDefault="00242EFA" w:rsidP="004977E7">
      <w:pPr>
        <w:ind w:firstLine="0"/>
      </w:pPr>
      <w:r>
        <w:tab/>
        <w:t>49</w:t>
      </w:r>
      <w:r>
        <w:tab/>
      </w:r>
      <w:r w:rsidR="004977E7">
        <w:t>On the meaning of Caput Imum. If this lot falls (2221), know that he interrogates you on behalf of his brothers, or his parents, or friends, or a good messenger who comes with a letter, or he will come soon, or about the man that went away from him; he will come back quickly. Or he asks about his engagement, or if his girl has been corrupted (if she is still a virgin or not), or for the pregnant woman that now will give birth to a son, and the man that comes to you will cross the sea or a wide river. But he who serves you badly will come back quickly to the house, what has been stolen and lost will be quickly returned, and this is a good lot for acquiring and bad for giving.</w:t>
      </w:r>
    </w:p>
    <w:p w14:paraId="3A5C462E" w14:textId="196395A8" w:rsidR="00177F25" w:rsidRDefault="00242EFA" w:rsidP="00177F25">
      <w:pPr>
        <w:ind w:firstLine="0"/>
      </w:pPr>
      <w:r>
        <w:tab/>
        <w:t>50</w:t>
      </w:r>
      <w:r>
        <w:tab/>
      </w:r>
      <w:r w:rsidR="00177F25" w:rsidRPr="003C6364">
        <w:t xml:space="preserve">On the meaning of </w:t>
      </w:r>
      <w:r w:rsidR="00177F25">
        <w:t>C</w:t>
      </w:r>
      <w:r w:rsidR="00177F25" w:rsidRPr="003C6364">
        <w:t xml:space="preserve">ollectio. If this </w:t>
      </w:r>
      <w:r w:rsidR="00177F25">
        <w:t>lot</w:t>
      </w:r>
      <w:r w:rsidR="00177F25" w:rsidRPr="003C6364">
        <w:t xml:space="preserve"> falls (2222), he who asks you will go over the sea or </w:t>
      </w:r>
      <w:r w:rsidR="00177F25">
        <w:t xml:space="preserve">the journey </w:t>
      </w:r>
      <w:r w:rsidR="00177F25" w:rsidRPr="003C6364">
        <w:t xml:space="preserve">will have rain, and yet in these he will have salvation. </w:t>
      </w:r>
      <w:r w:rsidR="00177F25">
        <w:t>You</w:t>
      </w:r>
      <w:r w:rsidR="00177F25" w:rsidRPr="003C6364">
        <w:t xml:space="preserve"> ask for the man that went away from you and for the pregnant</w:t>
      </w:r>
      <w:r w:rsidR="00177F25">
        <w:t xml:space="preserve"> woman </w:t>
      </w:r>
      <w:r w:rsidR="00177F25" w:rsidRPr="003C6364">
        <w:t xml:space="preserve">if she will give birth with safety, and about the loss of animals, and for the journey </w:t>
      </w:r>
      <w:r w:rsidR="00177F25">
        <w:t xml:space="preserve">of the army from </w:t>
      </w:r>
      <w:r w:rsidR="00177F25" w:rsidRPr="003C6364">
        <w:t xml:space="preserve">which he will return in safety, and for the return /124v/ </w:t>
      </w:r>
      <w:r w:rsidR="00177F25">
        <w:t>of</w:t>
      </w:r>
      <w:r w:rsidR="00177F25" w:rsidRPr="003C6364">
        <w:t xml:space="preserve"> his father, and for the judgment of the houses which you desire to have, for the bonds </w:t>
      </w:r>
      <w:r w:rsidR="00177F25">
        <w:t xml:space="preserve">(?) </w:t>
      </w:r>
      <w:r w:rsidR="00177F25" w:rsidRPr="003C6364">
        <w:t xml:space="preserve">of men who meet, on the </w:t>
      </w:r>
      <w:r w:rsidR="00177F25">
        <w:t>ill person</w:t>
      </w:r>
      <w:r w:rsidR="00177F25" w:rsidRPr="003C6364">
        <w:t xml:space="preserve"> who has the fear of death.</w:t>
      </w:r>
    </w:p>
    <w:p w14:paraId="00FD273C" w14:textId="77777777" w:rsidR="00177F25" w:rsidRDefault="00177F25" w:rsidP="00177F25">
      <w:pPr>
        <w:ind w:firstLine="0"/>
      </w:pPr>
      <w:r w:rsidRPr="003C6364">
        <w:t xml:space="preserve">This lot permits all </w:t>
      </w:r>
      <w:r>
        <w:t xml:space="preserve">good </w:t>
      </w:r>
      <w:r w:rsidRPr="003C6364">
        <w:t xml:space="preserve">things to be done, that is, </w:t>
      </w:r>
      <w:r>
        <w:t>making betrothals</w:t>
      </w:r>
      <w:r w:rsidRPr="003C6364">
        <w:t xml:space="preserve">, and the man who is </w:t>
      </w:r>
      <w:r>
        <w:t>abroad</w:t>
      </w:r>
      <w:r w:rsidRPr="003C6364">
        <w:t xml:space="preserve"> will come with </w:t>
      </w:r>
      <w:r>
        <w:t>safety.</w:t>
      </w:r>
      <w:r w:rsidRPr="003C6364">
        <w:t xml:space="preserve"> The sick will be healed</w:t>
      </w:r>
      <w:r>
        <w:t>; it (Collectio)</w:t>
      </w:r>
      <w:r w:rsidRPr="003C6364">
        <w:t xml:space="preserve"> allows all good. He will have health, prosperity, honour, and he will have whatever he asks</w:t>
      </w:r>
      <w:r>
        <w:t xml:space="preserve"> for</w:t>
      </w:r>
      <w:r w:rsidRPr="003C6364">
        <w:t xml:space="preserve">, </w:t>
      </w:r>
      <w:r>
        <w:t>one (?) deed</w:t>
      </w:r>
      <w:r w:rsidRPr="003C6364">
        <w:t xml:space="preserve"> will be good, nor should you avoid &lt;</w:t>
      </w:r>
      <w:r>
        <w:t>do</w:t>
      </w:r>
      <w:r w:rsidRPr="003C6364">
        <w:t xml:space="preserve">ing it&gt;. </w:t>
      </w:r>
      <w:r>
        <w:t>(If) y</w:t>
      </w:r>
      <w:r w:rsidRPr="003C6364">
        <w:t>ou keep me in your thoughts, it will be very useful for you.</w:t>
      </w:r>
    </w:p>
    <w:p w14:paraId="39475156" w14:textId="77777777" w:rsidR="00177F25" w:rsidRDefault="00242EFA" w:rsidP="00177F25">
      <w:pPr>
        <w:ind w:firstLine="0"/>
      </w:pPr>
      <w:r>
        <w:tab/>
        <w:t>51</w:t>
      </w:r>
      <w:r>
        <w:tab/>
      </w:r>
      <w:r w:rsidR="00177F25">
        <w:t xml:space="preserve">On the meaning of Fortuna Maior. </w:t>
      </w:r>
      <w:r w:rsidR="00177F25" w:rsidRPr="003C6364">
        <w:t>If two even and two odd have fallen in this way (2211),</w:t>
      </w:r>
      <w:r w:rsidR="00177F25">
        <w:t xml:space="preserve"> </w:t>
      </w:r>
      <w:r w:rsidR="00177F25" w:rsidRPr="00045AAD">
        <w:t xml:space="preserve">know that he asks you for the red animal which he </w:t>
      </w:r>
      <w:r w:rsidR="00177F25">
        <w:t>seeks to have</w:t>
      </w:r>
      <w:r w:rsidR="00177F25" w:rsidRPr="00045AAD">
        <w:t xml:space="preserve">, which he either bought or </w:t>
      </w:r>
      <w:r w:rsidR="00177F25">
        <w:t xml:space="preserve">it </w:t>
      </w:r>
      <w:r w:rsidR="00177F25" w:rsidRPr="00045AAD">
        <w:t xml:space="preserve">got out of </w:t>
      </w:r>
      <w:r w:rsidR="00177F25">
        <w:t xml:space="preserve">his </w:t>
      </w:r>
      <w:r w:rsidR="00177F25" w:rsidRPr="00045AAD">
        <w:t>hand</w:t>
      </w:r>
      <w:r w:rsidR="00177F25">
        <w:t>s</w:t>
      </w:r>
      <w:r w:rsidR="00177F25" w:rsidRPr="00045AAD">
        <w:t xml:space="preserve">, which you will soon recover. If he says: </w:t>
      </w:r>
      <w:r w:rsidR="00177F25">
        <w:t>‘</w:t>
      </w:r>
      <w:r w:rsidR="00177F25" w:rsidRPr="00045AAD">
        <w:t>No</w:t>
      </w:r>
      <w:r w:rsidR="00177F25">
        <w:t>’</w:t>
      </w:r>
      <w:r w:rsidR="00177F25" w:rsidRPr="00045AAD">
        <w:t xml:space="preserve">, say to him: </w:t>
      </w:r>
      <w:r w:rsidR="00177F25">
        <w:t>‘</w:t>
      </w:r>
      <w:r w:rsidR="00177F25" w:rsidRPr="00045AAD">
        <w:t xml:space="preserve">You ask </w:t>
      </w:r>
      <w:r w:rsidR="00177F25">
        <w:t>about</w:t>
      </w:r>
      <w:r w:rsidR="00177F25" w:rsidRPr="00045AAD">
        <w:t xml:space="preserve"> a pregnant woman who is about to give birth to a son and a man who went </w:t>
      </w:r>
      <w:r w:rsidR="00177F25">
        <w:t>away</w:t>
      </w:r>
      <w:r w:rsidR="00177F25" w:rsidRPr="00045AAD">
        <w:t xml:space="preserve"> from you and will come quickly, either his letter will come to you, or his messenger has not come yet; or you are inquiring about the </w:t>
      </w:r>
      <w:r w:rsidR="00177F25">
        <w:t>money</w:t>
      </w:r>
      <w:r w:rsidR="00177F25" w:rsidRPr="00045AAD">
        <w:t xml:space="preserve"> that will come into your hand, or a beast, or a woman, and it is good to take a journey, to make </w:t>
      </w:r>
      <w:r w:rsidR="00177F25">
        <w:t>an engagement</w:t>
      </w:r>
      <w:r w:rsidR="00177F25" w:rsidRPr="00045AAD">
        <w:t>, to enter into a war, and the stolen thing will quickly return home. The sick man will be healed and blood will come out of him, and the man who is on the journey will return sick, and whatever you asked is already with you. And do what you set your mind to do, because it will be good for you, if it pleases God.</w:t>
      </w:r>
      <w:r w:rsidR="00177F25">
        <w:t>’</w:t>
      </w:r>
    </w:p>
    <w:p w14:paraId="69C7F763" w14:textId="77777777" w:rsidR="00177F25" w:rsidRDefault="00242EFA" w:rsidP="00177F25">
      <w:pPr>
        <w:ind w:firstLine="0"/>
      </w:pPr>
      <w:r>
        <w:tab/>
        <w:t>52</w:t>
      </w:r>
      <w:r>
        <w:tab/>
      </w:r>
      <w:r w:rsidR="00177F25">
        <w:t xml:space="preserve">On the meaning of Limen Intrans. </w:t>
      </w:r>
      <w:r w:rsidR="00177F25" w:rsidRPr="00045AAD">
        <w:t xml:space="preserve">If two even and three odd fall thus (2111), know that he asks you for the honour he wishes to have and for the betrothals he wishes to make, and the joy he wishes to have or to make, and for himself and wealth and all good, and the honour that will come to you is good only on the </w:t>
      </w:r>
      <w:r w:rsidR="00177F25">
        <w:t>journey</w:t>
      </w:r>
      <w:r w:rsidR="00177F25" w:rsidRPr="00045AAD">
        <w:t xml:space="preserve"> and when you want to sell, but if he makes a journey to his master, this journey is beneficial to him, because he will gain honour from it</w:t>
      </w:r>
      <w:r w:rsidR="00177F25">
        <w:t>.</w:t>
      </w:r>
      <w:r w:rsidR="00177F25" w:rsidRPr="00045AAD">
        <w:t xml:space="preserve"> </w:t>
      </w:r>
      <w:r w:rsidR="00177F25">
        <w:t>T</w:t>
      </w:r>
      <w:r w:rsidR="00177F25" w:rsidRPr="00045AAD">
        <w:t>he woman will bear a son. He who is on the journey returns. The sick is healed. A lost or stolen thing returns from the house to the person who stole it, but he quickly puts it back in the house</w:t>
      </w:r>
      <w:r w:rsidR="00177F25">
        <w:t>.</w:t>
      </w:r>
      <w:r w:rsidR="00177F25" w:rsidRPr="00045AAD">
        <w:t xml:space="preserve"> </w:t>
      </w:r>
      <w:r w:rsidR="00177F25">
        <w:t>A</w:t>
      </w:r>
      <w:r w:rsidR="00177F25" w:rsidRPr="00045AAD">
        <w:t xml:space="preserve">nd whoever considers this lot </w:t>
      </w:r>
      <w:r w:rsidR="00177F25">
        <w:t>for</w:t>
      </w:r>
      <w:r w:rsidR="00177F25" w:rsidRPr="00045AAD">
        <w:t xml:space="preserve"> treasure hidden in the ground, </w:t>
      </w:r>
      <w:r w:rsidR="00177F25">
        <w:t>it</w:t>
      </w:r>
      <w:r w:rsidR="00177F25" w:rsidRPr="00045AAD">
        <w:t xml:space="preserve"> is there where he thinks, and he will get whatever he asks for</w:t>
      </w:r>
      <w:r w:rsidR="00177F25">
        <w:t xml:space="preserve">, </w:t>
      </w:r>
      <w:r w:rsidR="00177F25" w:rsidRPr="00045AAD">
        <w:t>apart from starting a journey or selling, as we have mentioned above, and whatever he wants will be useful, but God knows more than I do.</w:t>
      </w:r>
    </w:p>
    <w:p w14:paraId="4D63466B" w14:textId="376A9331" w:rsidR="00242EFA" w:rsidRDefault="00242EFA" w:rsidP="00177F25">
      <w:pPr>
        <w:ind w:firstLine="0"/>
      </w:pPr>
      <w:r>
        <w:tab/>
        <w:t xml:space="preserve">53 </w:t>
      </w:r>
      <w:r>
        <w:tab/>
      </w:r>
      <w:r w:rsidRPr="00045AAD">
        <w:t xml:space="preserve">On the meaning of </w:t>
      </w:r>
      <w:r>
        <w:t>P</w:t>
      </w:r>
      <w:r w:rsidRPr="00045AAD">
        <w:t>uer. If one odd, one even and two odd fall like this (1211), he interrogates you for acquiring money or (legal) cases, or lands under which a big treasure is hidden. If he says ‘</w:t>
      </w:r>
      <w:r>
        <w:t>N</w:t>
      </w:r>
      <w:r w:rsidRPr="00045AAD">
        <w:t>o’, tell him that he asks about getting married, or a friend comes</w:t>
      </w:r>
      <w:r>
        <w:t>, with whom he</w:t>
      </w:r>
      <w:r w:rsidRPr="00045AAD">
        <w:t xml:space="preserve"> will have joy, or he will be associated with a partner with whom he will have every good thing. This </w:t>
      </w:r>
      <w:r>
        <w:t>lot</w:t>
      </w:r>
      <w:r w:rsidRPr="00045AAD">
        <w:t xml:space="preserve"> is received with all good things, the pregnant woman will give birth to a son, and to</w:t>
      </w:r>
      <w:r>
        <w:t xml:space="preserve"> </w:t>
      </w:r>
      <w:r w:rsidRPr="00045AAD">
        <w:t xml:space="preserve">for the one to whom this </w:t>
      </w:r>
      <w:r w:rsidR="00CA4EFE">
        <w:t>lot</w:t>
      </w:r>
      <w:r w:rsidRPr="00045AAD">
        <w:t xml:space="preserve"> happens, he will successfully gain a lot of money, for which he will not suffer any loss, nor the anger of his God. Now, when this figure comes forth, </w:t>
      </w:r>
      <w:r>
        <w:t>/</w:t>
      </w:r>
      <w:r w:rsidRPr="00045AAD">
        <w:t>125r</w:t>
      </w:r>
      <w:r>
        <w:t>/</w:t>
      </w:r>
      <w:r w:rsidRPr="00045AAD">
        <w:t xml:space="preserve"> he has paid 100 morabits to another, and making a business deal he has earned 3000 (morabits).</w:t>
      </w:r>
    </w:p>
    <w:p w14:paraId="74916829" w14:textId="77777777" w:rsidR="00242EFA" w:rsidRDefault="00242EFA" w:rsidP="00242EFA">
      <w:pPr>
        <w:ind w:firstLine="0"/>
      </w:pPr>
      <w:r>
        <w:tab/>
        <w:t>54</w:t>
      </w:r>
      <w:r>
        <w:tab/>
      </w:r>
      <w:r w:rsidRPr="000E4E13">
        <w:t xml:space="preserve">On the meaning of </w:t>
      </w:r>
      <w:r>
        <w:t>Amissio</w:t>
      </w:r>
      <w:r w:rsidRPr="000E4E13">
        <w:t xml:space="preserve">. If this lot has fallen (1212), know that </w:t>
      </w:r>
      <w:r>
        <w:t>she</w:t>
      </w:r>
      <w:r w:rsidRPr="000E4E13">
        <w:t xml:space="preserve"> asks for himself and for </w:t>
      </w:r>
      <w:r>
        <w:t>her</w:t>
      </w:r>
      <w:r w:rsidRPr="000E4E13">
        <w:t xml:space="preserve"> man. Tell </w:t>
      </w:r>
      <w:r>
        <w:t>her</w:t>
      </w:r>
      <w:r w:rsidRPr="000E4E13">
        <w:t xml:space="preserve"> that </w:t>
      </w:r>
      <w:r>
        <w:t>‘</w:t>
      </w:r>
      <w:r w:rsidRPr="000E4E13">
        <w:t>everything</w:t>
      </w:r>
      <w:r>
        <w:t xml:space="preserve"> good </w:t>
      </w:r>
      <w:r w:rsidRPr="000E4E13">
        <w:t>will come to you.</w:t>
      </w:r>
      <w:r>
        <w:t xml:space="preserve">’ </w:t>
      </w:r>
      <w:r w:rsidRPr="000E4E13">
        <w:t xml:space="preserve">If </w:t>
      </w:r>
      <w:r>
        <w:t>she</w:t>
      </w:r>
      <w:r w:rsidRPr="000E4E13">
        <w:t xml:space="preserve"> says ‘I do not ask for this’, say to her: </w:t>
      </w:r>
      <w:r>
        <w:t>‘</w:t>
      </w:r>
      <w:r w:rsidRPr="000E4E13">
        <w:t>You are asking for your husband that went away from you and there is a big (distance) between you and him, or about a journey on water, or for the thing that you have lost.</w:t>
      </w:r>
      <w:r>
        <w:t>’</w:t>
      </w:r>
      <w:r w:rsidRPr="000E4E13">
        <w:t xml:space="preserve"> This lot is good in changing from place to place, and everything that is lost will not be recovered. But to sell is good, to take away the thing you want from you is bad, and whatever you have lost and gone from you will not return, it is good for the weak, and the captive in chains, she will bear a child, the servant will quickly return. God knows more than I do.</w:t>
      </w:r>
    </w:p>
    <w:p w14:paraId="0955DF50" w14:textId="77777777" w:rsidR="00242EFA" w:rsidRDefault="00242EFA" w:rsidP="00242EFA">
      <w:pPr>
        <w:ind w:firstLine="0"/>
      </w:pPr>
      <w:r>
        <w:tab/>
        <w:t>55</w:t>
      </w:r>
      <w:r>
        <w:tab/>
      </w:r>
      <w:r w:rsidRPr="000E4E13">
        <w:t xml:space="preserve">On the meaning of </w:t>
      </w:r>
      <w:r>
        <w:t>Acquisitio</w:t>
      </w:r>
      <w:r w:rsidRPr="000E4E13">
        <w:t xml:space="preserve">. If this lot falls (2121), he asks for the animal and for the money that will enter his hand. A messenger will come with a good omen, he will return home with everything lost, it is good to take a journey, and if what is separated from him </w:t>
      </w:r>
      <w:r>
        <w:t>(</w:t>
      </w:r>
      <w:r w:rsidRPr="000E4E13">
        <w:t>it</w:t>
      </w:r>
      <w:r>
        <w:t>)</w:t>
      </w:r>
      <w:r w:rsidRPr="000E4E13">
        <w:t xml:space="preserve"> is </w:t>
      </w:r>
      <w:r>
        <w:t>(</w:t>
      </w:r>
      <w:r w:rsidRPr="000E4E13">
        <w:t>something that is</w:t>
      </w:r>
      <w:r>
        <w:t>)</w:t>
      </w:r>
      <w:r w:rsidRPr="000E4E13">
        <w:t xml:space="preserve"> bad, the pregnant woman will give birth to a son, the sick person will be cured, if God wishes so.</w:t>
      </w:r>
    </w:p>
    <w:p w14:paraId="3E64C1A0" w14:textId="77777777" w:rsidR="00242EFA" w:rsidRDefault="00242EFA" w:rsidP="00242EFA">
      <w:pPr>
        <w:ind w:firstLine="0"/>
      </w:pPr>
      <w:r>
        <w:tab/>
        <w:t>56</w:t>
      </w:r>
      <w:r>
        <w:tab/>
        <w:t xml:space="preserve">On the meaning of Puella. </w:t>
      </w:r>
      <w:r w:rsidRPr="000E4E13">
        <w:t>If this lot has fallen (1121), know that he is asking you for the woman he wants to marry. And if she is pregnant, she will give birth, with health or not. If he says to you: 'No,' say to him: 'You are complaining about the money that went out from you, or about the treasure hidden under the ground that you want to take, or about your husband and brothers and friends, or about the betrothal, or about the beast and the treasure that you will withdraw from the earth. This lot is good in everything</w:t>
      </w:r>
      <w:r>
        <w:t>, and</w:t>
      </w:r>
      <w:r w:rsidRPr="00065E1E">
        <w:t xml:space="preserve"> although you will be delayed, you will recover. And the man that went away from you, the mountains of great water(?) are between you and him, and selling is good, and acquiring will be useful in everything, if God wishes so.</w:t>
      </w:r>
    </w:p>
    <w:p w14:paraId="21B63219" w14:textId="77777777" w:rsidR="00F900BF" w:rsidRDefault="00242EFA" w:rsidP="00F900BF">
      <w:pPr>
        <w:ind w:firstLine="0"/>
      </w:pPr>
      <w:r>
        <w:tab/>
        <w:t>57</w:t>
      </w:r>
      <w:r>
        <w:tab/>
      </w:r>
      <w:r w:rsidR="00F900BF">
        <w:t xml:space="preserve">On the meaning of Candidus. </w:t>
      </w:r>
      <w:r w:rsidR="00F900BF" w:rsidRPr="00065E1E">
        <w:t xml:space="preserve">If this lot falls (2212), he asks for the judgments that are between him and his parents, or the partner with whom he joins himself, or for the sick, or for the messenger, the woman he </w:t>
      </w:r>
      <w:r w:rsidR="00F900BF">
        <w:t>seeks to have</w:t>
      </w:r>
      <w:r w:rsidR="00F900BF" w:rsidRPr="00065E1E">
        <w:t>, and it is good for the journey,</w:t>
      </w:r>
      <w:r w:rsidR="00F900BF">
        <w:t xml:space="preserve"> </w:t>
      </w:r>
      <w:r w:rsidR="00F900BF" w:rsidRPr="00065E1E">
        <w:t>it</w:t>
      </w:r>
      <w:r w:rsidR="00F900BF">
        <w:t xml:space="preserve"> i</w:t>
      </w:r>
      <w:r w:rsidR="00F900BF" w:rsidRPr="00065E1E">
        <w:t>s not a good time to part with anything, but it is a good time to acquire things, the pregnant woman will give birth to a son. The servant will turn back and whatever is lost will be restored.</w:t>
      </w:r>
    </w:p>
    <w:p w14:paraId="74FC3498" w14:textId="77777777" w:rsidR="00F900BF" w:rsidRDefault="00242EFA" w:rsidP="00F900BF">
      <w:pPr>
        <w:ind w:firstLine="0"/>
      </w:pPr>
      <w:r>
        <w:tab/>
        <w:t>58</w:t>
      </w:r>
      <w:r>
        <w:tab/>
      </w:r>
      <w:r w:rsidR="00F900BF">
        <w:t xml:space="preserve">On the meaning of Rubeus. </w:t>
      </w:r>
      <w:r w:rsidR="00F900BF" w:rsidRPr="00065E1E">
        <w:t xml:space="preserve">If this lot has fallen (2122), he asks for a woman whom he </w:t>
      </w:r>
      <w:r w:rsidR="00F900BF">
        <w:t>seeks to have</w:t>
      </w:r>
      <w:r w:rsidR="00F900BF" w:rsidRPr="00065E1E">
        <w:t xml:space="preserve">, or for a captive, or for a sick person over whom he fears death, or for a treasure hidden under the earth, or for a husband whom </w:t>
      </w:r>
      <w:r w:rsidR="00F900BF">
        <w:t>she</w:t>
      </w:r>
      <w:r w:rsidR="00F900BF" w:rsidRPr="00065E1E">
        <w:t xml:space="preserve"> will not have, and he is not good in all things, and it is good to work upon him /125v/ to seize the road and not expect anything from you, the weak will die of some hot disease, and the man who went out from you is either dead or captured, and he will escape captivity.</w:t>
      </w:r>
    </w:p>
    <w:p w14:paraId="1931736B" w14:textId="0A7A9B9D" w:rsidR="00242EFA" w:rsidRDefault="00242EFA" w:rsidP="00F900BF">
      <w:pPr>
        <w:ind w:firstLine="0"/>
      </w:pPr>
      <w:r>
        <w:tab/>
        <w:t>59</w:t>
      </w:r>
      <w:r>
        <w:tab/>
        <w:t xml:space="preserve">On the meaning of Societas. </w:t>
      </w:r>
      <w:r w:rsidRPr="00C266A3">
        <w:t xml:space="preserve">If this lot has fallen (2112), inquire for the sick, since it is the figure of a bearer, as for a husband, or a parent, or a servant whom he </w:t>
      </w:r>
      <w:r>
        <w:t xml:space="preserve">wants to join </w:t>
      </w:r>
      <w:r w:rsidRPr="00C266A3">
        <w:t>to himself, or for a beast, or for a man who comes from afar. He will cross the mountains, and will have judgments and pleas, and he will come with burdened witnesses. It is bad to take a journey, and to change from place to place, to sell, to give, to receive;</w:t>
      </w:r>
    </w:p>
    <w:p w14:paraId="192591BC" w14:textId="10E83B72" w:rsidR="00242EFA" w:rsidRDefault="00242EFA" w:rsidP="00242EFA">
      <w:pPr>
        <w:ind w:firstLine="0"/>
      </w:pPr>
      <w:r>
        <w:tab/>
        <w:t>60</w:t>
      </w:r>
      <w:r>
        <w:tab/>
      </w:r>
      <w:r w:rsidRPr="00C266A3">
        <w:t xml:space="preserve">It </w:t>
      </w:r>
      <w:r>
        <w:t xml:space="preserve">should be </w:t>
      </w:r>
      <w:r w:rsidRPr="00C266A3">
        <w:t xml:space="preserve">noted that </w:t>
      </w:r>
      <w:r>
        <w:t>L</w:t>
      </w:r>
      <w:r w:rsidRPr="00C266A3">
        <w:t xml:space="preserve">aetitia (1222), </w:t>
      </w:r>
      <w:r>
        <w:t>A</w:t>
      </w:r>
      <w:r w:rsidRPr="00C266A3">
        <w:t xml:space="preserve">cquisitio (2121), </w:t>
      </w:r>
      <w:r>
        <w:t>F</w:t>
      </w:r>
      <w:r w:rsidRPr="00C266A3">
        <w:t xml:space="preserve">ortuna </w:t>
      </w:r>
      <w:r>
        <w:t>M</w:t>
      </w:r>
      <w:r w:rsidRPr="00C266A3">
        <w:t xml:space="preserve">aior (2211), </w:t>
      </w:r>
      <w:r>
        <w:t>A</w:t>
      </w:r>
      <w:r w:rsidRPr="00C266A3">
        <w:t xml:space="preserve">lbus (2212), </w:t>
      </w:r>
      <w:r>
        <w:t>L</w:t>
      </w:r>
      <w:r w:rsidRPr="00C266A3">
        <w:t xml:space="preserve">imen </w:t>
      </w:r>
      <w:r>
        <w:t>S</w:t>
      </w:r>
      <w:r w:rsidRPr="00C266A3">
        <w:t>uperi</w:t>
      </w:r>
      <w:r>
        <w:t>or</w:t>
      </w:r>
      <w:r w:rsidRPr="00C266A3">
        <w:t xml:space="preserve"> (2111), </w:t>
      </w:r>
      <w:r>
        <w:t>P</w:t>
      </w:r>
      <w:r w:rsidRPr="00C266A3">
        <w:t xml:space="preserve">uer (1211) are goods disposed in the superior good. Tristitia (2221), </w:t>
      </w:r>
      <w:r>
        <w:t>R</w:t>
      </w:r>
      <w:r w:rsidRPr="00C266A3">
        <w:t xml:space="preserve">ubeus (2122), </w:t>
      </w:r>
      <w:r>
        <w:t>A</w:t>
      </w:r>
      <w:r w:rsidRPr="00C266A3">
        <w:t xml:space="preserve">missio (1212), </w:t>
      </w:r>
      <w:r>
        <w:t>L</w:t>
      </w:r>
      <w:r w:rsidRPr="00C266A3">
        <w:t xml:space="preserve">imes inferior (1112), </w:t>
      </w:r>
      <w:r>
        <w:t>P</w:t>
      </w:r>
      <w:r w:rsidRPr="00C266A3">
        <w:t xml:space="preserve">uella (1121) are bad things, in extreme badness. Fortuna minor (1122), via (1111), are temperately good. Populus (2222) and </w:t>
      </w:r>
      <w:r>
        <w:t>A</w:t>
      </w:r>
      <w:r w:rsidRPr="00C266A3">
        <w:t>dunatio (2112) signify a great deal of good and bad. Carcer (1221) restraint in everything.</w:t>
      </w:r>
    </w:p>
    <w:p w14:paraId="100E3E91" w14:textId="5D71862B" w:rsidR="00865663" w:rsidRDefault="00865663">
      <w:r>
        <w:br w:type="page"/>
      </w:r>
    </w:p>
    <w:p w14:paraId="6734FEC7" w14:textId="15BCA67A" w:rsidR="00FD030E" w:rsidRDefault="00865663" w:rsidP="00D53D51">
      <w:pPr>
        <w:pStyle w:val="Heading1"/>
        <w:ind w:firstLine="0"/>
        <w:jc w:val="center"/>
        <w:rPr>
          <w:rFonts w:asciiTheme="majorBidi" w:hAnsiTheme="majorBidi"/>
          <w:color w:val="auto"/>
          <w:sz w:val="24"/>
          <w:szCs w:val="24"/>
        </w:rPr>
      </w:pPr>
      <w:bookmarkStart w:id="148" w:name="_Toc165108685"/>
      <w:r w:rsidRPr="009B5324">
        <w:rPr>
          <w:rFonts w:asciiTheme="majorBidi" w:hAnsiTheme="majorBidi"/>
          <w:color w:val="auto"/>
          <w:sz w:val="24"/>
          <w:szCs w:val="24"/>
        </w:rPr>
        <w:t>LIST OF ILLUSTRATIONS</w:t>
      </w:r>
      <w:bookmarkEnd w:id="148"/>
    </w:p>
    <w:p w14:paraId="784FE46B" w14:textId="77777777" w:rsidR="009B5324" w:rsidRPr="009B5324" w:rsidRDefault="009B5324" w:rsidP="009B5324"/>
    <w:p w14:paraId="02D98AFF" w14:textId="77777777" w:rsidR="00105EED" w:rsidRPr="00105EED" w:rsidRDefault="00105EED" w:rsidP="00105EED">
      <w:pPr>
        <w:ind w:firstLine="0"/>
        <w:rPr>
          <w:b/>
          <w:bCs/>
        </w:rPr>
      </w:pPr>
      <w:r w:rsidRPr="00105EED">
        <w:rPr>
          <w:b/>
          <w:bCs/>
        </w:rPr>
        <w:t>From chapters:</w:t>
      </w:r>
    </w:p>
    <w:p w14:paraId="6EB5FB7A" w14:textId="77777777" w:rsidR="00105EED" w:rsidRPr="00105EED" w:rsidRDefault="00105EED" w:rsidP="00105EED">
      <w:pPr>
        <w:ind w:firstLine="0"/>
        <w:rPr>
          <w:b/>
          <w:bCs/>
        </w:rPr>
      </w:pPr>
    </w:p>
    <w:p w14:paraId="567D62EB" w14:textId="725D0F57" w:rsidR="00105EED" w:rsidRPr="00105EED" w:rsidRDefault="00105EED" w:rsidP="00105EED">
      <w:pPr>
        <w:pStyle w:val="ListParagraph"/>
        <w:numPr>
          <w:ilvl w:val="0"/>
          <w:numId w:val="12"/>
        </w:numPr>
      </w:pPr>
      <w:r w:rsidRPr="00105EED">
        <w:t xml:space="preserve">Figure 1. </w:t>
      </w:r>
      <w:r>
        <w:t xml:space="preserve">Charmasson, </w:t>
      </w:r>
      <w:r w:rsidRPr="00105EED">
        <w:rPr>
          <w:i/>
          <w:iCs/>
        </w:rPr>
        <w:t>Recherches sur une technique divinatoire</w:t>
      </w:r>
      <w:r>
        <w:t xml:space="preserve"> (1890), p. 22: </w:t>
      </w:r>
      <w:r w:rsidRPr="00105EED">
        <w:t xml:space="preserve">The casting of the </w:t>
      </w:r>
      <w:r w:rsidR="002F2BE4">
        <w:t>points</w:t>
      </w:r>
      <w:r w:rsidRPr="00105EED">
        <w:t xml:space="preserve"> and the formation of the ‘mothers</w:t>
      </w:r>
      <w:r w:rsidR="00D624B5">
        <w:t>.</w:t>
      </w:r>
      <w:r w:rsidRPr="00105EED">
        <w:t>’</w:t>
      </w:r>
    </w:p>
    <w:p w14:paraId="2348BBFF" w14:textId="525E7514" w:rsidR="00105EED" w:rsidRPr="00105EED" w:rsidRDefault="00105EED" w:rsidP="00105EED">
      <w:pPr>
        <w:pStyle w:val="ListParagraph"/>
        <w:numPr>
          <w:ilvl w:val="0"/>
          <w:numId w:val="12"/>
        </w:numPr>
      </w:pPr>
      <w:r w:rsidRPr="00105EED">
        <w:t xml:space="preserve">Figure 2. </w:t>
      </w:r>
      <w:r>
        <w:t xml:space="preserve">Charmasson, </w:t>
      </w:r>
      <w:r w:rsidRPr="00105EED">
        <w:rPr>
          <w:i/>
          <w:iCs/>
        </w:rPr>
        <w:t>Recherches sur une technique divinatoire</w:t>
      </w:r>
      <w:r>
        <w:t xml:space="preserve"> (1980), p. 24; </w:t>
      </w:r>
      <w:r w:rsidRPr="00105EED">
        <w:t>Formation of the ‘daughters’ from the ‘mothers’ by transposition.</w:t>
      </w:r>
    </w:p>
    <w:p w14:paraId="3860EB52" w14:textId="379897E5" w:rsidR="00105EED" w:rsidRPr="00105EED" w:rsidRDefault="00105EED" w:rsidP="00105EED">
      <w:pPr>
        <w:pStyle w:val="ListParagraph"/>
        <w:numPr>
          <w:ilvl w:val="0"/>
          <w:numId w:val="12"/>
        </w:numPr>
      </w:pPr>
      <w:r w:rsidRPr="00105EED">
        <w:t xml:space="preserve">Figure 3. </w:t>
      </w:r>
      <w:r>
        <w:t xml:space="preserve">Charmasson, </w:t>
      </w:r>
      <w:r w:rsidRPr="00105EED">
        <w:rPr>
          <w:i/>
          <w:iCs/>
        </w:rPr>
        <w:t>Recherches sur une technique divinatoire</w:t>
      </w:r>
      <w:r>
        <w:t xml:space="preserve"> (1980), p. 26: </w:t>
      </w:r>
      <w:r w:rsidRPr="00105EED">
        <w:t>Formation of the ‘granddaughters</w:t>
      </w:r>
      <w:r w:rsidR="00D56D1B">
        <w:t>.</w:t>
      </w:r>
      <w:r w:rsidRPr="00105EED">
        <w:t>’</w:t>
      </w:r>
    </w:p>
    <w:p w14:paraId="79307FC7" w14:textId="7407F193" w:rsidR="00105EED" w:rsidRPr="00105EED" w:rsidRDefault="00105EED" w:rsidP="00105EED">
      <w:pPr>
        <w:pStyle w:val="ListParagraph"/>
        <w:numPr>
          <w:ilvl w:val="0"/>
          <w:numId w:val="12"/>
        </w:numPr>
      </w:pPr>
      <w:r w:rsidRPr="00105EED">
        <w:t xml:space="preserve">Figure 4. </w:t>
      </w:r>
      <w:r>
        <w:t xml:space="preserve">Charmasson, </w:t>
      </w:r>
      <w:r w:rsidRPr="00105EED">
        <w:rPr>
          <w:i/>
          <w:iCs/>
        </w:rPr>
        <w:t>Recherches sur une technique divinatoire</w:t>
      </w:r>
      <w:r>
        <w:t xml:space="preserve"> (1980), p. 26: </w:t>
      </w:r>
      <w:r w:rsidRPr="00105EED">
        <w:t>The geomantic shield chart divided into fifteen houses</w:t>
      </w:r>
      <w:r w:rsidR="00D56D1B">
        <w:t>.</w:t>
      </w:r>
    </w:p>
    <w:p w14:paraId="54A2F113" w14:textId="77777777" w:rsidR="00105EED" w:rsidRPr="00105EED" w:rsidRDefault="00105EED" w:rsidP="00105EED">
      <w:pPr>
        <w:pStyle w:val="ListParagraph"/>
        <w:numPr>
          <w:ilvl w:val="0"/>
          <w:numId w:val="12"/>
        </w:numPr>
      </w:pPr>
      <w:r w:rsidRPr="00105EED">
        <w:t>Figure 5. The sixteen geomantic figures and their Latin names.</w:t>
      </w:r>
    </w:p>
    <w:p w14:paraId="0A074271" w14:textId="10E2494D" w:rsidR="00105EED" w:rsidRPr="00105EED" w:rsidRDefault="00105EED" w:rsidP="00105EED">
      <w:pPr>
        <w:pStyle w:val="ListParagraph"/>
        <w:numPr>
          <w:ilvl w:val="0"/>
          <w:numId w:val="12"/>
        </w:numPr>
      </w:pPr>
      <w:r w:rsidRPr="00105EED">
        <w:t xml:space="preserve">Figure 6. </w:t>
      </w:r>
      <w:r w:rsidR="00A56612" w:rsidRPr="00A56612">
        <w:rPr>
          <w:i/>
          <w:iCs/>
        </w:rPr>
        <w:t>Liber arenalis scientiae</w:t>
      </w:r>
      <w:r w:rsidR="00A56612">
        <w:t xml:space="preserve">, </w:t>
      </w:r>
      <w:r w:rsidR="00A56612" w:rsidRPr="00105EED">
        <w:t>London, B</w:t>
      </w:r>
      <w:r w:rsidR="005C31D1">
        <w:t xml:space="preserve">ritish </w:t>
      </w:r>
      <w:r w:rsidR="00A56612" w:rsidRPr="00105EED">
        <w:t>L</w:t>
      </w:r>
      <w:r w:rsidR="005C31D1">
        <w:t>ibrary</w:t>
      </w:r>
      <w:r w:rsidR="00A56612" w:rsidRPr="00105EED">
        <w:t>, Arundel 66, f. 269v</w:t>
      </w:r>
      <w:r w:rsidR="00A56612">
        <w:t>:</w:t>
      </w:r>
      <w:r w:rsidR="00A56612" w:rsidRPr="00105EED">
        <w:t xml:space="preserve"> </w:t>
      </w:r>
      <w:r w:rsidRPr="00105EED">
        <w:t>Geomantic figures depicted as a star clusters</w:t>
      </w:r>
      <w:r w:rsidR="00A56612">
        <w:t>.</w:t>
      </w:r>
    </w:p>
    <w:p w14:paraId="538CA90A" w14:textId="59693299" w:rsidR="00105EED" w:rsidRPr="00105EED" w:rsidRDefault="00105EED" w:rsidP="00105EED">
      <w:pPr>
        <w:pStyle w:val="ListParagraph"/>
        <w:numPr>
          <w:ilvl w:val="0"/>
          <w:numId w:val="12"/>
        </w:numPr>
      </w:pPr>
      <w:r w:rsidRPr="00105EED">
        <w:t xml:space="preserve">Figure 7. </w:t>
      </w:r>
      <w:r w:rsidR="00A56612" w:rsidRPr="00A56612">
        <w:rPr>
          <w:i/>
          <w:iCs/>
        </w:rPr>
        <w:t>Estimaverunt Indi</w:t>
      </w:r>
      <w:r w:rsidR="00A56612">
        <w:t xml:space="preserve">, </w:t>
      </w:r>
      <w:r w:rsidR="00A56612" w:rsidRPr="00105EED">
        <w:t>Florence, B</w:t>
      </w:r>
      <w:r w:rsidR="005C31D1">
        <w:t xml:space="preserve">iblioteca </w:t>
      </w:r>
      <w:r w:rsidR="00A56612" w:rsidRPr="00105EED">
        <w:t>M</w:t>
      </w:r>
      <w:r w:rsidR="005C31D1">
        <w:t xml:space="preserve">edicea </w:t>
      </w:r>
      <w:r w:rsidR="00A56612" w:rsidRPr="00105EED">
        <w:t>L</w:t>
      </w:r>
      <w:r w:rsidR="005C31D1">
        <w:t>aurenziana</w:t>
      </w:r>
      <w:r w:rsidR="00A56612" w:rsidRPr="00105EED">
        <w:t>, Plut.</w:t>
      </w:r>
      <w:r w:rsidR="00AA5C7A">
        <w:t xml:space="preserve"> </w:t>
      </w:r>
      <w:r w:rsidR="00A56612" w:rsidRPr="00105EED">
        <w:t>30.29. f.16r</w:t>
      </w:r>
      <w:r w:rsidR="00A56612">
        <w:t xml:space="preserve">: </w:t>
      </w:r>
      <w:r w:rsidRPr="00105EED">
        <w:t>Circular diagram with geomantic figures</w:t>
      </w:r>
      <w:r w:rsidR="00A56612">
        <w:t>.</w:t>
      </w:r>
    </w:p>
    <w:p w14:paraId="563DC31E" w14:textId="56781FCF" w:rsidR="00105EED" w:rsidRPr="00105EED" w:rsidRDefault="00105EED" w:rsidP="00105EED">
      <w:pPr>
        <w:pStyle w:val="ListParagraph"/>
        <w:numPr>
          <w:ilvl w:val="0"/>
          <w:numId w:val="12"/>
        </w:numPr>
      </w:pPr>
      <w:r w:rsidRPr="00105EED">
        <w:t xml:space="preserve">Figure 8. </w:t>
      </w:r>
      <w:r w:rsidR="00EB4112" w:rsidRPr="00EB4112">
        <w:rPr>
          <w:i/>
          <w:iCs/>
        </w:rPr>
        <w:t>De signis astronomicis</w:t>
      </w:r>
      <w:r w:rsidR="00EB4112">
        <w:t xml:space="preserve">, </w:t>
      </w:r>
      <w:r w:rsidR="00EB4112" w:rsidRPr="00105EED">
        <w:t>Florence, B</w:t>
      </w:r>
      <w:r w:rsidR="00AA5C7A">
        <w:t xml:space="preserve">iblioteca </w:t>
      </w:r>
      <w:r w:rsidR="00EB4112" w:rsidRPr="00105EED">
        <w:t>M</w:t>
      </w:r>
      <w:r w:rsidR="00AA5C7A">
        <w:t xml:space="preserve">edicea </w:t>
      </w:r>
      <w:r w:rsidR="00EB4112" w:rsidRPr="00105EED">
        <w:t>L</w:t>
      </w:r>
      <w:r w:rsidR="00AA5C7A">
        <w:t>aurenziana</w:t>
      </w:r>
      <w:r w:rsidR="00EB4112" w:rsidRPr="00105EED">
        <w:t>, Plut.</w:t>
      </w:r>
      <w:r w:rsidR="00AA5C7A">
        <w:t xml:space="preserve"> </w:t>
      </w:r>
      <w:r w:rsidR="00EB4112" w:rsidRPr="00105EED">
        <w:t>30.29. f.27r</w:t>
      </w:r>
      <w:r w:rsidR="00EB4112">
        <w:t xml:space="preserve">: </w:t>
      </w:r>
      <w:r w:rsidRPr="00105EED">
        <w:t>Circular Diagram with lunar asterisms</w:t>
      </w:r>
      <w:r w:rsidR="00EB4112">
        <w:t>.</w:t>
      </w:r>
    </w:p>
    <w:p w14:paraId="1A73319D" w14:textId="78443C3E" w:rsidR="00105EED" w:rsidRPr="00105EED" w:rsidRDefault="00105EED" w:rsidP="00105EED">
      <w:pPr>
        <w:pStyle w:val="ListParagraph"/>
        <w:numPr>
          <w:ilvl w:val="0"/>
          <w:numId w:val="12"/>
        </w:numPr>
      </w:pPr>
      <w:r w:rsidRPr="00105EED">
        <w:t xml:space="preserve">Figure 9. Henricus de Pisis, </w:t>
      </w:r>
      <w:r w:rsidRPr="00105EED">
        <w:rPr>
          <w:i/>
          <w:iCs/>
        </w:rPr>
        <w:t xml:space="preserve">Opus Geomantiae </w:t>
      </w:r>
      <w:r w:rsidRPr="000D2E42">
        <w:rPr>
          <w:i/>
          <w:iCs/>
        </w:rPr>
        <w:t>Completum</w:t>
      </w:r>
      <w:r w:rsidR="000D2E42">
        <w:t xml:space="preserve"> (1638), </w:t>
      </w:r>
      <w:r w:rsidRPr="000D2E42">
        <w:t>p</w:t>
      </w:r>
      <w:r w:rsidRPr="00105EED">
        <w:t>. 39</w:t>
      </w:r>
      <w:r w:rsidR="000D2E42">
        <w:t>: G</w:t>
      </w:r>
      <w:r w:rsidR="000D2E42" w:rsidRPr="00105EED">
        <w:t>eomantic chart</w:t>
      </w:r>
      <w:r w:rsidR="000D2E42">
        <w:t>.</w:t>
      </w:r>
    </w:p>
    <w:p w14:paraId="50431419" w14:textId="33C6EEBA" w:rsidR="00105EED" w:rsidRPr="00105EED" w:rsidRDefault="00105EED" w:rsidP="00105EED">
      <w:pPr>
        <w:pStyle w:val="ListParagraph"/>
        <w:numPr>
          <w:ilvl w:val="0"/>
          <w:numId w:val="12"/>
        </w:numPr>
      </w:pPr>
      <w:r w:rsidRPr="00105EED">
        <w:t>Figure 10.</w:t>
      </w:r>
      <w:r w:rsidR="000D2E42">
        <w:t xml:space="preserve"> Cristophe de Cattan,</w:t>
      </w:r>
      <w:r w:rsidRPr="00105EED">
        <w:t xml:space="preserve"> </w:t>
      </w:r>
      <w:r w:rsidRPr="00105EED">
        <w:rPr>
          <w:i/>
          <w:iCs/>
        </w:rPr>
        <w:t>La geomancie du seigneur Cristofle de Cattan, gentilhomme Geneuoys</w:t>
      </w:r>
      <w:r w:rsidR="000D2E42">
        <w:t xml:space="preserve"> (1558), p.</w:t>
      </w:r>
      <w:r w:rsidR="00AA5C7A">
        <w:t xml:space="preserve"> </w:t>
      </w:r>
      <w:r w:rsidR="000D2E42">
        <w:t>61:</w:t>
      </w:r>
      <w:r w:rsidRPr="00105EED">
        <w:t xml:space="preserve"> geomantic chart</w:t>
      </w:r>
      <w:r w:rsidR="000D2E42">
        <w:t>.</w:t>
      </w:r>
    </w:p>
    <w:p w14:paraId="3866E889" w14:textId="31ED9139" w:rsidR="00105EED" w:rsidRPr="00105EED" w:rsidRDefault="00105EED" w:rsidP="00105EED">
      <w:pPr>
        <w:pStyle w:val="ListParagraph"/>
        <w:numPr>
          <w:ilvl w:val="0"/>
          <w:numId w:val="12"/>
        </w:numPr>
      </w:pPr>
      <w:r w:rsidRPr="00105EED">
        <w:t xml:space="preserve">Figure 11. </w:t>
      </w:r>
      <w:r w:rsidR="000D2E42" w:rsidRPr="00105EED">
        <w:t xml:space="preserve">Henricus de Pisis, </w:t>
      </w:r>
      <w:r w:rsidR="000D2E42" w:rsidRPr="00105EED">
        <w:rPr>
          <w:i/>
          <w:iCs/>
        </w:rPr>
        <w:t xml:space="preserve">Opus Geomantiae </w:t>
      </w:r>
      <w:r w:rsidR="000D2E42" w:rsidRPr="000D2E42">
        <w:rPr>
          <w:i/>
          <w:iCs/>
        </w:rPr>
        <w:t>Completum</w:t>
      </w:r>
      <w:r w:rsidR="000D2E42">
        <w:t xml:space="preserve"> (1638),</w:t>
      </w:r>
      <w:r w:rsidR="000D2E42" w:rsidRPr="000D2E42">
        <w:t xml:space="preserve"> </w:t>
      </w:r>
      <w:r w:rsidR="000D2E42" w:rsidRPr="00105EED">
        <w:t>pp. 26-27</w:t>
      </w:r>
      <w:r w:rsidR="000D2E42">
        <w:t xml:space="preserve">: </w:t>
      </w:r>
      <w:r w:rsidRPr="00105EED">
        <w:t>Geomantic wheel</w:t>
      </w:r>
      <w:r w:rsidR="000D2E42">
        <w:t>.</w:t>
      </w:r>
    </w:p>
    <w:p w14:paraId="5EF3A75C" w14:textId="49B49E7F" w:rsidR="00105EED" w:rsidRPr="00105EED" w:rsidRDefault="00105EED" w:rsidP="00105EED">
      <w:pPr>
        <w:pStyle w:val="ListParagraph"/>
        <w:numPr>
          <w:ilvl w:val="0"/>
          <w:numId w:val="12"/>
        </w:numPr>
      </w:pPr>
      <w:r w:rsidRPr="00105EED">
        <w:t>Figure 12.</w:t>
      </w:r>
      <w:r w:rsidR="0073402C">
        <w:t xml:space="preserve"> Robert Fludd,</w:t>
      </w:r>
      <w:r w:rsidRPr="00105EED">
        <w:t xml:space="preserve"> </w:t>
      </w:r>
      <w:r w:rsidR="0073402C" w:rsidRPr="0073402C">
        <w:rPr>
          <w:i/>
          <w:iCs/>
        </w:rPr>
        <w:t xml:space="preserve">Utriusque cosmi maioris scilicet et minoris metaphysica, physica atque technica historia </w:t>
      </w:r>
      <w:r w:rsidR="0073402C" w:rsidRPr="007927C0">
        <w:t>[…].</w:t>
      </w:r>
      <w:r w:rsidR="0073402C" w:rsidRPr="0073402C">
        <w:rPr>
          <w:i/>
          <w:iCs/>
        </w:rPr>
        <w:t xml:space="preserve"> Tractatus secundus de naturae simia seu technica macrocosmi historia</w:t>
      </w:r>
      <w:r w:rsidR="0073402C">
        <w:t xml:space="preserve"> (</w:t>
      </w:r>
      <w:r w:rsidR="0073402C" w:rsidRPr="00975E21">
        <w:t>1624),</w:t>
      </w:r>
      <w:r w:rsidR="0073402C">
        <w:rPr>
          <w:i/>
          <w:iCs/>
        </w:rPr>
        <w:t xml:space="preserve"> </w:t>
      </w:r>
      <w:r w:rsidRPr="00105EED">
        <w:t>title page.</w:t>
      </w:r>
    </w:p>
    <w:p w14:paraId="44685B39" w14:textId="427A6C76" w:rsidR="00105EED" w:rsidRPr="00105EED" w:rsidRDefault="00105EED" w:rsidP="00105EED">
      <w:pPr>
        <w:pStyle w:val="ListParagraph"/>
        <w:numPr>
          <w:ilvl w:val="0"/>
          <w:numId w:val="12"/>
        </w:numPr>
      </w:pPr>
      <w:r w:rsidRPr="00105EED">
        <w:t xml:space="preserve">Figure 13. </w:t>
      </w:r>
      <w:r w:rsidR="007927C0">
        <w:t>Robert Fludd,</w:t>
      </w:r>
      <w:r w:rsidR="007927C0" w:rsidRPr="00105EED">
        <w:t xml:space="preserve"> </w:t>
      </w:r>
      <w:r w:rsidR="007927C0" w:rsidRPr="0073402C">
        <w:rPr>
          <w:i/>
          <w:iCs/>
        </w:rPr>
        <w:t xml:space="preserve">Utriusque cosmi maioris scilicet et minoris metaphysica, physica atque technica historia </w:t>
      </w:r>
      <w:r w:rsidR="007927C0" w:rsidRPr="007927C0">
        <w:t>[…]</w:t>
      </w:r>
      <w:r w:rsidR="007927C0" w:rsidRPr="0073402C">
        <w:rPr>
          <w:i/>
          <w:iCs/>
        </w:rPr>
        <w:t xml:space="preserve">. </w:t>
      </w:r>
      <w:r w:rsidRPr="00105EED">
        <w:rPr>
          <w:i/>
          <w:iCs/>
        </w:rPr>
        <w:t>De technica Microcosmi historia</w:t>
      </w:r>
      <w:r w:rsidRPr="00105EED">
        <w:t xml:space="preserve"> </w:t>
      </w:r>
      <w:r w:rsidR="007927C0" w:rsidRPr="00975E21">
        <w:t>(1624)</w:t>
      </w:r>
      <w:r w:rsidRPr="00975E21">
        <w:t>,</w:t>
      </w:r>
      <w:r w:rsidRPr="00105EED">
        <w:t xml:space="preserve"> title page.</w:t>
      </w:r>
    </w:p>
    <w:p w14:paraId="72807BA3" w14:textId="37DDF536" w:rsidR="00105EED" w:rsidRPr="00105EED" w:rsidRDefault="00105EED" w:rsidP="00105EED">
      <w:pPr>
        <w:pStyle w:val="ListParagraph"/>
        <w:numPr>
          <w:ilvl w:val="0"/>
          <w:numId w:val="12"/>
        </w:numPr>
      </w:pPr>
      <w:r w:rsidRPr="00105EED">
        <w:t>Figure 14.</w:t>
      </w:r>
      <w:r w:rsidR="007927C0" w:rsidRPr="007927C0">
        <w:t xml:space="preserve"> </w:t>
      </w:r>
      <w:r w:rsidR="007927C0">
        <w:t>Robert Fludd,</w:t>
      </w:r>
      <w:r w:rsidR="007927C0" w:rsidRPr="00105EED">
        <w:t xml:space="preserve"> </w:t>
      </w:r>
      <w:r w:rsidR="007927C0" w:rsidRPr="0073402C">
        <w:rPr>
          <w:i/>
          <w:iCs/>
        </w:rPr>
        <w:t xml:space="preserve">Utriusque cosmi maioris scilicet et minoris metaphysica, physica atque technica historia </w:t>
      </w:r>
      <w:r w:rsidR="007927C0" w:rsidRPr="007927C0">
        <w:t>[…]</w:t>
      </w:r>
      <w:r w:rsidR="007927C0" w:rsidRPr="0073402C">
        <w:rPr>
          <w:i/>
          <w:iCs/>
        </w:rPr>
        <w:t>.</w:t>
      </w:r>
      <w:r w:rsidRPr="00105EED">
        <w:t xml:space="preserve"> </w:t>
      </w:r>
      <w:r w:rsidRPr="00105EED">
        <w:rPr>
          <w:i/>
          <w:iCs/>
        </w:rPr>
        <w:t>De amimae intellectualis sciantia seu Geomantia</w:t>
      </w:r>
      <w:r w:rsidR="007927C0">
        <w:t xml:space="preserve"> </w:t>
      </w:r>
      <w:r w:rsidR="007927C0" w:rsidRPr="00975E21">
        <w:t>(1624),</w:t>
      </w:r>
      <w:r w:rsidR="007927C0">
        <w:t xml:space="preserve"> </w:t>
      </w:r>
      <w:r w:rsidRPr="00105EED">
        <w:t>p. 37</w:t>
      </w:r>
      <w:r w:rsidR="00975E21">
        <w:t>: Title page.</w:t>
      </w:r>
    </w:p>
    <w:p w14:paraId="46140590" w14:textId="48C7CD2B" w:rsidR="00105EED" w:rsidRPr="00105EED" w:rsidRDefault="00105EED" w:rsidP="00105EED">
      <w:pPr>
        <w:pStyle w:val="ListParagraph"/>
        <w:numPr>
          <w:ilvl w:val="0"/>
          <w:numId w:val="12"/>
        </w:numPr>
      </w:pPr>
      <w:r w:rsidRPr="00105EED">
        <w:t xml:space="preserve">Figure 15.  John Heydon, </w:t>
      </w:r>
      <w:r w:rsidRPr="00105EED">
        <w:rPr>
          <w:i/>
          <w:iCs/>
        </w:rPr>
        <w:t>The Temple of Wisdome</w:t>
      </w:r>
      <w:r w:rsidR="007927C0">
        <w:rPr>
          <w:i/>
          <w:iCs/>
        </w:rPr>
        <w:t xml:space="preserve"> </w:t>
      </w:r>
      <w:r w:rsidR="007927C0">
        <w:t xml:space="preserve">(1664), p. 178: </w:t>
      </w:r>
      <w:r w:rsidR="009D2086">
        <w:t>G</w:t>
      </w:r>
      <w:r w:rsidRPr="00105EED">
        <w:t>eomantic chart containing seals instead of figures</w:t>
      </w:r>
      <w:r w:rsidR="007927C0">
        <w:t>.</w:t>
      </w:r>
    </w:p>
    <w:p w14:paraId="09264E24" w14:textId="0A01F0EB" w:rsidR="00105EED" w:rsidRPr="00105EED" w:rsidRDefault="00105EED" w:rsidP="00105EED">
      <w:pPr>
        <w:pStyle w:val="ListParagraph"/>
        <w:numPr>
          <w:ilvl w:val="0"/>
          <w:numId w:val="12"/>
        </w:numPr>
      </w:pPr>
      <w:r w:rsidRPr="00105EED">
        <w:t xml:space="preserve">Figure 16. John Heydon, </w:t>
      </w:r>
      <w:r w:rsidRPr="00105EED">
        <w:rPr>
          <w:i/>
          <w:iCs/>
        </w:rPr>
        <w:t>Elhavareuna</w:t>
      </w:r>
      <w:r w:rsidR="00975E21">
        <w:t xml:space="preserve"> (1665), p.</w:t>
      </w:r>
      <w:r w:rsidR="007C6DDC">
        <w:t xml:space="preserve"> </w:t>
      </w:r>
      <w:r w:rsidR="00975E21">
        <w:t>91: T</w:t>
      </w:r>
      <w:r w:rsidRPr="00105EED">
        <w:t>he tree of Mercury</w:t>
      </w:r>
      <w:r w:rsidR="00975E21">
        <w:t>.</w:t>
      </w:r>
    </w:p>
    <w:p w14:paraId="4997A7A1" w14:textId="435BA620" w:rsidR="00105EED" w:rsidRPr="00105EED" w:rsidRDefault="00105EED" w:rsidP="00251693">
      <w:pPr>
        <w:pStyle w:val="ListParagraph"/>
        <w:numPr>
          <w:ilvl w:val="0"/>
          <w:numId w:val="12"/>
        </w:numPr>
      </w:pPr>
      <w:r w:rsidRPr="00105EED">
        <w:t>Figure 17</w:t>
      </w:r>
      <w:r w:rsidRPr="00251693">
        <w:rPr>
          <w:i/>
          <w:iCs/>
        </w:rPr>
        <w:t>.</w:t>
      </w:r>
      <w:r w:rsidR="00251693" w:rsidRPr="00251693">
        <w:t xml:space="preserve"> </w:t>
      </w:r>
      <w:r w:rsidR="00251693" w:rsidRPr="00251693">
        <w:rPr>
          <w:i/>
          <w:iCs/>
        </w:rPr>
        <w:t>Coronatio naturae</w:t>
      </w:r>
      <w:r w:rsidR="00251693" w:rsidRPr="00105EED">
        <w:t>,</w:t>
      </w:r>
      <w:r w:rsidR="00251693">
        <w:t xml:space="preserve"> </w:t>
      </w:r>
      <w:r w:rsidR="00251693" w:rsidRPr="00105EED">
        <w:t>Cambridge University Library, MS Gg. 1.8 f.113r</w:t>
      </w:r>
      <w:r w:rsidR="00251693">
        <w:t xml:space="preserve">: </w:t>
      </w:r>
      <w:r w:rsidR="007C6DDC">
        <w:t xml:space="preserve">Alchemical stage of </w:t>
      </w:r>
      <w:r w:rsidRPr="00105EED">
        <w:t>Separation</w:t>
      </w:r>
      <w:r w:rsidR="00251693">
        <w:t>.</w:t>
      </w:r>
    </w:p>
    <w:p w14:paraId="5A0697EA" w14:textId="77777777" w:rsidR="00105EED" w:rsidRPr="00105EED" w:rsidRDefault="00105EED" w:rsidP="00105EED">
      <w:pPr>
        <w:ind w:firstLine="0"/>
        <w:rPr>
          <w:b/>
          <w:bCs/>
        </w:rPr>
      </w:pPr>
      <w:r w:rsidRPr="00105EED">
        <w:rPr>
          <w:b/>
          <w:bCs/>
        </w:rPr>
        <w:t>From appendices:</w:t>
      </w:r>
    </w:p>
    <w:p w14:paraId="49FED056" w14:textId="77777777" w:rsidR="00105EED" w:rsidRPr="00105EED" w:rsidRDefault="00105EED" w:rsidP="00105EED">
      <w:pPr>
        <w:spacing w:line="240" w:lineRule="auto"/>
        <w:ind w:firstLine="0"/>
      </w:pPr>
    </w:p>
    <w:p w14:paraId="4F8B5566" w14:textId="7DFC9B30" w:rsidR="00105EED" w:rsidRPr="00105EED" w:rsidRDefault="00105EED" w:rsidP="00105EED">
      <w:pPr>
        <w:pStyle w:val="ListParagraph"/>
        <w:numPr>
          <w:ilvl w:val="0"/>
          <w:numId w:val="11"/>
        </w:numPr>
      </w:pPr>
      <w:r w:rsidRPr="00105EED">
        <w:t xml:space="preserve">Figure 1. </w:t>
      </w:r>
      <w:r w:rsidRPr="00105EED">
        <w:rPr>
          <w:i/>
          <w:iCs/>
        </w:rPr>
        <w:t>Liber arenalis scientiae</w:t>
      </w:r>
      <w:r w:rsidRPr="00105EED">
        <w:t xml:space="preserve"> in the manuscript Cambridge, Magdalene College, F. 4. 27, f. 120r.</w:t>
      </w:r>
    </w:p>
    <w:p w14:paraId="2F5801F2" w14:textId="3C00B556" w:rsidR="00105EED" w:rsidRPr="00105EED" w:rsidRDefault="00105EED" w:rsidP="00105EED">
      <w:pPr>
        <w:pStyle w:val="ListParagraph"/>
        <w:numPr>
          <w:ilvl w:val="0"/>
          <w:numId w:val="11"/>
        </w:numPr>
      </w:pPr>
      <w:r w:rsidRPr="00105EED">
        <w:t>Figure 2.</w:t>
      </w:r>
      <w:r w:rsidR="008B208F">
        <w:t xml:space="preserve"> </w:t>
      </w:r>
      <w:r w:rsidRPr="00105EED">
        <w:rPr>
          <w:i/>
          <w:iCs/>
        </w:rPr>
        <w:t>Liber arenalis scientiae</w:t>
      </w:r>
      <w:r w:rsidRPr="00105EED">
        <w:t xml:space="preserve"> in the manuscript Oxford, Bodleian Library, Rawlinson D.1227, f. 147r.</w:t>
      </w:r>
    </w:p>
    <w:p w14:paraId="4507119D" w14:textId="0D28BF8F" w:rsidR="00105EED" w:rsidRPr="00105EED" w:rsidRDefault="00105EED" w:rsidP="00105EED">
      <w:pPr>
        <w:pStyle w:val="ListParagraph"/>
        <w:numPr>
          <w:ilvl w:val="0"/>
          <w:numId w:val="11"/>
        </w:numPr>
      </w:pPr>
      <w:r w:rsidRPr="00105EED">
        <w:t xml:space="preserve">Figure 3. </w:t>
      </w:r>
      <w:r w:rsidRPr="00105EED">
        <w:rPr>
          <w:i/>
          <w:iCs/>
        </w:rPr>
        <w:t>Liber arenalis scientiae</w:t>
      </w:r>
      <w:r w:rsidRPr="00105EED">
        <w:t xml:space="preserve"> in the manuscript Augsburg, Staats- und Stadtbibliothek, 2° Cod. 211, f. 2r.</w:t>
      </w:r>
    </w:p>
    <w:p w14:paraId="1F827506" w14:textId="286EF9F8" w:rsidR="00865663" w:rsidRPr="00105EED" w:rsidRDefault="00105EED" w:rsidP="00105EED">
      <w:pPr>
        <w:pStyle w:val="ListParagraph"/>
        <w:numPr>
          <w:ilvl w:val="0"/>
          <w:numId w:val="11"/>
        </w:numPr>
      </w:pPr>
      <w:r w:rsidRPr="00105EED">
        <w:t>Figure 4.</w:t>
      </w:r>
      <w:r w:rsidR="008B208F">
        <w:t xml:space="preserve"> </w:t>
      </w:r>
      <w:r w:rsidRPr="00105EED">
        <w:rPr>
          <w:i/>
          <w:iCs/>
        </w:rPr>
        <w:t>Liber arenalis scientiae</w:t>
      </w:r>
      <w:r w:rsidRPr="00105EED">
        <w:t xml:space="preserve"> in the manuscript London, British Library, Arundel Ms. 66, f. 269ra.</w:t>
      </w:r>
    </w:p>
    <w:p w14:paraId="463F8AFC" w14:textId="1B73626B" w:rsidR="00105EED" w:rsidRPr="00105EED" w:rsidRDefault="00105EED" w:rsidP="00105EED">
      <w:pPr>
        <w:rPr>
          <w:sz w:val="20"/>
          <w:szCs w:val="20"/>
        </w:rPr>
      </w:pPr>
      <w:r>
        <w:rPr>
          <w:sz w:val="20"/>
          <w:szCs w:val="20"/>
        </w:rPr>
        <w:br w:type="page"/>
      </w:r>
    </w:p>
    <w:p w14:paraId="538CE806" w14:textId="77777777" w:rsidR="00FD030E" w:rsidRPr="00FD030E" w:rsidRDefault="00FD030E" w:rsidP="00105EED">
      <w:pPr>
        <w:pStyle w:val="Heading1"/>
        <w:ind w:firstLine="0"/>
        <w:jc w:val="center"/>
        <w:rPr>
          <w:color w:val="auto"/>
          <w:sz w:val="24"/>
          <w:szCs w:val="24"/>
        </w:rPr>
      </w:pPr>
      <w:bookmarkStart w:id="149" w:name="_Toc81488269"/>
      <w:bookmarkStart w:id="150" w:name="_Toc165108686"/>
      <w:r w:rsidRPr="00FD030E">
        <w:rPr>
          <w:rFonts w:asciiTheme="majorBidi" w:hAnsiTheme="majorBidi"/>
          <w:color w:val="auto"/>
          <w:sz w:val="24"/>
          <w:szCs w:val="24"/>
        </w:rPr>
        <w:t>BIBLIOGRAPHY</w:t>
      </w:r>
      <w:bookmarkEnd w:id="149"/>
      <w:bookmarkEnd w:id="150"/>
    </w:p>
    <w:p w14:paraId="043EDD8C" w14:textId="77777777" w:rsidR="00FD030E" w:rsidRPr="006C3615" w:rsidRDefault="00FD030E" w:rsidP="00FD030E">
      <w:pPr>
        <w:spacing w:line="240" w:lineRule="atLeast"/>
        <w:ind w:firstLine="0"/>
      </w:pPr>
    </w:p>
    <w:p w14:paraId="5FADFE6D" w14:textId="77777777" w:rsidR="00FD030E" w:rsidRDefault="00FD030E" w:rsidP="00FD030E">
      <w:pPr>
        <w:spacing w:line="240" w:lineRule="atLeast"/>
        <w:ind w:firstLine="0"/>
      </w:pPr>
    </w:p>
    <w:p w14:paraId="31068A0B" w14:textId="77777777" w:rsidR="00FD030E" w:rsidRPr="006C3615" w:rsidRDefault="00FD030E" w:rsidP="00FD030E">
      <w:pPr>
        <w:spacing w:line="240" w:lineRule="atLeast"/>
        <w:ind w:firstLine="0"/>
      </w:pPr>
    </w:p>
    <w:p w14:paraId="5CCE31BE" w14:textId="74BA6A35" w:rsidR="00FD030E" w:rsidRPr="00FD030E" w:rsidRDefault="00FD030E" w:rsidP="00FD030E">
      <w:pPr>
        <w:pStyle w:val="Heading2"/>
        <w:ind w:firstLine="0"/>
        <w:rPr>
          <w:rFonts w:asciiTheme="majorBidi" w:hAnsiTheme="majorBidi"/>
          <w:color w:val="auto"/>
          <w:sz w:val="20"/>
          <w:szCs w:val="20"/>
        </w:rPr>
      </w:pPr>
      <w:bookmarkStart w:id="151" w:name="_Toc81488270"/>
      <w:bookmarkStart w:id="152" w:name="_Toc165108687"/>
      <w:r w:rsidRPr="00FD030E">
        <w:rPr>
          <w:rFonts w:asciiTheme="majorBidi" w:hAnsiTheme="majorBidi"/>
          <w:color w:val="auto"/>
          <w:sz w:val="20"/>
          <w:szCs w:val="20"/>
        </w:rPr>
        <w:t>MANUSCRIPTS</w:t>
      </w:r>
      <w:bookmarkEnd w:id="151"/>
      <w:bookmarkEnd w:id="152"/>
    </w:p>
    <w:p w14:paraId="6D572E8C" w14:textId="77777777" w:rsidR="00FD030E" w:rsidRPr="006C3615" w:rsidRDefault="00FD030E" w:rsidP="00FD030E">
      <w:pPr>
        <w:spacing w:line="240" w:lineRule="atLeast"/>
        <w:ind w:firstLine="0"/>
        <w:rPr>
          <w:sz w:val="20"/>
          <w:szCs w:val="20"/>
        </w:rPr>
      </w:pPr>
    </w:p>
    <w:p w14:paraId="44A1999C" w14:textId="77777777" w:rsidR="00FD030E" w:rsidRPr="006C3615" w:rsidRDefault="00FD030E" w:rsidP="00FD030E">
      <w:pPr>
        <w:spacing w:line="240" w:lineRule="atLeast"/>
        <w:ind w:firstLine="0"/>
        <w:rPr>
          <w:lang w:val="de-DE"/>
        </w:rPr>
      </w:pPr>
      <w:r w:rsidRPr="006C3615">
        <w:rPr>
          <w:lang w:val="de-DE"/>
        </w:rPr>
        <w:t>Augsburg, Staats- und Stadtbibliothek, 2° Cod. 211 (XV c.)</w:t>
      </w:r>
    </w:p>
    <w:p w14:paraId="068ECD1E" w14:textId="77777777" w:rsidR="00FD030E" w:rsidRPr="006C3615" w:rsidRDefault="00FD030E" w:rsidP="00FD030E">
      <w:pPr>
        <w:spacing w:line="240" w:lineRule="atLeast"/>
        <w:ind w:firstLine="0"/>
        <w:rPr>
          <w:lang w:val="pt-PT"/>
        </w:rPr>
      </w:pPr>
      <w:r w:rsidRPr="006C3615">
        <w:rPr>
          <w:lang w:val="pt-PT"/>
        </w:rPr>
        <w:t xml:space="preserve">Cambridge, Magdalene College, F.4.27 (XIV c.) </w:t>
      </w:r>
    </w:p>
    <w:p w14:paraId="2F5FAA67" w14:textId="213AC5F3" w:rsidR="00FD030E" w:rsidRPr="006C3615" w:rsidRDefault="00FD030E" w:rsidP="00FD030E">
      <w:pPr>
        <w:pStyle w:val="FootnoteText"/>
        <w:spacing w:line="240" w:lineRule="atLeast"/>
        <w:ind w:firstLine="0"/>
        <w:rPr>
          <w:sz w:val="24"/>
          <w:szCs w:val="24"/>
          <w:lang w:val="it-IT"/>
        </w:rPr>
      </w:pPr>
      <w:r w:rsidRPr="006C3615">
        <w:rPr>
          <w:sz w:val="24"/>
          <w:szCs w:val="24"/>
          <w:lang w:val="it-IT"/>
        </w:rPr>
        <w:t xml:space="preserve">Erfurt, </w:t>
      </w:r>
      <w:r w:rsidR="00A74BEA" w:rsidRPr="006C3615">
        <w:rPr>
          <w:sz w:val="24"/>
          <w:szCs w:val="24"/>
        </w:rPr>
        <w:t>Bibliotheca</w:t>
      </w:r>
      <w:r w:rsidR="00A74BEA" w:rsidRPr="006C3615">
        <w:rPr>
          <w:sz w:val="24"/>
          <w:szCs w:val="24"/>
          <w:lang w:val="it-IT"/>
        </w:rPr>
        <w:t xml:space="preserve"> </w:t>
      </w:r>
      <w:r w:rsidRPr="006C3615">
        <w:rPr>
          <w:sz w:val="24"/>
          <w:szCs w:val="24"/>
          <w:lang w:val="it-IT"/>
        </w:rPr>
        <w:t>Amploniana, 4° 361, (XIV c.)</w:t>
      </w:r>
    </w:p>
    <w:p w14:paraId="0418F53B" w14:textId="77777777" w:rsidR="00FD030E" w:rsidRPr="006C3615" w:rsidRDefault="00FD030E" w:rsidP="00FD030E">
      <w:pPr>
        <w:pStyle w:val="FootnoteText"/>
        <w:spacing w:line="240" w:lineRule="atLeast"/>
        <w:ind w:firstLine="0"/>
        <w:rPr>
          <w:sz w:val="24"/>
          <w:szCs w:val="24"/>
        </w:rPr>
      </w:pPr>
      <w:r w:rsidRPr="006C3615">
        <w:rPr>
          <w:sz w:val="24"/>
          <w:szCs w:val="24"/>
        </w:rPr>
        <w:t>Erfurt, Bibliotheca Amploniana, 4</w:t>
      </w:r>
      <w:r w:rsidRPr="006C3615">
        <w:rPr>
          <w:sz w:val="24"/>
          <w:szCs w:val="24"/>
          <w:vertAlign w:val="superscript"/>
        </w:rPr>
        <w:t>o</w:t>
      </w:r>
      <w:r w:rsidRPr="006C3615">
        <w:rPr>
          <w:sz w:val="24"/>
          <w:szCs w:val="24"/>
        </w:rPr>
        <w:t xml:space="preserve"> 380 (XIII-XIV c.)</w:t>
      </w:r>
    </w:p>
    <w:p w14:paraId="4C849AAB" w14:textId="77777777" w:rsidR="00FD030E" w:rsidRPr="006C3615" w:rsidRDefault="00FD030E" w:rsidP="00FD030E">
      <w:pPr>
        <w:pStyle w:val="FootnoteText"/>
        <w:spacing w:line="240" w:lineRule="atLeast"/>
        <w:ind w:firstLine="0"/>
        <w:rPr>
          <w:sz w:val="24"/>
          <w:szCs w:val="24"/>
        </w:rPr>
      </w:pPr>
      <w:r w:rsidRPr="006C3615">
        <w:rPr>
          <w:sz w:val="24"/>
          <w:szCs w:val="24"/>
        </w:rPr>
        <w:t>Florence, Biblioteca Medicea Laurenziana, Plut. 30.</w:t>
      </w:r>
      <w:r>
        <w:rPr>
          <w:sz w:val="24"/>
          <w:szCs w:val="24"/>
        </w:rPr>
        <w:t xml:space="preserve"> </w:t>
      </w:r>
      <w:r w:rsidRPr="006C3615">
        <w:rPr>
          <w:sz w:val="24"/>
          <w:szCs w:val="24"/>
        </w:rPr>
        <w:t>29. (XIII c.)</w:t>
      </w:r>
    </w:p>
    <w:p w14:paraId="162E81D8" w14:textId="77777777" w:rsidR="00FD030E" w:rsidRPr="006C3615" w:rsidRDefault="00FD030E" w:rsidP="00FD030E">
      <w:pPr>
        <w:pStyle w:val="FootnoteText"/>
        <w:spacing w:line="240" w:lineRule="atLeast"/>
        <w:ind w:firstLine="0"/>
        <w:rPr>
          <w:sz w:val="24"/>
          <w:szCs w:val="24"/>
          <w:lang w:val="it-IT"/>
        </w:rPr>
      </w:pPr>
      <w:r w:rsidRPr="006C3615">
        <w:rPr>
          <w:sz w:val="24"/>
          <w:szCs w:val="24"/>
          <w:lang w:val="it-IT"/>
        </w:rPr>
        <w:t>Florence, Biblioteca Medicea Laurenziana, Plut. 89 sup. 34 (XV</w:t>
      </w:r>
      <w:r w:rsidRPr="006C3615">
        <w:rPr>
          <w:sz w:val="24"/>
          <w:szCs w:val="24"/>
          <w:vertAlign w:val="superscript"/>
          <w:lang w:val="it-IT"/>
        </w:rPr>
        <w:t>ex</w:t>
      </w:r>
      <w:r w:rsidRPr="006C3615">
        <w:rPr>
          <w:sz w:val="24"/>
          <w:szCs w:val="24"/>
          <w:lang w:val="it-IT"/>
        </w:rPr>
        <w:t>-XVI</w:t>
      </w:r>
      <w:r w:rsidRPr="006C3615">
        <w:rPr>
          <w:sz w:val="24"/>
          <w:szCs w:val="24"/>
          <w:vertAlign w:val="superscript"/>
          <w:lang w:val="it-IT"/>
        </w:rPr>
        <w:t>in</w:t>
      </w:r>
      <w:r w:rsidRPr="006C3615">
        <w:rPr>
          <w:sz w:val="24"/>
          <w:szCs w:val="24"/>
          <w:lang w:val="it-IT"/>
        </w:rPr>
        <w:t xml:space="preserve"> c.)</w:t>
      </w:r>
    </w:p>
    <w:p w14:paraId="1137E847" w14:textId="77777777" w:rsidR="00FD030E" w:rsidRPr="006C3615" w:rsidRDefault="00FD030E" w:rsidP="00FD030E">
      <w:pPr>
        <w:pStyle w:val="FootnoteText"/>
        <w:spacing w:line="240" w:lineRule="atLeast"/>
        <w:ind w:firstLine="0"/>
        <w:rPr>
          <w:sz w:val="24"/>
          <w:szCs w:val="24"/>
          <w:lang w:val="it-IT"/>
        </w:rPr>
      </w:pPr>
      <w:r w:rsidRPr="006C3615">
        <w:rPr>
          <w:sz w:val="24"/>
          <w:szCs w:val="24"/>
          <w:lang w:val="it-IT"/>
        </w:rPr>
        <w:t xml:space="preserve">Florence, Biblioteca Nazionale, Palat. 945,  (XIII, XIV, XV, XVI)  </w:t>
      </w:r>
    </w:p>
    <w:p w14:paraId="28D6B719" w14:textId="77777777" w:rsidR="00FD030E" w:rsidRPr="006C3615" w:rsidRDefault="00FD030E" w:rsidP="00FD030E">
      <w:pPr>
        <w:pStyle w:val="FootnoteText"/>
        <w:spacing w:line="240" w:lineRule="atLeast"/>
        <w:ind w:firstLine="0"/>
        <w:rPr>
          <w:sz w:val="24"/>
          <w:szCs w:val="24"/>
        </w:rPr>
      </w:pPr>
      <w:r w:rsidRPr="006C3615">
        <w:rPr>
          <w:sz w:val="24"/>
          <w:szCs w:val="24"/>
        </w:rPr>
        <w:t xml:space="preserve">Kassel, </w:t>
      </w:r>
      <w:r w:rsidRPr="006C3615">
        <w:rPr>
          <w:rStyle w:val="Emphasis"/>
          <w:sz w:val="24"/>
          <w:szCs w:val="24"/>
          <w:shd w:val="clear" w:color="auto" w:fill="FFFFFF"/>
        </w:rPr>
        <w:t>Landesbibliothek und Murhardsche</w:t>
      </w:r>
      <w:r w:rsidRPr="006C3615">
        <w:rPr>
          <w:sz w:val="24"/>
          <w:szCs w:val="24"/>
          <w:shd w:val="clear" w:color="auto" w:fill="FFFFFF"/>
        </w:rPr>
        <w:t> Bibliothek </w:t>
      </w:r>
      <w:r w:rsidRPr="006C3615">
        <w:rPr>
          <w:rStyle w:val="Emphasis"/>
          <w:sz w:val="24"/>
          <w:szCs w:val="24"/>
          <w:shd w:val="clear" w:color="auto" w:fill="FFFFFF"/>
        </w:rPr>
        <w:t>der Stadt</w:t>
      </w:r>
      <w:r w:rsidRPr="006C3615">
        <w:rPr>
          <w:sz w:val="24"/>
          <w:szCs w:val="24"/>
        </w:rPr>
        <w:t xml:space="preserve"> Astron. 4° Ms. Astron. 16 (XV c.)</w:t>
      </w:r>
    </w:p>
    <w:p w14:paraId="503B029D" w14:textId="77777777" w:rsidR="00FD030E" w:rsidRPr="006C3615" w:rsidRDefault="00FD030E" w:rsidP="00FD030E">
      <w:pPr>
        <w:pStyle w:val="FootnoteText"/>
        <w:spacing w:line="240" w:lineRule="atLeast"/>
        <w:ind w:firstLine="0"/>
        <w:rPr>
          <w:sz w:val="24"/>
          <w:szCs w:val="24"/>
        </w:rPr>
      </w:pPr>
      <w:r w:rsidRPr="006C3615">
        <w:rPr>
          <w:sz w:val="24"/>
          <w:szCs w:val="24"/>
        </w:rPr>
        <w:t>London, B</w:t>
      </w:r>
      <w:r>
        <w:rPr>
          <w:sz w:val="24"/>
          <w:szCs w:val="24"/>
        </w:rPr>
        <w:t xml:space="preserve">ritish </w:t>
      </w:r>
      <w:r w:rsidRPr="006C3615">
        <w:rPr>
          <w:sz w:val="24"/>
          <w:szCs w:val="24"/>
        </w:rPr>
        <w:t>L</w:t>
      </w:r>
      <w:r>
        <w:rPr>
          <w:sz w:val="24"/>
          <w:szCs w:val="24"/>
        </w:rPr>
        <w:t>ibrary</w:t>
      </w:r>
      <w:r w:rsidRPr="006C3615">
        <w:rPr>
          <w:sz w:val="24"/>
          <w:szCs w:val="24"/>
        </w:rPr>
        <w:t>, Harley 2404 (XV c.)</w:t>
      </w:r>
    </w:p>
    <w:p w14:paraId="02E01449" w14:textId="77777777" w:rsidR="00FD030E" w:rsidRPr="006C3615" w:rsidRDefault="00FD030E" w:rsidP="00FD030E">
      <w:pPr>
        <w:spacing w:line="240" w:lineRule="atLeast"/>
        <w:ind w:firstLine="0"/>
      </w:pPr>
      <w:r w:rsidRPr="006C3615">
        <w:t>London, British Library, Arundel 66, (XV c.)</w:t>
      </w:r>
    </w:p>
    <w:p w14:paraId="6976E06D" w14:textId="77777777" w:rsidR="00FD030E" w:rsidRPr="006C3615" w:rsidRDefault="00FD030E" w:rsidP="00FD030E">
      <w:pPr>
        <w:spacing w:line="240" w:lineRule="atLeast"/>
        <w:ind w:firstLine="0"/>
      </w:pPr>
      <w:r w:rsidRPr="006C3615">
        <w:t>London, British Library, Harley 2404 (XV c.)</w:t>
      </w:r>
    </w:p>
    <w:p w14:paraId="108CA060" w14:textId="77777777" w:rsidR="00FD030E" w:rsidRPr="006C3615" w:rsidRDefault="00FD030E" w:rsidP="00FD030E">
      <w:pPr>
        <w:pStyle w:val="FootnoteText"/>
        <w:spacing w:line="240" w:lineRule="atLeast"/>
        <w:ind w:firstLine="0"/>
        <w:rPr>
          <w:sz w:val="24"/>
          <w:szCs w:val="24"/>
        </w:rPr>
      </w:pPr>
      <w:r w:rsidRPr="006C3615">
        <w:rPr>
          <w:sz w:val="24"/>
          <w:szCs w:val="24"/>
          <w:lang w:val="it-IT"/>
        </w:rPr>
        <w:t xml:space="preserve">London, British Library, </w:t>
      </w:r>
      <w:r w:rsidRPr="006C3615">
        <w:rPr>
          <w:sz w:val="24"/>
          <w:szCs w:val="24"/>
        </w:rPr>
        <w:t>Harley MS 6485 (1713 AD)</w:t>
      </w:r>
    </w:p>
    <w:p w14:paraId="7DF14722" w14:textId="77777777" w:rsidR="00FD030E" w:rsidRPr="006C3615" w:rsidRDefault="00FD030E" w:rsidP="00FD030E">
      <w:pPr>
        <w:pStyle w:val="FootnoteText"/>
        <w:spacing w:line="240" w:lineRule="atLeast"/>
        <w:ind w:firstLine="0"/>
        <w:rPr>
          <w:sz w:val="24"/>
          <w:szCs w:val="24"/>
        </w:rPr>
      </w:pPr>
      <w:r w:rsidRPr="006C3615">
        <w:rPr>
          <w:sz w:val="24"/>
          <w:szCs w:val="24"/>
        </w:rPr>
        <w:t>Lyon, Bibliothèque municipale, ms. 1364 (XVI-XVII c.)</w:t>
      </w:r>
    </w:p>
    <w:p w14:paraId="2C42CF66" w14:textId="77777777" w:rsidR="00FD030E" w:rsidRPr="006C3615" w:rsidRDefault="00FD030E" w:rsidP="00FD030E">
      <w:pPr>
        <w:pStyle w:val="FootnoteText"/>
        <w:spacing w:line="240" w:lineRule="atLeast"/>
        <w:ind w:firstLine="0"/>
        <w:rPr>
          <w:sz w:val="24"/>
          <w:szCs w:val="24"/>
          <w:lang w:val="it-IT"/>
        </w:rPr>
      </w:pPr>
      <w:r w:rsidRPr="006C3615">
        <w:rPr>
          <w:sz w:val="24"/>
          <w:szCs w:val="24"/>
        </w:rPr>
        <w:t>Mühlhausen, Stadtarchiv, 60/2 (XV c.)</w:t>
      </w:r>
    </w:p>
    <w:p w14:paraId="1A1B5333" w14:textId="77777777" w:rsidR="00FD030E" w:rsidRPr="006C3615" w:rsidRDefault="00FD030E" w:rsidP="00FD030E">
      <w:pPr>
        <w:spacing w:line="240" w:lineRule="atLeast"/>
        <w:ind w:firstLine="0"/>
        <w:rPr>
          <w:lang w:val="de-DE"/>
        </w:rPr>
      </w:pPr>
      <w:r w:rsidRPr="006C3615">
        <w:rPr>
          <w:lang w:val="de-DE"/>
        </w:rPr>
        <w:t>Munich,</w:t>
      </w:r>
      <w:r w:rsidRPr="006C3615">
        <w:t xml:space="preserve"> </w:t>
      </w:r>
      <w:r w:rsidRPr="006C3615">
        <w:rPr>
          <w:lang w:val="de-DE"/>
        </w:rPr>
        <w:t>Bayerische Staatsbibliothek, Clm 11998, (XVIII c.)</w:t>
      </w:r>
    </w:p>
    <w:p w14:paraId="25538885" w14:textId="77777777" w:rsidR="00FD030E" w:rsidRPr="006C3615" w:rsidRDefault="00FD030E" w:rsidP="00FD030E">
      <w:pPr>
        <w:spacing w:line="240" w:lineRule="atLeast"/>
        <w:ind w:firstLine="0"/>
        <w:rPr>
          <w:lang w:val="de-DE"/>
        </w:rPr>
      </w:pPr>
      <w:r w:rsidRPr="006C3615">
        <w:t xml:space="preserve">Munich, </w:t>
      </w:r>
      <w:r w:rsidRPr="006C3615">
        <w:rPr>
          <w:lang w:val="de-DE"/>
        </w:rPr>
        <w:t>Bayerische Staatsbibliothek</w:t>
      </w:r>
      <w:r w:rsidRPr="006C3615">
        <w:t>, Clm 458 (XV c.)</w:t>
      </w:r>
    </w:p>
    <w:p w14:paraId="10A92A9D" w14:textId="70FFB9F5" w:rsidR="00FD030E" w:rsidRPr="006C3615" w:rsidRDefault="00FD030E" w:rsidP="00FD030E">
      <w:pPr>
        <w:pStyle w:val="FootnoteText"/>
        <w:spacing w:line="240" w:lineRule="atLeast"/>
        <w:ind w:firstLine="0"/>
        <w:rPr>
          <w:sz w:val="24"/>
          <w:szCs w:val="24"/>
        </w:rPr>
      </w:pPr>
      <w:r w:rsidRPr="006C3615">
        <w:rPr>
          <w:sz w:val="24"/>
          <w:szCs w:val="24"/>
        </w:rPr>
        <w:t>Oxford, Bod</w:t>
      </w:r>
      <w:r w:rsidR="00290046">
        <w:rPr>
          <w:sz w:val="24"/>
          <w:szCs w:val="24"/>
        </w:rPr>
        <w:t>leian</w:t>
      </w:r>
      <w:r w:rsidRPr="006C3615">
        <w:rPr>
          <w:sz w:val="24"/>
          <w:szCs w:val="24"/>
        </w:rPr>
        <w:t xml:space="preserve"> Lib</w:t>
      </w:r>
      <w:r w:rsidR="00290046">
        <w:rPr>
          <w:sz w:val="24"/>
          <w:szCs w:val="24"/>
        </w:rPr>
        <w:t>rary</w:t>
      </w:r>
      <w:r w:rsidRPr="006C3615">
        <w:rPr>
          <w:sz w:val="24"/>
          <w:szCs w:val="24"/>
        </w:rPr>
        <w:t>, Ashmole 393 (XIV, XV, XVI c.)</w:t>
      </w:r>
    </w:p>
    <w:p w14:paraId="44D489C6" w14:textId="77777777" w:rsidR="00FD030E" w:rsidRPr="006C3615" w:rsidRDefault="00FD030E" w:rsidP="00FD030E">
      <w:pPr>
        <w:pStyle w:val="FootnoteText"/>
        <w:spacing w:line="240" w:lineRule="atLeast"/>
        <w:ind w:firstLine="0"/>
        <w:rPr>
          <w:sz w:val="24"/>
          <w:szCs w:val="24"/>
          <w:lang w:val="it-IT"/>
        </w:rPr>
      </w:pPr>
      <w:r w:rsidRPr="006C3615">
        <w:rPr>
          <w:sz w:val="24"/>
          <w:szCs w:val="24"/>
          <w:lang w:val="it-IT"/>
        </w:rPr>
        <w:t>Oxford, Bodleian Library, Bodley 625 (XIII-XIV c.)</w:t>
      </w:r>
    </w:p>
    <w:p w14:paraId="28B6485F" w14:textId="77777777" w:rsidR="00FD030E" w:rsidRPr="006C3615" w:rsidRDefault="00FD030E" w:rsidP="00FD030E">
      <w:pPr>
        <w:spacing w:line="240" w:lineRule="atLeast"/>
        <w:ind w:firstLine="0"/>
        <w:rPr>
          <w:lang w:val="de-DE"/>
        </w:rPr>
      </w:pPr>
      <w:r w:rsidRPr="006C3615">
        <w:rPr>
          <w:lang w:val="de-DE"/>
        </w:rPr>
        <w:t>Oxford, Bodleian Library, Digby 50, (XII</w:t>
      </w:r>
      <w:r w:rsidRPr="006C3615">
        <w:rPr>
          <w:vertAlign w:val="superscript"/>
          <w:lang w:val="de-DE"/>
        </w:rPr>
        <w:t xml:space="preserve">ex </w:t>
      </w:r>
      <w:r w:rsidRPr="006C3615">
        <w:rPr>
          <w:lang w:val="de-DE"/>
        </w:rPr>
        <w:t>c.)</w:t>
      </w:r>
    </w:p>
    <w:p w14:paraId="74033D60" w14:textId="77777777" w:rsidR="00FD030E" w:rsidRPr="006C3615" w:rsidRDefault="00FD030E" w:rsidP="00FD030E">
      <w:pPr>
        <w:spacing w:line="240" w:lineRule="atLeast"/>
        <w:ind w:firstLine="0"/>
        <w:rPr>
          <w:lang w:val="de-DE"/>
        </w:rPr>
      </w:pPr>
      <w:r w:rsidRPr="006C3615">
        <w:t xml:space="preserve">Oxford, </w:t>
      </w:r>
      <w:r w:rsidRPr="006C3615">
        <w:rPr>
          <w:lang w:val="de-DE"/>
        </w:rPr>
        <w:t>Bodleian Library</w:t>
      </w:r>
      <w:r w:rsidRPr="006C3615">
        <w:t>, MS Hunt. Add. D, (ca. 1500 AD).</w:t>
      </w:r>
    </w:p>
    <w:p w14:paraId="3B56760D" w14:textId="77777777" w:rsidR="00FD030E" w:rsidRPr="006C3615" w:rsidRDefault="00FD030E" w:rsidP="00FD030E">
      <w:pPr>
        <w:spacing w:line="240" w:lineRule="atLeast"/>
        <w:ind w:firstLine="0"/>
        <w:rPr>
          <w:lang w:val="de-DE"/>
        </w:rPr>
      </w:pPr>
      <w:r w:rsidRPr="006C3615">
        <w:rPr>
          <w:lang w:val="de-DE"/>
        </w:rPr>
        <w:t>Oxford, Bodleian Library, Rawlinson D.1227 (XIV c.)</w:t>
      </w:r>
    </w:p>
    <w:p w14:paraId="7EFB9308" w14:textId="4A6FECBD" w:rsidR="00FD030E" w:rsidRPr="006C3615" w:rsidRDefault="00FD030E" w:rsidP="00FD030E">
      <w:pPr>
        <w:pStyle w:val="FootnoteText"/>
        <w:spacing w:line="240" w:lineRule="atLeast"/>
        <w:ind w:firstLine="0"/>
        <w:rPr>
          <w:highlight w:val="cyan"/>
        </w:rPr>
      </w:pPr>
      <w:r w:rsidRPr="006C3615">
        <w:rPr>
          <w:sz w:val="24"/>
          <w:szCs w:val="24"/>
        </w:rPr>
        <w:t xml:space="preserve">Paris, Bibliothèque </w:t>
      </w:r>
      <w:r w:rsidR="00734D19">
        <w:rPr>
          <w:sz w:val="24"/>
          <w:szCs w:val="24"/>
        </w:rPr>
        <w:t>n</w:t>
      </w:r>
      <w:r w:rsidR="00734D19" w:rsidRPr="006C3615">
        <w:rPr>
          <w:sz w:val="24"/>
          <w:szCs w:val="24"/>
        </w:rPr>
        <w:t>ationale</w:t>
      </w:r>
      <w:r w:rsidR="00734D19">
        <w:rPr>
          <w:sz w:val="24"/>
          <w:szCs w:val="24"/>
        </w:rPr>
        <w:t xml:space="preserve"> de France</w:t>
      </w:r>
      <w:r w:rsidRPr="006C3615">
        <w:rPr>
          <w:sz w:val="24"/>
          <w:szCs w:val="24"/>
        </w:rPr>
        <w:t>, lat. 10270 (XV c.)</w:t>
      </w:r>
      <w:r w:rsidRPr="006C3615">
        <w:rPr>
          <w:highlight w:val="cyan"/>
        </w:rPr>
        <w:t xml:space="preserve"> </w:t>
      </w:r>
    </w:p>
    <w:p w14:paraId="14449098" w14:textId="499E07E0" w:rsidR="00FD030E" w:rsidRPr="006C3615" w:rsidRDefault="00FD030E" w:rsidP="00FD030E">
      <w:pPr>
        <w:pStyle w:val="FootnoteText"/>
        <w:spacing w:line="240" w:lineRule="atLeast"/>
        <w:ind w:firstLine="0"/>
        <w:rPr>
          <w:sz w:val="24"/>
          <w:szCs w:val="24"/>
        </w:rPr>
      </w:pPr>
      <w:r w:rsidRPr="006C3615">
        <w:rPr>
          <w:sz w:val="24"/>
          <w:szCs w:val="24"/>
        </w:rPr>
        <w:t xml:space="preserve">Paris, Bibliothèque </w:t>
      </w:r>
      <w:r w:rsidR="00734D19">
        <w:rPr>
          <w:sz w:val="24"/>
          <w:szCs w:val="24"/>
        </w:rPr>
        <w:t>n</w:t>
      </w:r>
      <w:r w:rsidR="00734D19" w:rsidRPr="006C3615">
        <w:rPr>
          <w:sz w:val="24"/>
          <w:szCs w:val="24"/>
        </w:rPr>
        <w:t>ationale</w:t>
      </w:r>
      <w:r w:rsidR="00734D19">
        <w:rPr>
          <w:sz w:val="24"/>
          <w:szCs w:val="24"/>
        </w:rPr>
        <w:t xml:space="preserve"> de France</w:t>
      </w:r>
      <w:r w:rsidRPr="006C3615">
        <w:rPr>
          <w:sz w:val="24"/>
          <w:szCs w:val="24"/>
        </w:rPr>
        <w:t>, lat. 15353 (XIII-XIV c.)</w:t>
      </w:r>
    </w:p>
    <w:p w14:paraId="256BE645" w14:textId="5ACA6E7F" w:rsidR="00FD030E" w:rsidRPr="006C3615" w:rsidRDefault="00FD030E" w:rsidP="00FD030E">
      <w:pPr>
        <w:pStyle w:val="FootnoteText"/>
        <w:spacing w:line="240" w:lineRule="atLeast"/>
        <w:ind w:firstLine="0"/>
        <w:rPr>
          <w:sz w:val="24"/>
          <w:szCs w:val="24"/>
        </w:rPr>
      </w:pPr>
      <w:r w:rsidRPr="006C3615">
        <w:rPr>
          <w:sz w:val="24"/>
          <w:szCs w:val="24"/>
        </w:rPr>
        <w:t xml:space="preserve">Paris, Bibliothèque </w:t>
      </w:r>
      <w:r w:rsidR="00734D19">
        <w:rPr>
          <w:sz w:val="24"/>
          <w:szCs w:val="24"/>
        </w:rPr>
        <w:t>n</w:t>
      </w:r>
      <w:r w:rsidR="00734D19" w:rsidRPr="006C3615">
        <w:rPr>
          <w:sz w:val="24"/>
          <w:szCs w:val="24"/>
        </w:rPr>
        <w:t>ationale</w:t>
      </w:r>
      <w:r w:rsidR="00734D19">
        <w:rPr>
          <w:sz w:val="24"/>
          <w:szCs w:val="24"/>
        </w:rPr>
        <w:t xml:space="preserve"> de France</w:t>
      </w:r>
      <w:r w:rsidRPr="006C3615">
        <w:rPr>
          <w:sz w:val="24"/>
          <w:szCs w:val="24"/>
        </w:rPr>
        <w:t>, lat. 7349 (XV c.)</w:t>
      </w:r>
    </w:p>
    <w:p w14:paraId="376DB0BF" w14:textId="5457272C" w:rsidR="00FD030E" w:rsidRPr="006C3615" w:rsidRDefault="00FD030E" w:rsidP="00FD030E">
      <w:pPr>
        <w:pStyle w:val="FootnoteText"/>
        <w:spacing w:line="240" w:lineRule="atLeast"/>
        <w:ind w:firstLine="0"/>
        <w:rPr>
          <w:sz w:val="24"/>
          <w:szCs w:val="24"/>
        </w:rPr>
      </w:pPr>
      <w:r w:rsidRPr="006C3615">
        <w:rPr>
          <w:sz w:val="24"/>
          <w:szCs w:val="24"/>
        </w:rPr>
        <w:t xml:space="preserve">Paris, Bibliothèque </w:t>
      </w:r>
      <w:r w:rsidR="00734D19">
        <w:rPr>
          <w:sz w:val="24"/>
          <w:szCs w:val="24"/>
        </w:rPr>
        <w:t>n</w:t>
      </w:r>
      <w:r w:rsidR="00734D19" w:rsidRPr="006C3615">
        <w:rPr>
          <w:sz w:val="24"/>
          <w:szCs w:val="24"/>
        </w:rPr>
        <w:t>ationale</w:t>
      </w:r>
      <w:r w:rsidR="00734D19">
        <w:rPr>
          <w:sz w:val="24"/>
          <w:szCs w:val="24"/>
        </w:rPr>
        <w:t xml:space="preserve"> de France</w:t>
      </w:r>
      <w:r w:rsidRPr="006C3615">
        <w:rPr>
          <w:sz w:val="24"/>
          <w:szCs w:val="24"/>
        </w:rPr>
        <w:t>, lat. 7457 (XV c.)</w:t>
      </w:r>
    </w:p>
    <w:p w14:paraId="06225466" w14:textId="77777777" w:rsidR="00FD030E" w:rsidRPr="006C3615" w:rsidRDefault="00FD030E" w:rsidP="00FD030E">
      <w:pPr>
        <w:pStyle w:val="FootnoteText"/>
        <w:spacing w:line="240" w:lineRule="atLeast"/>
        <w:ind w:firstLine="0"/>
        <w:rPr>
          <w:sz w:val="24"/>
          <w:szCs w:val="24"/>
        </w:rPr>
      </w:pPr>
      <w:r w:rsidRPr="006C3615">
        <w:rPr>
          <w:sz w:val="24"/>
          <w:szCs w:val="24"/>
        </w:rPr>
        <w:t>Uppsala, Universitetsbibliotek, Ms. C 619</w:t>
      </w:r>
      <w:r>
        <w:rPr>
          <w:sz w:val="24"/>
          <w:szCs w:val="24"/>
        </w:rPr>
        <w:t xml:space="preserve"> (XIII</w:t>
      </w:r>
      <w:r w:rsidRPr="006C3615">
        <w:rPr>
          <w:sz w:val="24"/>
          <w:szCs w:val="24"/>
          <w:vertAlign w:val="superscript"/>
        </w:rPr>
        <w:t>ex</w:t>
      </w:r>
      <w:r>
        <w:rPr>
          <w:sz w:val="24"/>
          <w:szCs w:val="24"/>
        </w:rPr>
        <w:t xml:space="preserve"> c.)</w:t>
      </w:r>
    </w:p>
    <w:p w14:paraId="6E0C8BB1" w14:textId="094638E3" w:rsidR="00FD030E" w:rsidRPr="006C3615" w:rsidRDefault="00686918" w:rsidP="00FD030E">
      <w:pPr>
        <w:pStyle w:val="FootnoteText"/>
        <w:spacing w:line="240" w:lineRule="atLeast"/>
        <w:ind w:firstLine="0"/>
        <w:rPr>
          <w:sz w:val="24"/>
          <w:szCs w:val="24"/>
          <w:shd w:val="clear" w:color="auto" w:fill="FFFFFF"/>
        </w:rPr>
      </w:pPr>
      <w:r w:rsidRPr="006C3615">
        <w:rPr>
          <w:sz w:val="24"/>
          <w:szCs w:val="24"/>
        </w:rPr>
        <w:t>Vatican</w:t>
      </w:r>
      <w:r>
        <w:rPr>
          <w:sz w:val="24"/>
          <w:szCs w:val="24"/>
        </w:rPr>
        <w:t>, Biblioteca Apostolica Vaticana</w:t>
      </w:r>
      <w:r w:rsidR="00FD030E" w:rsidRPr="006C3615">
        <w:rPr>
          <w:sz w:val="24"/>
          <w:szCs w:val="24"/>
        </w:rPr>
        <w:t>, Urb. Lat. 262 (</w:t>
      </w:r>
      <w:r w:rsidR="00FD030E" w:rsidRPr="006C3615">
        <w:rPr>
          <w:sz w:val="24"/>
          <w:szCs w:val="24"/>
          <w:shd w:val="clear" w:color="auto" w:fill="FFFFFF"/>
        </w:rPr>
        <w:t>XIV-XV c.)</w:t>
      </w:r>
    </w:p>
    <w:p w14:paraId="7257FFCE" w14:textId="77777777" w:rsidR="00FD030E" w:rsidRPr="006C3615" w:rsidRDefault="00FD030E" w:rsidP="00FD030E">
      <w:pPr>
        <w:pStyle w:val="FootnoteText"/>
        <w:spacing w:line="240" w:lineRule="atLeast"/>
        <w:ind w:firstLine="0"/>
        <w:rPr>
          <w:sz w:val="24"/>
          <w:szCs w:val="24"/>
        </w:rPr>
      </w:pPr>
      <w:r w:rsidRPr="006C3615">
        <w:rPr>
          <w:sz w:val="24"/>
          <w:szCs w:val="24"/>
        </w:rPr>
        <w:t xml:space="preserve">Wien, Österreichische Nationalbibliothek, lat. 5327 (XV c.) </w:t>
      </w:r>
    </w:p>
    <w:p w14:paraId="34FD8171" w14:textId="77777777" w:rsidR="00FD030E" w:rsidRDefault="00FD030E" w:rsidP="00FD030E">
      <w:pPr>
        <w:spacing w:line="240" w:lineRule="atLeast"/>
        <w:ind w:firstLine="0"/>
        <w:rPr>
          <w:sz w:val="20"/>
          <w:szCs w:val="20"/>
        </w:rPr>
      </w:pPr>
      <w:bookmarkStart w:id="153" w:name="_Toc81488271"/>
    </w:p>
    <w:p w14:paraId="7C5B8C69" w14:textId="77777777" w:rsidR="00FD030E" w:rsidRPr="006C3615" w:rsidRDefault="00FD030E" w:rsidP="00FD030E">
      <w:pPr>
        <w:spacing w:line="240" w:lineRule="atLeast"/>
        <w:ind w:firstLine="0"/>
        <w:rPr>
          <w:sz w:val="20"/>
          <w:szCs w:val="20"/>
        </w:rPr>
      </w:pPr>
    </w:p>
    <w:p w14:paraId="66DA7E36" w14:textId="024ADC1A" w:rsidR="00FD030E" w:rsidRPr="006C3615" w:rsidRDefault="00FD030E" w:rsidP="00E554E7">
      <w:pPr>
        <w:pStyle w:val="Heading2"/>
        <w:ind w:firstLine="0"/>
        <w:rPr>
          <w:rFonts w:asciiTheme="majorBidi" w:hAnsiTheme="majorBidi"/>
          <w:sz w:val="20"/>
          <w:szCs w:val="20"/>
        </w:rPr>
      </w:pPr>
      <w:bookmarkStart w:id="154" w:name="_Toc165108688"/>
      <w:r w:rsidRPr="00E554E7">
        <w:rPr>
          <w:rFonts w:asciiTheme="majorBidi" w:hAnsiTheme="majorBidi"/>
          <w:color w:val="auto"/>
          <w:sz w:val="20"/>
          <w:szCs w:val="20"/>
        </w:rPr>
        <w:t>PRIMARY SOURCES</w:t>
      </w:r>
      <w:bookmarkEnd w:id="153"/>
      <w:bookmarkEnd w:id="154"/>
    </w:p>
    <w:p w14:paraId="6728D3DA" w14:textId="77777777" w:rsidR="00FD030E" w:rsidRPr="006C3615" w:rsidRDefault="00FD030E" w:rsidP="00FD030E">
      <w:pPr>
        <w:spacing w:line="240" w:lineRule="atLeast"/>
        <w:ind w:firstLine="0"/>
        <w:rPr>
          <w:sz w:val="20"/>
          <w:szCs w:val="20"/>
        </w:rPr>
      </w:pPr>
    </w:p>
    <w:p w14:paraId="17F1CA3E"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(Imam) Ali ibn Abu Talib. </w:t>
      </w:r>
      <w:r w:rsidRPr="009B5324">
        <w:rPr>
          <w:i/>
          <w:iCs/>
          <w:sz w:val="24"/>
          <w:szCs w:val="24"/>
        </w:rPr>
        <w:t>Peak of Eloquence. Nahjul Balagha. Sermons, Letters and Sayings of Imam Ali ibn Abu Talib</w:t>
      </w:r>
      <w:r w:rsidRPr="009B5324">
        <w:rPr>
          <w:sz w:val="24"/>
          <w:szCs w:val="24"/>
        </w:rPr>
        <w:t>, translated by Sayed Ali Reza. New York: Tahrike Tarsile Quran, 1986</w:t>
      </w:r>
    </w:p>
    <w:p w14:paraId="31E86672"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Abū Ma‘šar. </w:t>
      </w:r>
      <w:r w:rsidRPr="009B5324">
        <w:rPr>
          <w:i/>
          <w:iCs/>
          <w:sz w:val="24"/>
          <w:szCs w:val="24"/>
        </w:rPr>
        <w:t>The Great Introduction to Astrology</w:t>
      </w:r>
      <w:r w:rsidRPr="009B5324">
        <w:rPr>
          <w:sz w:val="24"/>
          <w:szCs w:val="24"/>
        </w:rPr>
        <w:t>, edited and translated by Kenji Yamamoto and Charles Burnett, with an edition of the Greek version by David Pingree, two vols. Leiden: Brill, 2021</w:t>
      </w:r>
    </w:p>
    <w:p w14:paraId="3BAEE68D"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Adelard of Bath. </w:t>
      </w:r>
      <w:r w:rsidRPr="009B5324">
        <w:rPr>
          <w:i/>
          <w:iCs/>
          <w:sz w:val="24"/>
          <w:szCs w:val="24"/>
        </w:rPr>
        <w:t>De eodem et diverso</w:t>
      </w:r>
      <w:r w:rsidRPr="009B5324">
        <w:rPr>
          <w:sz w:val="24"/>
          <w:szCs w:val="24"/>
        </w:rPr>
        <w:t>, In C</w:t>
      </w:r>
      <w:r w:rsidRPr="009B5324">
        <w:rPr>
          <w:i/>
          <w:iCs/>
          <w:sz w:val="24"/>
          <w:szCs w:val="24"/>
        </w:rPr>
        <w:t>onversations with His Nephew: on the Same and the Different, Questions on Natural Science, and on Birds</w:t>
      </w:r>
      <w:r w:rsidRPr="009B5324">
        <w:rPr>
          <w:sz w:val="24"/>
          <w:szCs w:val="24"/>
        </w:rPr>
        <w:t>, edited by Charles Burnett. Cambridge: Cambridge University Press, 1998</w:t>
      </w:r>
    </w:p>
    <w:p w14:paraId="3FCF7F79"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Al-Battānī. </w:t>
      </w:r>
      <w:r w:rsidRPr="009B5324">
        <w:rPr>
          <w:i/>
          <w:iCs/>
          <w:sz w:val="24"/>
          <w:szCs w:val="24"/>
        </w:rPr>
        <w:t>Opus Astronomicum</w:t>
      </w:r>
      <w:r w:rsidRPr="009B5324">
        <w:rPr>
          <w:sz w:val="24"/>
          <w:szCs w:val="24"/>
        </w:rPr>
        <w:t>, I, edited by Carlo Alfonso Nallino. Milan: Ulrico Hoepli, 1903</w:t>
      </w:r>
    </w:p>
    <w:p w14:paraId="165A0D0A" w14:textId="1460AEFB" w:rsidR="009B5324" w:rsidRPr="009B5324" w:rsidRDefault="009B5324" w:rsidP="00FD030E">
      <w:pPr>
        <w:pStyle w:val="FootnoteText"/>
        <w:spacing w:line="240" w:lineRule="atLeast"/>
        <w:ind w:left="709" w:hanging="709"/>
        <w:rPr>
          <w:sz w:val="24"/>
          <w:szCs w:val="24"/>
        </w:rPr>
      </w:pPr>
      <w:r w:rsidRPr="009B5324">
        <w:rPr>
          <w:sz w:val="24"/>
          <w:szCs w:val="24"/>
        </w:rPr>
        <w:t xml:space="preserve">Albert the Great. </w:t>
      </w:r>
      <w:r w:rsidRPr="009B5324">
        <w:rPr>
          <w:i/>
          <w:iCs/>
          <w:sz w:val="24"/>
          <w:szCs w:val="24"/>
        </w:rPr>
        <w:t>De mineralibus</w:t>
      </w:r>
      <w:r w:rsidRPr="009B5324">
        <w:rPr>
          <w:sz w:val="24"/>
          <w:szCs w:val="24"/>
        </w:rPr>
        <w:t xml:space="preserve"> [Opera omnia, 5] edited by A. Borgnet. Paris:</w:t>
      </w:r>
      <w:r w:rsidRPr="009B5324">
        <w:t xml:space="preserve"> </w:t>
      </w:r>
      <w:r w:rsidRPr="009B5324">
        <w:rPr>
          <w:sz w:val="24"/>
          <w:szCs w:val="24"/>
        </w:rPr>
        <w:t xml:space="preserve">Vivès, 1890 </w:t>
      </w:r>
    </w:p>
    <w:p w14:paraId="17B3086F" w14:textId="77777777" w:rsidR="009B5324" w:rsidRPr="009B5324" w:rsidRDefault="009B5324" w:rsidP="00FD030E">
      <w:pPr>
        <w:pStyle w:val="FootnoteText"/>
        <w:spacing w:line="240" w:lineRule="atLeast"/>
        <w:ind w:left="709" w:hanging="709"/>
        <w:rPr>
          <w:sz w:val="24"/>
          <w:szCs w:val="24"/>
        </w:rPr>
      </w:pPr>
      <w:r w:rsidRPr="009B5324">
        <w:rPr>
          <w:sz w:val="24"/>
          <w:szCs w:val="24"/>
        </w:rPr>
        <w:t>Albert the Great</w:t>
      </w:r>
      <w:r w:rsidRPr="009B5324">
        <w:rPr>
          <w:i/>
          <w:iCs/>
          <w:sz w:val="24"/>
          <w:szCs w:val="24"/>
        </w:rPr>
        <w:t>. Super Ethica commentum et quaestiones</w:t>
      </w:r>
      <w:r w:rsidRPr="009B5324">
        <w:rPr>
          <w:sz w:val="24"/>
          <w:szCs w:val="24"/>
        </w:rPr>
        <w:t xml:space="preserve"> [Alberti Magni Opera Omnia 14, 2], edited by W. Kübel. Aschendorff, Münster: i.W., 1987</w:t>
      </w:r>
    </w:p>
    <w:p w14:paraId="4A574EF5" w14:textId="77777777" w:rsidR="009B5324" w:rsidRPr="009B5324" w:rsidRDefault="009B5324" w:rsidP="00FD030E">
      <w:pPr>
        <w:pStyle w:val="FootnoteText"/>
        <w:spacing w:line="240" w:lineRule="atLeast"/>
        <w:ind w:left="709" w:hanging="709"/>
        <w:rPr>
          <w:sz w:val="24"/>
          <w:szCs w:val="24"/>
        </w:rPr>
      </w:pPr>
      <w:r w:rsidRPr="009B5324">
        <w:rPr>
          <w:sz w:val="24"/>
          <w:szCs w:val="24"/>
        </w:rPr>
        <w:t>Albert the Great</w:t>
      </w:r>
      <w:r w:rsidRPr="009B5324">
        <w:rPr>
          <w:i/>
          <w:iCs/>
          <w:sz w:val="24"/>
          <w:szCs w:val="24"/>
        </w:rPr>
        <w:t>. Super Porphyrium De V universalibus</w:t>
      </w:r>
      <w:r w:rsidRPr="009B5324">
        <w:rPr>
          <w:sz w:val="24"/>
          <w:szCs w:val="24"/>
        </w:rPr>
        <w:t>, [Alberti Magni Opera Omnia. Editio Coloniensis, 1.1a], edited by M.S. Noya. Aschendorff, Münster: i.W., 2004</w:t>
      </w:r>
    </w:p>
    <w:p w14:paraId="127CF588" w14:textId="26BA01A2" w:rsidR="009B5324" w:rsidRPr="009B5324" w:rsidRDefault="009B5324" w:rsidP="00FD030E">
      <w:pPr>
        <w:pStyle w:val="FootnoteText"/>
        <w:spacing w:line="240" w:lineRule="atLeast"/>
        <w:ind w:left="709" w:hanging="709"/>
        <w:rPr>
          <w:sz w:val="24"/>
          <w:szCs w:val="24"/>
        </w:rPr>
      </w:pPr>
      <w:r w:rsidRPr="009B5324">
        <w:rPr>
          <w:sz w:val="24"/>
          <w:szCs w:val="24"/>
        </w:rPr>
        <w:t>Al-Kind</w:t>
      </w:r>
      <w:r w:rsidR="002F1903">
        <w:rPr>
          <w:sz w:val="24"/>
          <w:szCs w:val="24"/>
        </w:rPr>
        <w:t>ī</w:t>
      </w:r>
      <w:r w:rsidRPr="009B5324">
        <w:rPr>
          <w:sz w:val="24"/>
          <w:szCs w:val="24"/>
        </w:rPr>
        <w:t xml:space="preserve">. </w:t>
      </w:r>
      <w:r w:rsidRPr="009B5324">
        <w:rPr>
          <w:i/>
          <w:iCs/>
          <w:sz w:val="24"/>
          <w:szCs w:val="24"/>
        </w:rPr>
        <w:t>De Radiis</w:t>
      </w:r>
      <w:r w:rsidRPr="009B5324">
        <w:rPr>
          <w:sz w:val="24"/>
          <w:szCs w:val="24"/>
        </w:rPr>
        <w:t>, edited by Thérèse d’Alverny and Françoise Hudry, 139-260 [Archives d’histoire doctrinale et littéraire du Moyen Age]. Paris: Librairie Philosophique J. Vrin, 1975</w:t>
      </w:r>
    </w:p>
    <w:p w14:paraId="71645709"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Aristotle. </w:t>
      </w:r>
      <w:r w:rsidRPr="009B5324">
        <w:rPr>
          <w:i/>
          <w:iCs/>
          <w:sz w:val="24"/>
          <w:szCs w:val="24"/>
        </w:rPr>
        <w:t>De insomniis et De divinatione per somnum</w:t>
      </w:r>
      <w:r w:rsidRPr="009B5324">
        <w:rPr>
          <w:sz w:val="24"/>
          <w:szCs w:val="24"/>
        </w:rPr>
        <w:t>, ed. by Drossaart Lulofs. Leiden: Brill, 1947</w:t>
      </w:r>
    </w:p>
    <w:p w14:paraId="316BE590"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Artemidorus Daldianus. </w:t>
      </w:r>
      <w:r w:rsidRPr="009B5324">
        <w:rPr>
          <w:i/>
          <w:iCs/>
          <w:sz w:val="24"/>
          <w:szCs w:val="24"/>
        </w:rPr>
        <w:t>Libro dei sogni</w:t>
      </w:r>
      <w:r w:rsidRPr="009B5324">
        <w:rPr>
          <w:sz w:val="24"/>
          <w:szCs w:val="24"/>
        </w:rPr>
        <w:t>, edited by Dario Del Corno. Milan: Adelphi Edizioni, 1975</w:t>
      </w:r>
    </w:p>
    <w:p w14:paraId="1352915E" w14:textId="77777777" w:rsidR="009B5324" w:rsidRPr="009B5324" w:rsidRDefault="009B5324" w:rsidP="00FD030E">
      <w:pPr>
        <w:spacing w:line="240" w:lineRule="atLeast"/>
        <w:ind w:left="709" w:hanging="709"/>
      </w:pPr>
      <w:r w:rsidRPr="009B5324">
        <w:t xml:space="preserve">Avicenna Latinus. </w:t>
      </w:r>
      <w:r w:rsidRPr="009B5324">
        <w:rPr>
          <w:i/>
          <w:iCs/>
        </w:rPr>
        <w:t>Liber de anima seu sextus de naturalibus</w:t>
      </w:r>
      <w:r w:rsidRPr="009B5324">
        <w:t>, edited by S. van Riet. Louvain: Éditions Peeters, 1972</w:t>
      </w:r>
    </w:p>
    <w:p w14:paraId="619F84A2" w14:textId="2981F8E7" w:rsidR="009B5324" w:rsidRPr="009B5324" w:rsidRDefault="009B5324" w:rsidP="00FD030E">
      <w:pPr>
        <w:pStyle w:val="FootnoteText"/>
        <w:spacing w:line="240" w:lineRule="atLeast"/>
        <w:ind w:left="709" w:hanging="709"/>
        <w:rPr>
          <w:sz w:val="24"/>
          <w:szCs w:val="24"/>
          <w:lang w:val="fr-FR"/>
        </w:rPr>
      </w:pPr>
      <w:r w:rsidRPr="009B5324">
        <w:rPr>
          <w:sz w:val="24"/>
          <w:szCs w:val="24"/>
          <w:lang w:val="fr-FR"/>
        </w:rPr>
        <w:t xml:space="preserve">Bartholomew Cocles, </w:t>
      </w:r>
      <w:r w:rsidRPr="009B5324">
        <w:rPr>
          <w:i/>
          <w:iCs/>
          <w:sz w:val="24"/>
          <w:szCs w:val="24"/>
          <w:lang w:val="fr-FR"/>
        </w:rPr>
        <w:t>La Geomantia di Bartholomeo Cocle, filosofo integerrimo; nuovissimamente tr</w:t>
      </w:r>
      <w:r w:rsidR="00394646">
        <w:rPr>
          <w:i/>
          <w:iCs/>
          <w:sz w:val="24"/>
          <w:szCs w:val="24"/>
          <w:lang w:val="fr-FR"/>
        </w:rPr>
        <w:t>ado</w:t>
      </w:r>
      <w:r w:rsidR="00F622DC">
        <w:rPr>
          <w:i/>
          <w:iCs/>
          <w:sz w:val="24"/>
          <w:szCs w:val="24"/>
          <w:lang w:val="fr-FR"/>
        </w:rPr>
        <w:t>t</w:t>
      </w:r>
      <w:r w:rsidRPr="009B5324">
        <w:rPr>
          <w:i/>
          <w:iCs/>
          <w:sz w:val="24"/>
          <w:szCs w:val="24"/>
          <w:lang w:val="fr-FR"/>
        </w:rPr>
        <w:t>ta , et ancho data in luce</w:t>
      </w:r>
      <w:r w:rsidRPr="009B5324">
        <w:rPr>
          <w:sz w:val="24"/>
          <w:szCs w:val="24"/>
          <w:lang w:val="fr-FR"/>
        </w:rPr>
        <w:t>. Venice: Giouita Rapirio, 1550</w:t>
      </w:r>
    </w:p>
    <w:p w14:paraId="3FB0319D" w14:textId="77777777" w:rsidR="009B5324" w:rsidRPr="009B5324" w:rsidRDefault="009B5324" w:rsidP="00FD030E">
      <w:pPr>
        <w:pStyle w:val="FootnoteText"/>
        <w:spacing w:line="240" w:lineRule="atLeast"/>
        <w:ind w:left="709" w:hanging="709"/>
        <w:rPr>
          <w:sz w:val="24"/>
          <w:szCs w:val="24"/>
          <w:lang w:val="fr-FR"/>
        </w:rPr>
      </w:pPr>
      <w:r w:rsidRPr="009B5324">
        <w:rPr>
          <w:sz w:val="24"/>
          <w:szCs w:val="24"/>
        </w:rPr>
        <w:t xml:space="preserve">Bonaventura from Bagnoregio. </w:t>
      </w:r>
      <w:r w:rsidRPr="009B5324">
        <w:rPr>
          <w:i/>
          <w:iCs/>
          <w:sz w:val="24"/>
          <w:szCs w:val="24"/>
        </w:rPr>
        <w:t>Collationes in Hexäemeron,</w:t>
      </w:r>
      <w:r w:rsidRPr="009B5324">
        <w:rPr>
          <w:sz w:val="24"/>
          <w:szCs w:val="24"/>
        </w:rPr>
        <w:t xml:space="preserve"> [Doctoris Seraphici S. Bonaventurae Opera Omnia, 5]. Florence, Claras Aquas: studio et cura PP. </w:t>
      </w:r>
      <w:r w:rsidRPr="009B5324">
        <w:rPr>
          <w:sz w:val="24"/>
          <w:szCs w:val="24"/>
          <w:lang w:val="fr-FR"/>
        </w:rPr>
        <w:t>Collegii a S. Bonaventura, 1891</w:t>
      </w:r>
    </w:p>
    <w:p w14:paraId="656C2A0D" w14:textId="77777777" w:rsidR="009B5324" w:rsidRPr="009B5324" w:rsidRDefault="009B5324" w:rsidP="00FD030E">
      <w:pPr>
        <w:pStyle w:val="FootnoteText"/>
        <w:spacing w:line="240" w:lineRule="atLeast"/>
        <w:ind w:left="709" w:hanging="709"/>
        <w:rPr>
          <w:sz w:val="24"/>
          <w:szCs w:val="24"/>
          <w:lang w:val="fr-FR"/>
        </w:rPr>
      </w:pPr>
      <w:r w:rsidRPr="009B5324">
        <w:rPr>
          <w:sz w:val="24"/>
          <w:szCs w:val="24"/>
          <w:lang w:val="fr-FR"/>
        </w:rPr>
        <w:t xml:space="preserve">Cristophe de Cattan. </w:t>
      </w:r>
      <w:r w:rsidRPr="009B5324">
        <w:rPr>
          <w:i/>
          <w:iCs/>
          <w:sz w:val="24"/>
          <w:szCs w:val="24"/>
          <w:lang w:val="fr-FR"/>
        </w:rPr>
        <w:t>La geomancie du seigneur Cristofe de Cattan, gentilhomme Geneuoys</w:t>
      </w:r>
      <w:r w:rsidRPr="009B5324">
        <w:rPr>
          <w:sz w:val="24"/>
          <w:szCs w:val="24"/>
          <w:lang w:val="fr-FR"/>
        </w:rPr>
        <w:t>, edited by Gabriel Duprėau. Paris: par Gilles Gilles, Libraire demeurant à la rue S. Iaques, à la Concorde, 1558</w:t>
      </w:r>
    </w:p>
    <w:p w14:paraId="019622A6" w14:textId="77777777" w:rsidR="009B5324" w:rsidRPr="009B5324" w:rsidRDefault="009B5324" w:rsidP="00FD030E">
      <w:pPr>
        <w:pStyle w:val="FootnoteText"/>
        <w:spacing w:line="240" w:lineRule="atLeast"/>
        <w:ind w:left="709" w:hanging="709"/>
        <w:rPr>
          <w:sz w:val="24"/>
          <w:szCs w:val="24"/>
          <w:lang w:val="fr-FR"/>
        </w:rPr>
      </w:pPr>
      <w:r w:rsidRPr="009B5324">
        <w:rPr>
          <w:sz w:val="24"/>
          <w:szCs w:val="24"/>
          <w:lang w:val="fr-FR"/>
        </w:rPr>
        <w:t xml:space="preserve">Cristophe de Cattan. </w:t>
      </w:r>
      <w:r w:rsidRPr="009B5324">
        <w:rPr>
          <w:i/>
          <w:iCs/>
          <w:sz w:val="24"/>
          <w:szCs w:val="24"/>
          <w:lang w:val="fr-FR"/>
        </w:rPr>
        <w:t>The Geomancie of Maister Christopher Cattan, Gentleman. A book no lesse pleasant and recreatiue, then of a wittie inuention, to knowe all things, past, present, and to come. Translated out of French into our English tongue</w:t>
      </w:r>
      <w:r w:rsidRPr="009B5324">
        <w:rPr>
          <w:sz w:val="24"/>
          <w:szCs w:val="24"/>
          <w:lang w:val="fr-FR"/>
        </w:rPr>
        <w:t>. London: Printed by John Wolfe, 1591</w:t>
      </w:r>
    </w:p>
    <w:p w14:paraId="77BBD952"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Dante Alighieri. </w:t>
      </w:r>
      <w:r w:rsidRPr="009B5324">
        <w:rPr>
          <w:i/>
          <w:iCs/>
          <w:sz w:val="24"/>
          <w:szCs w:val="24"/>
        </w:rPr>
        <w:t>La Commedia secondo l’antica vulgata</w:t>
      </w:r>
      <w:r w:rsidRPr="009B5324">
        <w:rPr>
          <w:sz w:val="24"/>
          <w:szCs w:val="24"/>
        </w:rPr>
        <w:t>, edited by Giorgio Petrocchi. Milan: Mondadori, 1967</w:t>
      </w:r>
    </w:p>
    <w:p w14:paraId="7C8D26A2" w14:textId="77777777" w:rsidR="009B5324" w:rsidRPr="009B5324" w:rsidRDefault="009B5324" w:rsidP="00FD030E">
      <w:pPr>
        <w:spacing w:line="240" w:lineRule="atLeast"/>
        <w:ind w:left="709" w:hanging="709"/>
        <w:rPr>
          <w:lang w:val="it-IT"/>
        </w:rPr>
      </w:pPr>
      <w:r w:rsidRPr="009B5324">
        <w:rPr>
          <w:lang w:val="it-IT"/>
        </w:rPr>
        <w:t xml:space="preserve">Dominicus Gundissalinus. </w:t>
      </w:r>
      <w:r w:rsidRPr="00EA5EBD">
        <w:rPr>
          <w:i/>
          <w:iCs/>
          <w:lang w:val="it-IT"/>
        </w:rPr>
        <w:t>D</w:t>
      </w:r>
      <w:r w:rsidRPr="009B5324">
        <w:rPr>
          <w:i/>
          <w:iCs/>
          <w:lang w:val="it-IT"/>
        </w:rPr>
        <w:t>e divisione philosophiae (Über die Einteilung der Philosophie)</w:t>
      </w:r>
      <w:r w:rsidRPr="009B5324">
        <w:rPr>
          <w:lang w:val="it-IT"/>
        </w:rPr>
        <w:t>, edited by Alexander Fidora and Dorothée Werner (Freiburg: Herder,2007),</w:t>
      </w:r>
    </w:p>
    <w:p w14:paraId="4E10065E" w14:textId="77777777" w:rsidR="009B5324" w:rsidRPr="009B5324" w:rsidRDefault="009B5324" w:rsidP="00FD030E">
      <w:pPr>
        <w:pStyle w:val="FootnoteText"/>
        <w:spacing w:line="240" w:lineRule="atLeast"/>
        <w:ind w:left="709" w:hanging="709"/>
        <w:rPr>
          <w:sz w:val="24"/>
          <w:szCs w:val="24"/>
        </w:rPr>
      </w:pPr>
      <w:bookmarkStart w:id="155" w:name="_Hlk150528102"/>
      <w:r w:rsidRPr="00FC0F00">
        <w:rPr>
          <w:i/>
          <w:iCs/>
          <w:sz w:val="24"/>
          <w:szCs w:val="24"/>
        </w:rPr>
        <w:t>Elias Ashmole</w:t>
      </w:r>
      <w:r w:rsidRPr="009B5324">
        <w:rPr>
          <w:i/>
          <w:iCs/>
          <w:sz w:val="24"/>
          <w:szCs w:val="24"/>
        </w:rPr>
        <w:t xml:space="preserve"> (1617–1692). His Autobiographical and Historical Notes, his Correspondence, and Other Contemporary Sources Relating to his Life and Worked</w:t>
      </w:r>
      <w:bookmarkEnd w:id="155"/>
      <w:r w:rsidRPr="009B5324">
        <w:rPr>
          <w:sz w:val="24"/>
          <w:szCs w:val="24"/>
        </w:rPr>
        <w:t>, edited by C. H. Josten. Oxford, Clarendon Press, 1966</w:t>
      </w:r>
    </w:p>
    <w:p w14:paraId="57D1252E" w14:textId="77777777" w:rsidR="009B5324" w:rsidRPr="009B5324" w:rsidRDefault="009B5324" w:rsidP="00FD030E">
      <w:pPr>
        <w:spacing w:line="240" w:lineRule="atLeast"/>
        <w:ind w:left="709" w:hanging="709"/>
        <w:rPr>
          <w:lang w:val="it-IT"/>
        </w:rPr>
      </w:pPr>
      <w:r w:rsidRPr="009B5324">
        <w:rPr>
          <w:i/>
          <w:iCs/>
          <w:lang w:val="it-IT"/>
        </w:rPr>
        <w:t xml:space="preserve">Fasciculus geomanticus: in quo varia variorum opera geomantica continentur. Opus maximè curiosum, à multis hactenus desideratum / nunc verò magno studio correctum &amp; ex parte iam prima vice editum. </w:t>
      </w:r>
      <w:r w:rsidRPr="009B5324">
        <w:rPr>
          <w:lang w:val="it-IT"/>
        </w:rPr>
        <w:t>Verona: 1687</w:t>
      </w:r>
    </w:p>
    <w:p w14:paraId="0D8C382C" w14:textId="77777777" w:rsidR="009B5324" w:rsidRPr="009B5324" w:rsidRDefault="009B5324" w:rsidP="00FD030E">
      <w:pPr>
        <w:spacing w:line="240" w:lineRule="atLeast"/>
        <w:ind w:left="709" w:hanging="709"/>
      </w:pPr>
      <w:r w:rsidRPr="009B5324">
        <w:t xml:space="preserve">Geoffrey Chaucer. </w:t>
      </w:r>
      <w:r w:rsidRPr="009B5324">
        <w:rPr>
          <w:i/>
          <w:iCs/>
        </w:rPr>
        <w:t>The Book of Troilus and Criseyde</w:t>
      </w:r>
      <w:r w:rsidRPr="009B5324">
        <w:t xml:space="preserve">, edited by Robert Kilburn Root. </w:t>
      </w:r>
      <w:r w:rsidRPr="009B5324">
        <w:tab/>
        <w:t>Princeton: Princeton University Press, 1926.</w:t>
      </w:r>
    </w:p>
    <w:p w14:paraId="57539705" w14:textId="77777777" w:rsidR="009B5324" w:rsidRPr="009B5324" w:rsidRDefault="009B5324" w:rsidP="00FD030E">
      <w:pPr>
        <w:spacing w:line="240" w:lineRule="atLeast"/>
        <w:ind w:left="709" w:hanging="709"/>
      </w:pPr>
      <w:r w:rsidRPr="009B5324">
        <w:t xml:space="preserve">Geoffrey Chaucer. </w:t>
      </w:r>
      <w:r w:rsidRPr="009B5324">
        <w:rPr>
          <w:i/>
          <w:iCs/>
        </w:rPr>
        <w:t>The Canterbury Tales.</w:t>
      </w:r>
      <w:r w:rsidRPr="009B5324">
        <w:t xml:space="preserve"> Translation into Modern English by Nevill Coghill. London: Folio Society, 1956-57.</w:t>
      </w:r>
    </w:p>
    <w:p w14:paraId="3CD58D02" w14:textId="77777777" w:rsidR="009B5324" w:rsidRPr="009B5324" w:rsidRDefault="009B5324" w:rsidP="00FD030E">
      <w:pPr>
        <w:spacing w:line="240" w:lineRule="atLeast"/>
        <w:ind w:left="709" w:hanging="709"/>
      </w:pPr>
      <w:r w:rsidRPr="009B5324">
        <w:t xml:space="preserve">Geoffrey Chaucer. </w:t>
      </w:r>
      <w:r w:rsidRPr="009B5324">
        <w:rPr>
          <w:i/>
          <w:iCs/>
        </w:rPr>
        <w:t>The Complete Works of Geoffrey Chaucer, Edited from Numerous Manuscripts,</w:t>
      </w:r>
      <w:r w:rsidRPr="009B5324">
        <w:t xml:space="preserve"> II, edited by Walter W. Skeat. Oxford: Clarendon Press, 1894</w:t>
      </w:r>
    </w:p>
    <w:p w14:paraId="678F58AC" w14:textId="77777777" w:rsidR="009B5324" w:rsidRPr="009B5324" w:rsidRDefault="009B5324" w:rsidP="00FD030E">
      <w:pPr>
        <w:spacing w:line="240" w:lineRule="atLeast"/>
        <w:ind w:left="709" w:hanging="709"/>
      </w:pPr>
      <w:r w:rsidRPr="009B5324">
        <w:t xml:space="preserve">Gerard of Cremona. </w:t>
      </w:r>
      <w:r w:rsidRPr="009B5324">
        <w:rPr>
          <w:i/>
          <w:iCs/>
        </w:rPr>
        <w:t>Gerardi Cremonensis geomantiae astronomicae libellus</w:t>
      </w:r>
      <w:r w:rsidRPr="009B5324">
        <w:t xml:space="preserve">. In </w:t>
      </w:r>
      <w:r w:rsidRPr="009B5324">
        <w:rPr>
          <w:i/>
          <w:iCs/>
        </w:rPr>
        <w:t>Henricii Cornelii Agrippae ab Nettesheym, Armatae militiae equitis aurati, et iuris utriusque ac Medicinae Doctoris, Opera</w:t>
      </w:r>
      <w:r w:rsidRPr="009B5324">
        <w:t>, vol. I, 559-573. Lugduni, Per Beringos Fratres, 1630 (?)</w:t>
      </w:r>
    </w:p>
    <w:p w14:paraId="01499B40" w14:textId="77777777" w:rsidR="009B5324" w:rsidRPr="009B5324" w:rsidRDefault="009B5324" w:rsidP="00FD030E">
      <w:pPr>
        <w:spacing w:line="240" w:lineRule="atLeast"/>
        <w:ind w:left="709" w:hanging="709"/>
      </w:pPr>
      <w:r w:rsidRPr="009B5324">
        <w:t>Gerard of Cremona. O</w:t>
      </w:r>
      <w:r w:rsidRPr="009B5324">
        <w:rPr>
          <w:i/>
          <w:iCs/>
        </w:rPr>
        <w:t>f Astrological Geomancy</w:t>
      </w:r>
      <w:r w:rsidRPr="009B5324">
        <w:t xml:space="preserve">. In Henry Cornelius Agrippa, </w:t>
      </w:r>
      <w:r w:rsidRPr="009B5324">
        <w:rPr>
          <w:i/>
          <w:iCs/>
        </w:rPr>
        <w:t xml:space="preserve">His Fourth Book of Occult Philosophy. Of Geomancy. Magical Elements of Peter de Abano. The Nature of Spirits. Arbatel of Magick, </w:t>
      </w:r>
      <w:r w:rsidRPr="009B5324">
        <w:t>Translated</w:t>
      </w:r>
      <w:r w:rsidRPr="009B5324">
        <w:rPr>
          <w:i/>
          <w:iCs/>
        </w:rPr>
        <w:t xml:space="preserve"> </w:t>
      </w:r>
      <w:r w:rsidRPr="009B5324">
        <w:t xml:space="preserve">by Robert Turner, 155-175. London: Printed by J.C. for John Harrison, at the Lamb at the East-end of Pauls, 1655 </w:t>
      </w:r>
    </w:p>
    <w:p w14:paraId="7FD594C7" w14:textId="1C02DCA9" w:rsidR="009B5324" w:rsidRPr="009B5324" w:rsidRDefault="009B5324" w:rsidP="00FD030E">
      <w:pPr>
        <w:pStyle w:val="FootnoteText"/>
        <w:spacing w:line="240" w:lineRule="atLeast"/>
        <w:ind w:left="709" w:hanging="709"/>
        <w:rPr>
          <w:sz w:val="24"/>
          <w:szCs w:val="24"/>
          <w:lang w:val="fr-FR"/>
        </w:rPr>
      </w:pPr>
      <w:r w:rsidRPr="009B5324">
        <w:rPr>
          <w:sz w:val="24"/>
          <w:szCs w:val="24"/>
          <w:lang w:val="fr-FR"/>
        </w:rPr>
        <w:t xml:space="preserve">Giovanni Geber. </w:t>
      </w:r>
      <w:r w:rsidRPr="009B5324">
        <w:rPr>
          <w:i/>
          <w:iCs/>
          <w:sz w:val="24"/>
          <w:szCs w:val="24"/>
          <w:lang w:val="fr-FR"/>
        </w:rPr>
        <w:t>De la Geomantia dell’eccel. Filosofo Gioanni Geber: Parte prima. Con una brevissima Chiromantica Phisionomia. Nouamente, dal nobil huomo M. Gnosio Piceno, Ascolano, tra</w:t>
      </w:r>
      <w:r w:rsidR="00F622DC">
        <w:rPr>
          <w:i/>
          <w:iCs/>
          <w:sz w:val="24"/>
          <w:szCs w:val="24"/>
          <w:lang w:val="fr-FR"/>
        </w:rPr>
        <w:t>point</w:t>
      </w:r>
      <w:r w:rsidRPr="009B5324">
        <w:rPr>
          <w:i/>
          <w:iCs/>
          <w:sz w:val="24"/>
          <w:szCs w:val="24"/>
          <w:lang w:val="fr-FR"/>
        </w:rPr>
        <w:t>ti: e pur hora dati in luce</w:t>
      </w:r>
      <w:r w:rsidRPr="009B5324">
        <w:rPr>
          <w:sz w:val="24"/>
          <w:szCs w:val="24"/>
          <w:lang w:val="fr-FR"/>
        </w:rPr>
        <w:t>. Venice: Giouita Rapirio, 1552</w:t>
      </w:r>
    </w:p>
    <w:p w14:paraId="3FB98EC7" w14:textId="77777777" w:rsidR="009B5324" w:rsidRPr="009B5324" w:rsidRDefault="009B5324" w:rsidP="00FD030E">
      <w:pPr>
        <w:pStyle w:val="FootnoteText"/>
        <w:spacing w:line="240" w:lineRule="atLeast"/>
        <w:ind w:left="709" w:hanging="709"/>
        <w:rPr>
          <w:sz w:val="24"/>
          <w:szCs w:val="24"/>
          <w:lang w:val="fr-FR"/>
        </w:rPr>
      </w:pPr>
      <w:r w:rsidRPr="009B5324">
        <w:rPr>
          <w:i/>
          <w:iCs/>
          <w:sz w:val="24"/>
          <w:szCs w:val="24"/>
          <w:lang w:val="fr-FR"/>
        </w:rPr>
        <w:t>Henrici Cornelii Agrippa geomanticam disciplinam lectura</w:t>
      </w:r>
      <w:r w:rsidRPr="009B5324">
        <w:rPr>
          <w:sz w:val="24"/>
          <w:szCs w:val="24"/>
          <w:lang w:val="fr-FR"/>
        </w:rPr>
        <w:t xml:space="preserve">. In </w:t>
      </w:r>
      <w:r w:rsidRPr="009B5324">
        <w:rPr>
          <w:i/>
          <w:iCs/>
          <w:sz w:val="24"/>
          <w:szCs w:val="24"/>
          <w:lang w:val="fr-FR"/>
        </w:rPr>
        <w:t>Opera</w:t>
      </w:r>
      <w:r w:rsidRPr="009B5324">
        <w:rPr>
          <w:sz w:val="24"/>
          <w:szCs w:val="24"/>
          <w:lang w:val="fr-FR"/>
        </w:rPr>
        <w:t xml:space="preserve"> v. I, 405-425. Lyon: Beringos Fratres, 1630 (?)</w:t>
      </w:r>
    </w:p>
    <w:p w14:paraId="4CA750AB" w14:textId="77777777" w:rsidR="009B5324" w:rsidRPr="009B5324" w:rsidRDefault="009B5324" w:rsidP="00FD030E">
      <w:pPr>
        <w:spacing w:line="240" w:lineRule="atLeast"/>
        <w:ind w:left="709" w:hanging="709"/>
      </w:pPr>
      <w:r w:rsidRPr="009B5324">
        <w:t xml:space="preserve">Henricus de Pisis. </w:t>
      </w:r>
      <w:r w:rsidRPr="009B5324">
        <w:rPr>
          <w:i/>
          <w:iCs/>
        </w:rPr>
        <w:t xml:space="preserve">Opus Geomantiae completum in libros tres divisum. </w:t>
      </w:r>
      <w:r w:rsidRPr="009B5324">
        <w:t>Lyon: Apud Ioan. Ant. Huguetan 1638</w:t>
      </w:r>
    </w:p>
    <w:p w14:paraId="49CE8AEF" w14:textId="77777777" w:rsidR="009B5324" w:rsidRPr="009B5324" w:rsidRDefault="009B5324" w:rsidP="00FD030E">
      <w:pPr>
        <w:spacing w:line="240" w:lineRule="atLeast"/>
        <w:ind w:left="709" w:hanging="709"/>
        <w:rPr>
          <w:color w:val="241F20"/>
          <w:shd w:val="clear" w:color="auto" w:fill="FFFFFF"/>
        </w:rPr>
      </w:pPr>
      <w:r w:rsidRPr="009B5324">
        <w:t xml:space="preserve">Hugh of Saint Victor. </w:t>
      </w:r>
      <w:r w:rsidRPr="009B5324">
        <w:rPr>
          <w:i/>
          <w:iCs/>
        </w:rPr>
        <w:t>Didascalicon de studio legendi</w:t>
      </w:r>
      <w:r w:rsidRPr="009B5324">
        <w:t>, edited by Charles Henry Buttimer.</w:t>
      </w:r>
      <w:r w:rsidRPr="009B5324">
        <w:rPr>
          <w:color w:val="241F20"/>
          <w:sz w:val="21"/>
          <w:szCs w:val="21"/>
          <w:shd w:val="clear" w:color="auto" w:fill="FFFFFF"/>
        </w:rPr>
        <w:t xml:space="preserve"> </w:t>
      </w:r>
      <w:r w:rsidRPr="009B5324">
        <w:rPr>
          <w:color w:val="241F20"/>
          <w:shd w:val="clear" w:color="auto" w:fill="FFFFFF"/>
        </w:rPr>
        <w:t>Washington, D.C.: Catholic University Press, 1939</w:t>
      </w:r>
    </w:p>
    <w:p w14:paraId="13B4D25C" w14:textId="77777777" w:rsidR="009B5324" w:rsidRPr="009B5324" w:rsidRDefault="009B5324" w:rsidP="00FD030E">
      <w:pPr>
        <w:spacing w:line="240" w:lineRule="atLeast"/>
        <w:ind w:left="709" w:hanging="709"/>
        <w:rPr>
          <w:color w:val="241F20"/>
          <w:shd w:val="clear" w:color="auto" w:fill="FFFFFF"/>
        </w:rPr>
      </w:pPr>
      <w:r w:rsidRPr="009B5324">
        <w:rPr>
          <w:color w:val="241F20"/>
          <w:shd w:val="clear" w:color="auto" w:fill="FFFFFF"/>
        </w:rPr>
        <w:t xml:space="preserve">Hugo Sanctelliensis. </w:t>
      </w:r>
      <w:r w:rsidRPr="009B5324">
        <w:rPr>
          <w:i/>
          <w:iCs/>
          <w:color w:val="241F20"/>
          <w:shd w:val="clear" w:color="auto" w:fill="FFFFFF"/>
        </w:rPr>
        <w:t>Liber Aristotilis</w:t>
      </w:r>
      <w:r w:rsidRPr="009B5324">
        <w:rPr>
          <w:color w:val="241F20"/>
          <w:shd w:val="clear" w:color="auto" w:fill="FFFFFF"/>
        </w:rPr>
        <w:t xml:space="preserve">. In </w:t>
      </w:r>
      <w:r w:rsidRPr="009B5324">
        <w:rPr>
          <w:i/>
          <w:iCs/>
          <w:color w:val="241F20"/>
          <w:shd w:val="clear" w:color="auto" w:fill="FFFFFF"/>
        </w:rPr>
        <w:t>The Liber Aristotilis of Hugo of Santalla</w:t>
      </w:r>
      <w:r w:rsidRPr="009B5324">
        <w:rPr>
          <w:color w:val="241F20"/>
          <w:shd w:val="clear" w:color="auto" w:fill="FFFFFF"/>
        </w:rPr>
        <w:t>, edited by Charles Burnett and David Pingree. London: The Warburg Institute, 1997</w:t>
      </w:r>
    </w:p>
    <w:p w14:paraId="1AF6DD9A" w14:textId="77777777" w:rsidR="009B5324" w:rsidRPr="009B5324" w:rsidRDefault="009B5324" w:rsidP="00FD030E">
      <w:pPr>
        <w:spacing w:line="240" w:lineRule="atLeast"/>
        <w:ind w:left="709" w:hanging="709"/>
        <w:rPr>
          <w:color w:val="241F20"/>
          <w:shd w:val="clear" w:color="auto" w:fill="FFFFFF"/>
        </w:rPr>
      </w:pPr>
      <w:r w:rsidRPr="009B5324">
        <w:rPr>
          <w:color w:val="241F20"/>
          <w:shd w:val="clear" w:color="auto" w:fill="FFFFFF"/>
        </w:rPr>
        <w:t xml:space="preserve">Iacomo della Lana. </w:t>
      </w:r>
      <w:r w:rsidRPr="009B5324">
        <w:rPr>
          <w:i/>
          <w:iCs/>
          <w:color w:val="241F20"/>
          <w:shd w:val="clear" w:color="auto" w:fill="FFFFFF"/>
        </w:rPr>
        <w:t>Commento alla «Commedia»,</w:t>
      </w:r>
      <w:r w:rsidRPr="009B5324">
        <w:rPr>
          <w:color w:val="241F20"/>
          <w:shd w:val="clear" w:color="auto" w:fill="FFFFFF"/>
        </w:rPr>
        <w:t xml:space="preserve"> edited by Mirko Volpi and Arianna Terzi. Rome: Salerno, 2009</w:t>
      </w:r>
    </w:p>
    <w:p w14:paraId="0BA0300B" w14:textId="6BC8077E" w:rsidR="009B5324" w:rsidRPr="009B5324" w:rsidRDefault="009B5324" w:rsidP="00FD030E">
      <w:pPr>
        <w:spacing w:line="240" w:lineRule="atLeast"/>
        <w:ind w:left="709" w:hanging="709"/>
      </w:pPr>
      <w:r w:rsidRPr="009B5324">
        <w:t xml:space="preserve">Ibn </w:t>
      </w:r>
      <w:r w:rsidR="00B95CDD">
        <w:t>Khaldūn</w:t>
      </w:r>
      <w:r w:rsidRPr="009B5324">
        <w:t xml:space="preserve">. </w:t>
      </w:r>
      <w:r w:rsidRPr="009B5324">
        <w:rPr>
          <w:i/>
          <w:iCs/>
        </w:rPr>
        <w:t>The Muqaddimah</w:t>
      </w:r>
      <w:r w:rsidRPr="009B5324">
        <w:t>, edited by Franz Rosenthal. New York: Pantheon Books, 1958</w:t>
      </w:r>
    </w:p>
    <w:p w14:paraId="1B5FDA55" w14:textId="77777777" w:rsidR="009B5324" w:rsidRPr="009B5324" w:rsidRDefault="009B5324" w:rsidP="00FD030E">
      <w:pPr>
        <w:spacing w:line="240" w:lineRule="atLeast"/>
        <w:ind w:left="709" w:hanging="709"/>
      </w:pPr>
      <w:r w:rsidRPr="009B5324">
        <w:t xml:space="preserve">Isidore of Seville. </w:t>
      </w:r>
      <w:r w:rsidRPr="009B5324">
        <w:rPr>
          <w:i/>
          <w:iCs/>
        </w:rPr>
        <w:t>The Etymologies of Isidore of Seville</w:t>
      </w:r>
      <w:r w:rsidRPr="009B5324">
        <w:t>, edited by Stephen A. Barney, W.J. Lewis, J. A. Beach, Oliver Berghof. Cambridge: Cambridge University Press, 2006</w:t>
      </w:r>
    </w:p>
    <w:p w14:paraId="4747BB88" w14:textId="77777777" w:rsidR="009B5324" w:rsidRPr="009B5324" w:rsidRDefault="009B5324" w:rsidP="00FD030E">
      <w:pPr>
        <w:spacing w:line="240" w:lineRule="atLeast"/>
        <w:ind w:left="709" w:hanging="709"/>
      </w:pPr>
      <w:r w:rsidRPr="009B5324">
        <w:t xml:space="preserve">John Heydon. </w:t>
      </w:r>
      <w:r w:rsidRPr="009B5324">
        <w:rPr>
          <w:i/>
          <w:iCs/>
        </w:rPr>
        <w:t>A New Method of Rosie-Crucian Physick.</w:t>
      </w:r>
      <w:r w:rsidRPr="009B5324">
        <w:t xml:space="preserve"> London: Thomas Lock, 1658 </w:t>
      </w:r>
    </w:p>
    <w:p w14:paraId="25F22347" w14:textId="77777777" w:rsidR="009B5324" w:rsidRPr="009B5324" w:rsidRDefault="009B5324" w:rsidP="00FD030E">
      <w:pPr>
        <w:spacing w:line="240" w:lineRule="atLeast"/>
        <w:ind w:left="709" w:hanging="709"/>
      </w:pPr>
      <w:r w:rsidRPr="009B5324">
        <w:t xml:space="preserve">John Heydon. </w:t>
      </w:r>
      <w:r w:rsidRPr="009B5324">
        <w:rPr>
          <w:i/>
          <w:iCs/>
        </w:rPr>
        <w:t>Elhavarevna, or</w:t>
      </w:r>
      <w:r w:rsidRPr="009B5324">
        <w:t xml:space="preserve"> </w:t>
      </w:r>
      <w:r w:rsidRPr="009B5324">
        <w:rPr>
          <w:i/>
          <w:iCs/>
        </w:rPr>
        <w:t>the English Physitians Tutor</w:t>
      </w:r>
      <w:r w:rsidRPr="009B5324">
        <w:t>. London: William Gilbertson, 1665</w:t>
      </w:r>
    </w:p>
    <w:p w14:paraId="55403096" w14:textId="77777777" w:rsidR="009B5324" w:rsidRPr="009B5324" w:rsidRDefault="009B5324" w:rsidP="00FD030E">
      <w:pPr>
        <w:spacing w:line="240" w:lineRule="atLeast"/>
        <w:ind w:left="709" w:hanging="709"/>
      </w:pPr>
      <w:r w:rsidRPr="009B5324">
        <w:t xml:space="preserve">John Heydon. </w:t>
      </w:r>
      <w:r w:rsidRPr="009B5324">
        <w:rPr>
          <w:i/>
          <w:iCs/>
        </w:rPr>
        <w:t>The Harmony of the World.</w:t>
      </w:r>
      <w:r w:rsidRPr="009B5324">
        <w:t xml:space="preserve"> London: Henry Brome, 1662 </w:t>
      </w:r>
    </w:p>
    <w:p w14:paraId="1A94C382" w14:textId="77777777" w:rsidR="009B5324" w:rsidRPr="009B5324" w:rsidRDefault="009B5324" w:rsidP="00FD030E">
      <w:pPr>
        <w:spacing w:line="240" w:lineRule="atLeast"/>
        <w:ind w:left="709" w:hanging="709"/>
      </w:pPr>
      <w:r w:rsidRPr="009B5324">
        <w:t xml:space="preserve">John Heydon. </w:t>
      </w:r>
      <w:r w:rsidRPr="009B5324">
        <w:rPr>
          <w:i/>
          <w:iCs/>
        </w:rPr>
        <w:t>The holy guide, leading the way to unite art and nature</w:t>
      </w:r>
      <w:r w:rsidRPr="009B5324">
        <w:t>. London: T.M. for the author, 1662</w:t>
      </w:r>
    </w:p>
    <w:p w14:paraId="581D23F9" w14:textId="77777777" w:rsidR="009B5324" w:rsidRPr="009B5324" w:rsidRDefault="009B5324" w:rsidP="00FD030E">
      <w:pPr>
        <w:spacing w:line="240" w:lineRule="atLeast"/>
        <w:ind w:left="709" w:hanging="709"/>
      </w:pPr>
      <w:r w:rsidRPr="009B5324">
        <w:t xml:space="preserve">John Heydon. </w:t>
      </w:r>
      <w:r w:rsidRPr="009B5324">
        <w:rPr>
          <w:i/>
          <w:iCs/>
        </w:rPr>
        <w:t>The Rosie Crucian Infallible Axiomata</w:t>
      </w:r>
      <w:r w:rsidRPr="009B5324">
        <w:t>. London: 1660</w:t>
      </w:r>
    </w:p>
    <w:p w14:paraId="70F9E7D0" w14:textId="77777777" w:rsidR="009B5324" w:rsidRPr="009B5324" w:rsidRDefault="009B5324" w:rsidP="00FD030E">
      <w:pPr>
        <w:spacing w:line="240" w:lineRule="atLeast"/>
        <w:ind w:left="709" w:hanging="709"/>
        <w:rPr>
          <w:rFonts w:eastAsia="MS Gothic"/>
        </w:rPr>
      </w:pPr>
      <w:r w:rsidRPr="009B5324">
        <w:t xml:space="preserve">John Heydon. </w:t>
      </w:r>
      <w:r w:rsidRPr="009B5324">
        <w:rPr>
          <w:i/>
          <w:iCs/>
        </w:rPr>
        <w:t>The Wise Man’s Crown, or the Glory of the Rosie-Cross</w:t>
      </w:r>
      <w:r w:rsidRPr="009B5324">
        <w:t>. London: 1664</w:t>
      </w:r>
    </w:p>
    <w:p w14:paraId="3E3F0708" w14:textId="77777777" w:rsidR="009B5324" w:rsidRPr="009B5324" w:rsidRDefault="009B5324" w:rsidP="00FD030E">
      <w:pPr>
        <w:spacing w:line="240" w:lineRule="atLeast"/>
        <w:ind w:left="709" w:hanging="709"/>
      </w:pPr>
      <w:r w:rsidRPr="009B5324">
        <w:t xml:space="preserve">John Heydon. </w:t>
      </w:r>
      <w:r w:rsidRPr="009B5324">
        <w:rPr>
          <w:i/>
          <w:iCs/>
        </w:rPr>
        <w:t>Theomagia</w:t>
      </w:r>
      <w:r w:rsidRPr="009B5324">
        <w:t xml:space="preserve">, or </w:t>
      </w:r>
      <w:r w:rsidRPr="009B5324">
        <w:rPr>
          <w:i/>
          <w:iCs/>
        </w:rPr>
        <w:t>the Temple of Wisdome</w:t>
      </w:r>
      <w:r w:rsidRPr="009B5324">
        <w:t xml:space="preserve">. </w:t>
      </w:r>
      <w:r w:rsidRPr="009B5324">
        <w:rPr>
          <w:i/>
          <w:iCs/>
        </w:rPr>
        <w:t>In Three Parts, Spiritual, Celestial and Elemental.</w:t>
      </w:r>
      <w:r w:rsidRPr="009B5324">
        <w:t xml:space="preserve"> London: </w:t>
      </w:r>
      <w:bookmarkStart w:id="156" w:name="_Hlk150532215"/>
      <w:r w:rsidRPr="009B5324">
        <w:t xml:space="preserve">T.M. for Henry Brome, </w:t>
      </w:r>
      <w:bookmarkEnd w:id="156"/>
      <w:r w:rsidRPr="009B5324">
        <w:t xml:space="preserve">1664 </w:t>
      </w:r>
    </w:p>
    <w:p w14:paraId="12FD8A1D" w14:textId="77777777" w:rsidR="009B5324" w:rsidRPr="009B5324" w:rsidRDefault="009B5324" w:rsidP="00FD030E">
      <w:pPr>
        <w:pStyle w:val="FootnoteText"/>
        <w:spacing w:line="240" w:lineRule="atLeast"/>
        <w:ind w:left="709" w:hanging="709"/>
        <w:rPr>
          <w:sz w:val="24"/>
          <w:szCs w:val="24"/>
          <w:lang w:val="fr-FR"/>
        </w:rPr>
      </w:pPr>
      <w:r w:rsidRPr="009B5324">
        <w:rPr>
          <w:i/>
          <w:iCs/>
          <w:sz w:val="24"/>
          <w:szCs w:val="24"/>
          <w:lang w:val="fr-FR"/>
        </w:rPr>
        <w:t>La Geomance abregee de Iean de la Taille de Bondaroy, Gentil homme de Beauce.</w:t>
      </w:r>
      <w:r w:rsidRPr="009B5324">
        <w:rPr>
          <w:sz w:val="24"/>
          <w:szCs w:val="24"/>
          <w:lang w:val="fr-FR"/>
        </w:rPr>
        <w:t xml:space="preserve"> Paris: Lucas Breyer, 1574</w:t>
      </w:r>
    </w:p>
    <w:p w14:paraId="23A82399" w14:textId="77777777" w:rsidR="009B5324" w:rsidRPr="009B5324" w:rsidRDefault="009B5324" w:rsidP="00FD030E">
      <w:pPr>
        <w:pStyle w:val="FootnoteText"/>
        <w:spacing w:line="240" w:lineRule="atLeast"/>
        <w:ind w:left="709" w:hanging="709"/>
        <w:rPr>
          <w:sz w:val="24"/>
          <w:szCs w:val="24"/>
          <w:lang w:val="fr-FR"/>
        </w:rPr>
      </w:pPr>
      <w:r w:rsidRPr="009B5324">
        <w:rPr>
          <w:i/>
          <w:iCs/>
          <w:sz w:val="24"/>
          <w:szCs w:val="24"/>
          <w:lang w:val="fr-FR"/>
        </w:rPr>
        <w:t>La Geomance par laquelle on peut prevoir, deuiner &amp; predire de toutes choses doubteuses &amp; incertaines, par G. de la Tayssonniere, Gentilhomme Dombois.</w:t>
      </w:r>
      <w:r w:rsidRPr="009B5324">
        <w:rPr>
          <w:sz w:val="24"/>
          <w:szCs w:val="24"/>
          <w:lang w:val="fr-FR"/>
        </w:rPr>
        <w:t xml:space="preserve"> Lyon: Benois Rigaud, 1575</w:t>
      </w:r>
    </w:p>
    <w:p w14:paraId="046A6CBE" w14:textId="77777777" w:rsidR="009B5324" w:rsidRPr="009B5324" w:rsidRDefault="009B5324" w:rsidP="00FD030E">
      <w:pPr>
        <w:pStyle w:val="FootnoteText"/>
        <w:spacing w:line="240" w:lineRule="atLeast"/>
        <w:ind w:left="709" w:hanging="709"/>
        <w:rPr>
          <w:sz w:val="24"/>
          <w:szCs w:val="24"/>
          <w:lang w:val="fr-FR"/>
        </w:rPr>
      </w:pPr>
      <w:r w:rsidRPr="009B5324">
        <w:rPr>
          <w:i/>
          <w:iCs/>
          <w:sz w:val="24"/>
          <w:szCs w:val="24"/>
          <w:lang w:val="fr-FR"/>
        </w:rPr>
        <w:t>Le Nouveau Miroir de la Fortuneou Abregé de la Geomance, pour la recréation des Personnes curieuses de cette Science. par Monsieur Colonne</w:t>
      </w:r>
      <w:r w:rsidRPr="009B5324">
        <w:rPr>
          <w:sz w:val="24"/>
          <w:szCs w:val="24"/>
          <w:lang w:val="fr-FR"/>
        </w:rPr>
        <w:t>. Paris: Andre’ Cailleau, 1726</w:t>
      </w:r>
    </w:p>
    <w:p w14:paraId="01DA656E" w14:textId="77777777" w:rsidR="009B5324" w:rsidRPr="009B5324" w:rsidRDefault="009B5324" w:rsidP="00FD030E">
      <w:pPr>
        <w:spacing w:line="240" w:lineRule="atLeast"/>
        <w:ind w:left="851" w:hanging="851"/>
        <w:rPr>
          <w:lang w:val="fr-FR"/>
        </w:rPr>
      </w:pPr>
      <w:r w:rsidRPr="009B5324">
        <w:t xml:space="preserve"> </w:t>
      </w:r>
      <w:r w:rsidRPr="009B5324">
        <w:rPr>
          <w:i/>
          <w:iCs/>
        </w:rPr>
        <w:t>Lectura Geomantiae</w:t>
      </w:r>
      <w:r w:rsidRPr="009B5324">
        <w:t xml:space="preserve">. In </w:t>
      </w:r>
      <w:r w:rsidRPr="009B5324">
        <w:rPr>
          <w:i/>
          <w:iCs/>
        </w:rPr>
        <w:t xml:space="preserve">Hermetis Trismegisti Astrologica et Divinatoria. </w:t>
      </w:r>
      <w:r w:rsidRPr="009B5324">
        <w:rPr>
          <w:i/>
          <w:iCs/>
          <w:lang w:val="fr-FR"/>
        </w:rPr>
        <w:t>Corpus Christianorum Continuation Mediaevalis, CXLIV C</w:t>
      </w:r>
      <w:r w:rsidRPr="009B5324">
        <w:rPr>
          <w:lang w:val="fr-FR"/>
        </w:rPr>
        <w:t xml:space="preserve">, edited by </w:t>
      </w:r>
      <w:r w:rsidRPr="009B5324">
        <w:t xml:space="preserve">Thérèse Charmasson, </w:t>
      </w:r>
      <w:r w:rsidRPr="009B5324">
        <w:rPr>
          <w:lang w:val="fr-FR"/>
        </w:rPr>
        <w:t>349-397. Turnhout: Brepols, 2001</w:t>
      </w:r>
    </w:p>
    <w:p w14:paraId="3271ED7A" w14:textId="77777777" w:rsidR="009B5324" w:rsidRPr="009B5324" w:rsidRDefault="009B5324" w:rsidP="00FD030E">
      <w:pPr>
        <w:spacing w:line="240" w:lineRule="atLeast"/>
        <w:ind w:left="851" w:hanging="851"/>
        <w:rPr>
          <w:lang w:val="fr-FR"/>
        </w:rPr>
      </w:pPr>
      <w:r w:rsidRPr="009B5324">
        <w:rPr>
          <w:lang w:val="fr-FR"/>
        </w:rPr>
        <w:t xml:space="preserve">Māshā’allāh. </w:t>
      </w:r>
      <w:r w:rsidRPr="009B5324">
        <w:rPr>
          <w:i/>
          <w:iCs/>
          <w:lang w:val="fr-FR"/>
        </w:rPr>
        <w:t>De cogitationibus secundum Messahalam</w:t>
      </w:r>
      <w:r w:rsidRPr="009B5324">
        <w:rPr>
          <w:lang w:val="fr-FR"/>
        </w:rPr>
        <w:t>,  edited by Joachimus Hellerus. Nürnberg: Johannes Montanus et Ulricus Neuberus, 1549</w:t>
      </w:r>
    </w:p>
    <w:p w14:paraId="57B023DC" w14:textId="77777777" w:rsidR="009B5324" w:rsidRPr="009B5324" w:rsidRDefault="009B5324" w:rsidP="00FD030E">
      <w:pPr>
        <w:spacing w:line="240" w:lineRule="atLeast"/>
        <w:ind w:left="851" w:hanging="851"/>
        <w:rPr>
          <w:lang w:val="fr-FR"/>
        </w:rPr>
      </w:pPr>
      <w:r w:rsidRPr="009B5324">
        <w:rPr>
          <w:lang w:val="fr-FR"/>
        </w:rPr>
        <w:t xml:space="preserve">Māshā’allāh. </w:t>
      </w:r>
      <w:r w:rsidRPr="009B5324">
        <w:rPr>
          <w:i/>
          <w:iCs/>
          <w:lang w:val="fr-FR"/>
        </w:rPr>
        <w:t>Liber de occultis</w:t>
      </w:r>
      <w:r w:rsidRPr="009B5324">
        <w:rPr>
          <w:lang w:val="fr-FR"/>
        </w:rPr>
        <w:t xml:space="preserve">. In </w:t>
      </w:r>
      <w:r w:rsidRPr="009B5324">
        <w:rPr>
          <w:i/>
          <w:iCs/>
          <w:lang w:val="fr-FR"/>
        </w:rPr>
        <w:t>Works of Sahl &amp; Māshā’allāh</w:t>
      </w:r>
      <w:r w:rsidRPr="009B5324">
        <w:rPr>
          <w:lang w:val="fr-FR"/>
        </w:rPr>
        <w:t>, translated by Benjamin N. Dykes. Golden Valley, Minnesota: The Cazimi Press, 2008</w:t>
      </w:r>
    </w:p>
    <w:p w14:paraId="1B5C84CB"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Michael Meier. </w:t>
      </w:r>
      <w:r w:rsidRPr="009B5324">
        <w:rPr>
          <w:i/>
          <w:iCs/>
          <w:sz w:val="24"/>
          <w:szCs w:val="24"/>
        </w:rPr>
        <w:t>Themis Aurea, hoc est, de Legibus Fraternitatis R. C. tractatus, quo earum cum rei veritate convenientia, utilitas publica et privata, nec non causa necessaria, evoluntur et demonstrantur.</w:t>
      </w:r>
      <w:r w:rsidRPr="009B5324">
        <w:rPr>
          <w:sz w:val="24"/>
          <w:szCs w:val="24"/>
        </w:rPr>
        <w:t xml:space="preserve"> Frankfurt: Nicolao Hoffman, 1618</w:t>
      </w:r>
    </w:p>
    <w:p w14:paraId="475F195E" w14:textId="77777777" w:rsidR="009B5324" w:rsidRPr="009B5324" w:rsidRDefault="009B5324" w:rsidP="00FD030E">
      <w:pPr>
        <w:spacing w:line="240" w:lineRule="atLeast"/>
        <w:ind w:left="709" w:hanging="709"/>
      </w:pPr>
      <w:r w:rsidRPr="009B5324">
        <w:t xml:space="preserve">Michael Scot. </w:t>
      </w:r>
      <w:r w:rsidRPr="009B5324">
        <w:rPr>
          <w:i/>
          <w:iCs/>
        </w:rPr>
        <w:t>Liber particularis, Liber physionomie</w:t>
      </w:r>
      <w:r w:rsidRPr="009B5324">
        <w:t>, edited by Oleg Voskoboynikov. Florence: Sismel - Edizioni del Galluzzo, 2019</w:t>
      </w:r>
    </w:p>
    <w:p w14:paraId="265CF8C7" w14:textId="77777777" w:rsidR="009B5324" w:rsidRPr="009B5324" w:rsidRDefault="009B5324" w:rsidP="00FD030E">
      <w:pPr>
        <w:spacing w:line="240" w:lineRule="atLeast"/>
        <w:ind w:left="709" w:hanging="709"/>
      </w:pPr>
      <w:r w:rsidRPr="009B5324">
        <w:t xml:space="preserve">Nicole Oresme. </w:t>
      </w:r>
      <w:r w:rsidRPr="009B5324">
        <w:rPr>
          <w:i/>
          <w:iCs/>
        </w:rPr>
        <w:t>Contro la Divinazione. Consigli astrologici al re di Francia (1356)</w:t>
      </w:r>
      <w:r w:rsidRPr="009B5324">
        <w:t>, edited by Stefano Rapisarda. Roma: Carocci Editore, 2009</w:t>
      </w:r>
    </w:p>
    <w:p w14:paraId="57C0A4A9" w14:textId="72D20525" w:rsidR="009B5324" w:rsidRPr="009B5324" w:rsidRDefault="009B5324" w:rsidP="00FD030E">
      <w:pPr>
        <w:spacing w:line="240" w:lineRule="atLeast"/>
        <w:ind w:left="709" w:hanging="709"/>
      </w:pPr>
      <w:r w:rsidRPr="009B5324">
        <w:t xml:space="preserve">Pascalis Romanus.  </w:t>
      </w:r>
      <w:r w:rsidRPr="009B5324">
        <w:rPr>
          <w:i/>
          <w:iCs/>
        </w:rPr>
        <w:t>Liber thesauri occulti</w:t>
      </w:r>
      <w:r w:rsidRPr="009B5324">
        <w:t>. In Le “Liber thesauri occulti” de Pascalis Romanus (un traité d’interprétation des songes du xiie siècle), edited by Simone Collin-Roset, 111-198. [Archives d'histoire doctrinale et littéraire du Moyen Age, Vol. 30] Paris: Librairie Philosophique J. Vrin, 1963</w:t>
      </w:r>
    </w:p>
    <w:p w14:paraId="1479D458" w14:textId="4EE1B994" w:rsidR="009B5324" w:rsidRPr="009B5324" w:rsidRDefault="009B5324" w:rsidP="00FD030E">
      <w:pPr>
        <w:spacing w:line="240" w:lineRule="atLeast"/>
        <w:ind w:left="709" w:hanging="709"/>
      </w:pPr>
      <w:r w:rsidRPr="009B5324">
        <w:t xml:space="preserve">Pietro d’Abano. </w:t>
      </w:r>
      <w:r w:rsidRPr="009B5324">
        <w:rPr>
          <w:i/>
          <w:iCs/>
        </w:rPr>
        <w:t xml:space="preserve">Comincia la geomantia di Pietro d’Abano: </w:t>
      </w:r>
      <w:r w:rsidR="00394646">
        <w:rPr>
          <w:i/>
          <w:iCs/>
        </w:rPr>
        <w:t>tradotta</w:t>
      </w:r>
      <w:r w:rsidRPr="009B5324">
        <w:rPr>
          <w:i/>
          <w:iCs/>
        </w:rPr>
        <w:t xml:space="preserve"> di lattina lingua nel volgare idioma</w:t>
      </w:r>
      <w:r w:rsidRPr="009B5324">
        <w:t>. Venice: per Curtio Troiano dei Navò, 1556</w:t>
      </w:r>
    </w:p>
    <w:p w14:paraId="20D3EB7E" w14:textId="1280E00A" w:rsidR="009B5324" w:rsidRPr="009B5324" w:rsidRDefault="009B5324" w:rsidP="00FD030E">
      <w:pPr>
        <w:spacing w:line="240" w:lineRule="atLeast"/>
        <w:ind w:left="709" w:hanging="709"/>
      </w:pPr>
      <w:r w:rsidRPr="009B5324">
        <w:t xml:space="preserve">Pietro d’Abano. </w:t>
      </w:r>
      <w:r w:rsidRPr="009B5324">
        <w:rPr>
          <w:i/>
          <w:iCs/>
        </w:rPr>
        <w:t xml:space="preserve">Geomantia di Pietro d’Abano, nuovamen&lt;t&gt;e </w:t>
      </w:r>
      <w:r w:rsidR="00394646">
        <w:rPr>
          <w:i/>
          <w:iCs/>
        </w:rPr>
        <w:t>tradotta</w:t>
      </w:r>
      <w:r w:rsidRPr="009B5324">
        <w:rPr>
          <w:i/>
          <w:iCs/>
        </w:rPr>
        <w:t xml:space="preserve"> di Latino in volgare per il Tricasso Mantuano.</w:t>
      </w:r>
      <w:r w:rsidRPr="009B5324">
        <w:t xml:space="preserve"> Venice: per Curtio Troiano dei Navo, 1542</w:t>
      </w:r>
    </w:p>
    <w:p w14:paraId="7CFE0B19" w14:textId="77777777" w:rsidR="009B5324" w:rsidRPr="009B5324" w:rsidRDefault="009B5324" w:rsidP="00FD030E">
      <w:pPr>
        <w:spacing w:line="240" w:lineRule="atLeast"/>
        <w:ind w:left="709" w:hanging="709"/>
      </w:pPr>
      <w:r w:rsidRPr="009B5324">
        <w:t xml:space="preserve">Pietro d’Abano. </w:t>
      </w:r>
      <w:r w:rsidRPr="009B5324">
        <w:rPr>
          <w:i/>
          <w:iCs/>
        </w:rPr>
        <w:t>Il ‘Lucidatur dubitabilium astronomiae’ di Pietro d’Abano. Opere scientifiche inedite</w:t>
      </w:r>
      <w:r w:rsidRPr="009B5324">
        <w:t>, edited by Graziella Federici Vescovini. Padua: Programma e 1+1 Editori, 1988</w:t>
      </w:r>
    </w:p>
    <w:p w14:paraId="38FCC57A" w14:textId="77777777" w:rsidR="009B5324" w:rsidRPr="009B5324" w:rsidRDefault="009B5324" w:rsidP="00FD030E">
      <w:pPr>
        <w:spacing w:line="240" w:lineRule="atLeast"/>
        <w:ind w:left="709" w:hanging="709"/>
      </w:pPr>
      <w:r w:rsidRPr="009B5324">
        <w:t xml:space="preserve">Pietro d’Abano. </w:t>
      </w:r>
      <w:r w:rsidRPr="009B5324">
        <w:rPr>
          <w:i/>
          <w:iCs/>
        </w:rPr>
        <w:t>La seconda parte della Geomantia di Pietro d’Abano.</w:t>
      </w:r>
      <w:r w:rsidRPr="009B5324">
        <w:t xml:space="preserve"> Venice: per Curtio Troiano dei Navo, 1552</w:t>
      </w:r>
    </w:p>
    <w:p w14:paraId="5430BBDA" w14:textId="77777777" w:rsidR="009B5324" w:rsidRPr="009B5324" w:rsidRDefault="009B5324" w:rsidP="00FD030E">
      <w:pPr>
        <w:spacing w:line="240" w:lineRule="atLeast"/>
        <w:ind w:left="709" w:hanging="709"/>
      </w:pPr>
      <w:r w:rsidRPr="009B5324">
        <w:t xml:space="preserve">Pseudo-Apollonius of Tyana. </w:t>
      </w:r>
      <w:r w:rsidRPr="009B5324">
        <w:rPr>
          <w:i/>
          <w:iCs/>
        </w:rPr>
        <w:t>Le De secretis nature du pseudo-Apollonius de Tyane du Kitāb sirr al-ḫalīqa de Balinus,</w:t>
      </w:r>
      <w:r w:rsidRPr="009B5324">
        <w:t xml:space="preserve"> edited by Françoise Hudry. Paris: Société d'étude de l’histoire de l’alchimie, 1999</w:t>
      </w:r>
    </w:p>
    <w:p w14:paraId="6CA36E90" w14:textId="7BE76D57" w:rsidR="009B5324" w:rsidRPr="009B5324" w:rsidRDefault="009B5324" w:rsidP="00FD030E">
      <w:pPr>
        <w:spacing w:line="240" w:lineRule="atLeast"/>
        <w:ind w:left="709" w:hanging="709"/>
      </w:pPr>
      <w:r w:rsidRPr="009B5324">
        <w:t>Raban</w:t>
      </w:r>
      <w:r w:rsidR="0001258F">
        <w:t>us</w:t>
      </w:r>
      <w:r w:rsidRPr="009B5324">
        <w:t xml:space="preserve"> Maur</w:t>
      </w:r>
      <w:r w:rsidR="0001258F">
        <w:t>us</w:t>
      </w:r>
      <w:r w:rsidRPr="009B5324">
        <w:t xml:space="preserve">. </w:t>
      </w:r>
      <w:r w:rsidRPr="009B5324">
        <w:rPr>
          <w:i/>
          <w:iCs/>
        </w:rPr>
        <w:t>De magicis artibus</w:t>
      </w:r>
      <w:r w:rsidRPr="009B5324">
        <w:t xml:space="preserve">. In </w:t>
      </w:r>
      <w:r w:rsidRPr="009B5324">
        <w:rPr>
          <w:i/>
          <w:iCs/>
        </w:rPr>
        <w:t>B. Rabani Mauri Fuldensis abbatis et Moguntini Archiepiscopi opera omnia juxta editionem Georgii Colvenerii anno 1617 coloniæ Agrippinæ datam, mendis quibus scatebat innumeris cura qua par erat expurgatam, novissime ad prelum revocata et novo ordine, chronolocico scilicet, digesta: variis præterea monumentis quæ suppeditarunt Mabillonii, Martenii et Dacherii collectiones memoratissimæ, aucta et illustrata</w:t>
      </w:r>
      <w:r w:rsidRPr="009B5324">
        <w:t xml:space="preserve"> [Patrologiae Latinae tomus CX], edited by J.-P. Migne, 1095-1108. Paris: J.-P. Migne, 1864</w:t>
      </w:r>
    </w:p>
    <w:p w14:paraId="54D57862" w14:textId="33BB61AC" w:rsidR="009B5324" w:rsidRPr="009B5324" w:rsidRDefault="009B5324" w:rsidP="00FD030E">
      <w:pPr>
        <w:spacing w:line="240" w:lineRule="atLeast"/>
        <w:ind w:left="709" w:hanging="709"/>
      </w:pPr>
      <w:r w:rsidRPr="009B5324">
        <w:t>Raban</w:t>
      </w:r>
      <w:r w:rsidR="0001258F">
        <w:t>us</w:t>
      </w:r>
      <w:r w:rsidRPr="009B5324">
        <w:t xml:space="preserve"> Maur</w:t>
      </w:r>
      <w:r w:rsidR="0001258F">
        <w:t>us</w:t>
      </w:r>
      <w:r w:rsidRPr="009B5324">
        <w:t xml:space="preserve">. </w:t>
      </w:r>
      <w:r w:rsidRPr="009B5324">
        <w:rPr>
          <w:i/>
          <w:iCs/>
        </w:rPr>
        <w:t>De universo libri viginti duo</w:t>
      </w:r>
      <w:r w:rsidRPr="009B5324">
        <w:t xml:space="preserve">. In </w:t>
      </w:r>
      <w:r w:rsidRPr="009B5324">
        <w:rPr>
          <w:i/>
          <w:iCs/>
        </w:rPr>
        <w:t>B. Rabani Mauri Fuldensis abbatis et Moguntini Archiepiscopi opera omnia juxta editionem Georgii Colvenerii anno 1617 coloniæ Agrippinæ datam, mendis quibus scatebat innumeris cura qua par erat expurgatam, novissime ad prelum revocata et novo ordine, chronolocico scilicet, digesta: variis præterea monumentis quæ suppeditarunt Mabillonii, Martenii et Dacherii collectiones memoratissimæ, aucta et illustrata</w:t>
      </w:r>
      <w:r w:rsidRPr="009B5324">
        <w:t xml:space="preserve"> [Patrologiae Latinae tomus CXI] edited by J.-P. Migne, 1-614. Paris: J.-P. Migne, 1852</w:t>
      </w:r>
    </w:p>
    <w:p w14:paraId="1C781B00"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Robert Fludd. </w:t>
      </w:r>
      <w:r w:rsidRPr="009B5324">
        <w:rPr>
          <w:i/>
          <w:iCs/>
          <w:sz w:val="24"/>
          <w:szCs w:val="24"/>
        </w:rPr>
        <w:t>Apologia Compendiaria Fraternitatem de Rosae Crucis Suspicionis et Infamiae Maculis Aspersam, Veritatis Quasi Fluctibus Abluens et Abstergens</w:t>
      </w:r>
      <w:r w:rsidRPr="009B5324">
        <w:rPr>
          <w:sz w:val="24"/>
          <w:szCs w:val="24"/>
        </w:rPr>
        <w:t>. Leiden: Gottfried Basson, 1616</w:t>
      </w:r>
    </w:p>
    <w:p w14:paraId="46B088D8" w14:textId="77777777" w:rsidR="009B5324" w:rsidRPr="009B5324" w:rsidRDefault="009B5324" w:rsidP="00FD030E">
      <w:pPr>
        <w:spacing w:line="240" w:lineRule="atLeast"/>
        <w:ind w:left="709" w:hanging="709"/>
      </w:pPr>
      <w:r w:rsidRPr="009B5324">
        <w:t xml:space="preserve">Robert Fludd. </w:t>
      </w:r>
      <w:r w:rsidRPr="009B5324">
        <w:rPr>
          <w:i/>
          <w:iCs/>
        </w:rPr>
        <w:t>De Naturae Simia seu technica macrocosmi historia in partes undecim divisa</w:t>
      </w:r>
      <w:r w:rsidRPr="009B5324">
        <w:t xml:space="preserve">. In </w:t>
      </w:r>
      <w:r w:rsidRPr="009B5324">
        <w:rPr>
          <w:i/>
          <w:iCs/>
        </w:rPr>
        <w:t>Utriusque Cosmi Maioris scilicet Minoris Metaphysica, Physica atque Technica Historia</w:t>
      </w:r>
      <w:r w:rsidRPr="009B5324">
        <w:t>, Tomus primus. Frankfurt: Johann Theodor de Bry, 1624</w:t>
      </w:r>
    </w:p>
    <w:p w14:paraId="7D7EA8FF" w14:textId="77777777" w:rsidR="009B5324" w:rsidRPr="009B5324" w:rsidRDefault="009B5324" w:rsidP="00FD030E">
      <w:pPr>
        <w:spacing w:line="240" w:lineRule="atLeast"/>
        <w:ind w:left="709" w:hanging="709"/>
      </w:pPr>
      <w:r w:rsidRPr="009B5324">
        <w:t xml:space="preserve">Robert Fludd. </w:t>
      </w:r>
      <w:r w:rsidRPr="009B5324">
        <w:rPr>
          <w:i/>
          <w:iCs/>
        </w:rPr>
        <w:t>De naturali, artificiali et praeter naturali ac contra naturali Microcosmi historia in tractatus quatuor divisa in qua physica et technica naturae humanae praeter naturam accidentium descriptis.</w:t>
      </w:r>
      <w:r w:rsidRPr="009B5324">
        <w:t xml:space="preserve"> In </w:t>
      </w:r>
      <w:r w:rsidRPr="009B5324">
        <w:rPr>
          <w:i/>
          <w:iCs/>
        </w:rPr>
        <w:t>Utriusque Cosmi Maioris scilicet Minoris Metaphysica, Physica atque Technica Historia</w:t>
      </w:r>
      <w:r w:rsidRPr="009B5324">
        <w:t>, Frankfurt: Johann Theodor de Bry, 1624</w:t>
      </w:r>
    </w:p>
    <w:p w14:paraId="7F26395E"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Robert Fludd. </w:t>
      </w:r>
      <w:r w:rsidRPr="009B5324">
        <w:rPr>
          <w:i/>
          <w:iCs/>
          <w:sz w:val="24"/>
          <w:szCs w:val="24"/>
        </w:rPr>
        <w:t>Tractatus Apologeticus Integritatem Societatis de Rosea Cruce defendens</w:t>
      </w:r>
      <w:r w:rsidRPr="009B5324">
        <w:rPr>
          <w:sz w:val="24"/>
          <w:szCs w:val="24"/>
        </w:rPr>
        <w:t>. Leiden: Gottfried Basson, 1617</w:t>
      </w:r>
    </w:p>
    <w:p w14:paraId="7873B95D" w14:textId="77777777" w:rsidR="009B5324" w:rsidRPr="009B5324" w:rsidRDefault="009B5324" w:rsidP="00FD030E">
      <w:pPr>
        <w:spacing w:line="240" w:lineRule="atLeast"/>
        <w:ind w:left="709" w:hanging="709"/>
        <w:rPr>
          <w:lang w:val="it-IT"/>
        </w:rPr>
      </w:pPr>
      <w:r w:rsidRPr="009B5324">
        <w:rPr>
          <w:lang w:val="fr-FR"/>
        </w:rPr>
        <w:t xml:space="preserve">Robert Fludd. </w:t>
      </w:r>
      <w:r w:rsidRPr="009B5324">
        <w:rPr>
          <w:i/>
          <w:iCs/>
          <w:lang w:val="fr-FR"/>
        </w:rPr>
        <w:t>Tractatus de Geomantia in quatuor libros diuisus</w:t>
      </w:r>
      <w:r w:rsidRPr="009B5324">
        <w:rPr>
          <w:lang w:val="fr-FR"/>
        </w:rPr>
        <w:t xml:space="preserve">. In </w:t>
      </w:r>
      <w:r w:rsidRPr="009B5324">
        <w:rPr>
          <w:i/>
          <w:iCs/>
          <w:lang w:val="fr-FR"/>
        </w:rPr>
        <w:t>Fasciculus geomanticus,</w:t>
      </w:r>
      <w:r w:rsidRPr="009B5324">
        <w:rPr>
          <w:lang w:val="fr-FR"/>
        </w:rPr>
        <w:t xml:space="preserve"> 19-170. </w:t>
      </w:r>
      <w:r w:rsidRPr="009B5324">
        <w:rPr>
          <w:lang w:val="it-IT"/>
        </w:rPr>
        <w:t>Verona: 1687</w:t>
      </w:r>
    </w:p>
    <w:p w14:paraId="0A9B2C7C" w14:textId="77777777" w:rsidR="009B5324" w:rsidRPr="009B5324" w:rsidRDefault="009B5324" w:rsidP="009B5324">
      <w:pPr>
        <w:spacing w:line="240" w:lineRule="atLeast"/>
        <w:ind w:left="709" w:hanging="709"/>
      </w:pPr>
      <w:r w:rsidRPr="009B5324">
        <w:t xml:space="preserve">Robert Fludd. </w:t>
      </w:r>
      <w:r w:rsidRPr="009B5324">
        <w:rPr>
          <w:i/>
          <w:iCs/>
        </w:rPr>
        <w:t>Utriusque cosmi majoris scilicet et minoris metaphysica, physica atque technica historia: in duo volumina secundum cosmi differentiam divisa. Tomus primus de macrocosmi historia in duos tractatus divisa</w:t>
      </w:r>
      <w:r w:rsidRPr="009B5324">
        <w:t>. Oppenhemer: Johan-Theodori de Bry, typis Hieronymi Galleri, 1617-1621.</w:t>
      </w:r>
    </w:p>
    <w:p w14:paraId="7E0642B9" w14:textId="77777777" w:rsidR="009B5324" w:rsidRPr="009B5324" w:rsidRDefault="009B5324" w:rsidP="00FD030E">
      <w:pPr>
        <w:pStyle w:val="FootnoteText"/>
        <w:spacing w:line="240" w:lineRule="atLeast"/>
        <w:ind w:left="709" w:hanging="709"/>
        <w:rPr>
          <w:sz w:val="24"/>
          <w:szCs w:val="24"/>
        </w:rPr>
      </w:pPr>
      <w:r w:rsidRPr="009B5324">
        <w:rPr>
          <w:i/>
          <w:iCs/>
          <w:sz w:val="24"/>
          <w:szCs w:val="24"/>
        </w:rPr>
        <w:t>Rosarium Philosophorum, Ein alchemisches Florilegium des Spätmittelalters</w:t>
      </w:r>
      <w:r w:rsidRPr="009B5324">
        <w:rPr>
          <w:sz w:val="24"/>
          <w:szCs w:val="24"/>
        </w:rPr>
        <w:t xml:space="preserve"> [Facsimile from Frankfurt/M.1150] edited by L. Claren and J. Huber. Weinheim: VCH, 1992</w:t>
      </w:r>
    </w:p>
    <w:p w14:paraId="513A9D74" w14:textId="77777777" w:rsidR="009B5324" w:rsidRPr="009B5324" w:rsidRDefault="009B5324" w:rsidP="00FD030E">
      <w:pPr>
        <w:pStyle w:val="FootnoteText"/>
        <w:spacing w:line="240" w:lineRule="atLeast"/>
        <w:ind w:left="709" w:hanging="709"/>
        <w:rPr>
          <w:sz w:val="24"/>
          <w:szCs w:val="24"/>
          <w:lang w:val="fr-FR"/>
        </w:rPr>
      </w:pPr>
      <w:r w:rsidRPr="009B5324">
        <w:rPr>
          <w:sz w:val="24"/>
          <w:szCs w:val="24"/>
          <w:lang w:val="fr-FR"/>
        </w:rPr>
        <w:t xml:space="preserve">Siger of Brabant. </w:t>
      </w:r>
      <w:r w:rsidRPr="009B5324">
        <w:rPr>
          <w:i/>
          <w:iCs/>
          <w:sz w:val="24"/>
          <w:szCs w:val="24"/>
          <w:lang w:val="fr-FR"/>
        </w:rPr>
        <w:t xml:space="preserve">Quaestiones in Metaphysicam </w:t>
      </w:r>
      <w:r w:rsidRPr="009B5324">
        <w:rPr>
          <w:sz w:val="24"/>
          <w:szCs w:val="24"/>
          <w:lang w:val="fr-FR"/>
        </w:rPr>
        <w:t>[Philosophes Médiévaux, 25], edited by A. Maurer. Louvain: Éditions de l’Institut supérieur de philosophie, Louvain-la-Neuve, 1983</w:t>
      </w:r>
    </w:p>
    <w:p w14:paraId="50B75ADC"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Thomas Aquinas. </w:t>
      </w:r>
      <w:r w:rsidRPr="009B5324">
        <w:rPr>
          <w:i/>
          <w:iCs/>
          <w:sz w:val="24"/>
          <w:szCs w:val="24"/>
        </w:rPr>
        <w:t>Liber de sortibus ad dominum Iacobum de Tonengo</w:t>
      </w:r>
      <w:r w:rsidRPr="009B5324">
        <w:rPr>
          <w:sz w:val="24"/>
          <w:szCs w:val="24"/>
        </w:rPr>
        <w:t xml:space="preserve"> [Sancti Thomae de Aquino Opera Omnia, vol. 43]. Rome: Editori di San Tommaso, 1976</w:t>
      </w:r>
    </w:p>
    <w:p w14:paraId="25257D18"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Thomas Aquinas. </w:t>
      </w:r>
      <w:r w:rsidRPr="009B5324">
        <w:rPr>
          <w:i/>
          <w:iCs/>
          <w:sz w:val="24"/>
          <w:szCs w:val="24"/>
        </w:rPr>
        <w:t>Liber de sortibus ad dominum Iacobum de Tonengo</w:t>
      </w:r>
      <w:r w:rsidRPr="009B5324">
        <w:rPr>
          <w:sz w:val="24"/>
          <w:szCs w:val="24"/>
        </w:rPr>
        <w:t>, (Sancti Thomae de Aquino Opera Omnia, 43). Rome: Cura et studio Fratrum Praedicatorum, 1976</w:t>
      </w:r>
    </w:p>
    <w:p w14:paraId="2A3CCD06" w14:textId="77777777" w:rsidR="009B5324" w:rsidRPr="009B5324" w:rsidRDefault="009B5324" w:rsidP="00FD030E">
      <w:pPr>
        <w:pStyle w:val="FootnoteText"/>
        <w:spacing w:line="240" w:lineRule="atLeast"/>
        <w:ind w:left="709" w:hanging="709"/>
        <w:rPr>
          <w:sz w:val="24"/>
          <w:szCs w:val="24"/>
        </w:rPr>
      </w:pPr>
      <w:r w:rsidRPr="009B5324">
        <w:rPr>
          <w:sz w:val="24"/>
          <w:szCs w:val="24"/>
        </w:rPr>
        <w:t xml:space="preserve">Thomas Aquinas. </w:t>
      </w:r>
      <w:r w:rsidRPr="009B5324">
        <w:rPr>
          <w:i/>
          <w:iCs/>
          <w:sz w:val="24"/>
          <w:szCs w:val="24"/>
        </w:rPr>
        <w:t>Summa Theologiae, tomus II Parts II II (cum textu ex recensione leonina)</w:t>
      </w:r>
      <w:r w:rsidRPr="009B5324">
        <w:rPr>
          <w:sz w:val="24"/>
          <w:szCs w:val="24"/>
        </w:rPr>
        <w:t>, edited by De Rubeis, P. Billuart and O. P. Faucher. Turin-Rome: Marinetti, 1948</w:t>
      </w:r>
    </w:p>
    <w:p w14:paraId="799227B5" w14:textId="2E00E15A" w:rsidR="009B5324" w:rsidRPr="009B5324" w:rsidRDefault="009B5324" w:rsidP="00FD030E">
      <w:pPr>
        <w:spacing w:line="240" w:lineRule="atLeast"/>
        <w:ind w:left="709" w:hanging="709"/>
      </w:pPr>
      <w:r w:rsidRPr="009B5324">
        <w:t xml:space="preserve">William of Moerbeke. </w:t>
      </w:r>
      <w:r w:rsidRPr="009B5324">
        <w:rPr>
          <w:i/>
          <w:iCs/>
        </w:rPr>
        <w:t>Geomantia: I-IV, 4</w:t>
      </w:r>
      <w:r w:rsidRPr="009B5324">
        <w:t>, edited by Elisa Rubino [Corpus Philosophorum Medii Aevi Testi e Studi XXVI]. Florence: Sismel, Edizione del Galluzzo, 2021</w:t>
      </w:r>
    </w:p>
    <w:p w14:paraId="770A445C" w14:textId="77777777" w:rsidR="009B5324" w:rsidRPr="009B5324" w:rsidRDefault="009B5324" w:rsidP="00FD030E">
      <w:pPr>
        <w:spacing w:line="240" w:lineRule="atLeast"/>
        <w:ind w:left="709" w:hanging="709"/>
      </w:pPr>
      <w:r w:rsidRPr="009B5324">
        <w:t xml:space="preserve">William of Moerbeke. </w:t>
      </w:r>
      <w:r w:rsidRPr="009B5324">
        <w:rPr>
          <w:i/>
          <w:iCs/>
        </w:rPr>
        <w:t>Geomantia: IV,5-VIII</w:t>
      </w:r>
      <w:r w:rsidRPr="009B5324">
        <w:t>, edited by Elisa Rubino [Corpus Philosophorum Medii Aevi Testi e Studi XXVIII]. Florence: Sismel-Edizioni del Galluzzo, 2023</w:t>
      </w:r>
    </w:p>
    <w:p w14:paraId="7D7FF546" w14:textId="77777777" w:rsidR="00FD030E" w:rsidRPr="006C3615" w:rsidRDefault="00FD030E" w:rsidP="00FD030E">
      <w:pPr>
        <w:spacing w:line="240" w:lineRule="atLeast"/>
        <w:ind w:left="709" w:hanging="709"/>
      </w:pPr>
    </w:p>
    <w:p w14:paraId="30F18766" w14:textId="77777777" w:rsidR="00FD030E" w:rsidRPr="006C3615" w:rsidRDefault="00FD030E" w:rsidP="00FD030E">
      <w:pPr>
        <w:pStyle w:val="FootnoteText"/>
        <w:spacing w:line="240" w:lineRule="atLeast"/>
        <w:ind w:left="709" w:hanging="709"/>
        <w:rPr>
          <w:sz w:val="24"/>
          <w:szCs w:val="24"/>
        </w:rPr>
      </w:pPr>
    </w:p>
    <w:p w14:paraId="3CE42F65" w14:textId="77777777" w:rsidR="00FD030E" w:rsidRPr="006C3615" w:rsidRDefault="00FD030E" w:rsidP="009B5C1D">
      <w:pPr>
        <w:pStyle w:val="Heading2"/>
        <w:ind w:firstLine="0"/>
        <w:rPr>
          <w:rFonts w:asciiTheme="majorBidi" w:hAnsiTheme="majorBidi"/>
          <w:sz w:val="20"/>
          <w:szCs w:val="20"/>
        </w:rPr>
      </w:pPr>
      <w:bookmarkStart w:id="157" w:name="_Toc81488272"/>
      <w:bookmarkStart w:id="158" w:name="_Toc165108689"/>
      <w:r w:rsidRPr="009B5C1D">
        <w:rPr>
          <w:rFonts w:asciiTheme="majorBidi" w:hAnsiTheme="majorBidi"/>
          <w:color w:val="auto"/>
          <w:sz w:val="20"/>
          <w:szCs w:val="20"/>
        </w:rPr>
        <w:t>SECONDARY SOURCES</w:t>
      </w:r>
      <w:bookmarkEnd w:id="157"/>
      <w:bookmarkEnd w:id="158"/>
    </w:p>
    <w:p w14:paraId="18FAF948" w14:textId="77777777" w:rsidR="00FD030E" w:rsidRPr="006C3615" w:rsidRDefault="00FD030E" w:rsidP="00FD030E">
      <w:pPr>
        <w:spacing w:line="240" w:lineRule="atLeast"/>
        <w:ind w:firstLine="0"/>
      </w:pPr>
    </w:p>
    <w:p w14:paraId="12718AF0" w14:textId="77777777" w:rsidR="0014728A" w:rsidRPr="006C3615" w:rsidRDefault="0014728A" w:rsidP="00FD030E">
      <w:pPr>
        <w:spacing w:line="240" w:lineRule="atLeast"/>
        <w:ind w:left="709" w:hanging="709"/>
      </w:pPr>
      <w:r w:rsidRPr="006C3615">
        <w:t xml:space="preserve">Ackermann, Silke. ‘The Path of the Moon Engraved. Lunar Mansions on European and Islamic Scientific Instruments’. In In </w:t>
      </w:r>
      <w:r w:rsidRPr="006C3615">
        <w:rPr>
          <w:i/>
          <w:iCs/>
        </w:rPr>
        <w:t>Il sole e la luna (The Sun and the Moon),</w:t>
      </w:r>
      <w:r w:rsidRPr="006C3615">
        <w:t xml:space="preserve"> 135-178. Florence: SISMEL-Edizioni del Galluzzo, 2004</w:t>
      </w:r>
    </w:p>
    <w:p w14:paraId="28EBC433" w14:textId="77777777" w:rsidR="0014728A" w:rsidRPr="006C3615" w:rsidRDefault="0014728A" w:rsidP="00FD030E">
      <w:pPr>
        <w:spacing w:line="240" w:lineRule="atLeast"/>
        <w:ind w:left="709" w:hanging="709"/>
      </w:pPr>
      <w:r w:rsidRPr="006C3615">
        <w:t xml:space="preserve">Agius, Dionisius A., Alexander Mallett and Catherine Rider (eds.). </w:t>
      </w:r>
      <w:r w:rsidRPr="006C3615">
        <w:rPr>
          <w:i/>
          <w:iCs/>
        </w:rPr>
        <w:t>Magic in Malta: Sellem Bin Al-Sheikh Mansur and the Roman Inquisition 1605</w:t>
      </w:r>
      <w:r w:rsidRPr="006C3615">
        <w:t>. Leiden: Brill, 2022</w:t>
      </w:r>
    </w:p>
    <w:p w14:paraId="77D2960A" w14:textId="77777777" w:rsidR="0014728A" w:rsidRPr="006C3615" w:rsidRDefault="0014728A" w:rsidP="00FD030E">
      <w:pPr>
        <w:spacing w:line="240" w:lineRule="atLeast"/>
        <w:ind w:left="709" w:hanging="709"/>
      </w:pPr>
      <w:r w:rsidRPr="006C3615">
        <w:t>Andriani, Eleonor</w:t>
      </w:r>
      <w:r>
        <w:t>a</w:t>
      </w:r>
      <w:r w:rsidRPr="006C3615">
        <w:t xml:space="preserve">. ‘The </w:t>
      </w:r>
      <w:r>
        <w:t>I</w:t>
      </w:r>
      <w:r w:rsidRPr="006C3615">
        <w:t xml:space="preserve">nfluence of the </w:t>
      </w:r>
      <w:r>
        <w:t>S</w:t>
      </w:r>
      <w:r w:rsidRPr="006C3615">
        <w:t xml:space="preserve">tars and the </w:t>
      </w:r>
      <w:r>
        <w:t>I</w:t>
      </w:r>
      <w:r w:rsidRPr="006C3615">
        <w:t xml:space="preserve">ntervention of </w:t>
      </w:r>
      <w:r>
        <w:t>D</w:t>
      </w:r>
      <w:r w:rsidRPr="006C3615">
        <w:t xml:space="preserve">emons in </w:t>
      </w:r>
      <w:r>
        <w:t>W</w:t>
      </w:r>
      <w:r w:rsidRPr="006C3615">
        <w:t xml:space="preserve">ars: </w:t>
      </w:r>
      <w:r>
        <w:t>A</w:t>
      </w:r>
      <w:r w:rsidRPr="006C3615">
        <w:t xml:space="preserve">n </w:t>
      </w:r>
      <w:r>
        <w:t>I</w:t>
      </w:r>
      <w:r w:rsidRPr="006C3615">
        <w:t xml:space="preserve">nsight into the ‘Liber Introductorius’ of Michael Scot.’ In </w:t>
      </w:r>
      <w:r w:rsidRPr="006C3615">
        <w:rPr>
          <w:i/>
          <w:iCs/>
        </w:rPr>
        <w:t xml:space="preserve">Giornale critico della filosofia italiana </w:t>
      </w:r>
      <w:r w:rsidRPr="006C3615">
        <w:t>VII.14, fasc. II, 2018: 275-89</w:t>
      </w:r>
    </w:p>
    <w:p w14:paraId="64D302B4" w14:textId="77777777" w:rsidR="0014728A" w:rsidRPr="006C3615" w:rsidRDefault="0014728A" w:rsidP="00FD030E">
      <w:pPr>
        <w:spacing w:line="240" w:lineRule="atLeast"/>
        <w:ind w:left="709" w:hanging="709"/>
      </w:pPr>
      <w:r w:rsidRPr="006C3615">
        <w:rPr>
          <w:lang w:val="it-IT"/>
        </w:rPr>
        <w:t>Arfé, Pasquale. ‘Attorno all’edizione dell’</w:t>
      </w:r>
      <w:r w:rsidRPr="006C3615">
        <w:rPr>
          <w:i/>
          <w:iCs/>
          <w:lang w:val="it-IT"/>
        </w:rPr>
        <w:t>Ars geomantiae</w:t>
      </w:r>
      <w:r w:rsidRPr="006C3615">
        <w:rPr>
          <w:lang w:val="it-IT"/>
        </w:rPr>
        <w:t xml:space="preserve">. Le fonti esplicite e implicite’. </w:t>
      </w:r>
      <w:r w:rsidRPr="006C3615">
        <w:rPr>
          <w:i/>
          <w:iCs/>
        </w:rPr>
        <w:t>Quaestio 19. Stars, Kingdoms, Beliefs, and Masses. Political Astrology in the Mediterranean Area from Middle Ages to the Renaissance</w:t>
      </w:r>
      <w:r w:rsidRPr="006C3615">
        <w:t xml:space="preserve"> (</w:t>
      </w:r>
      <w:r w:rsidRPr="006C3615">
        <w:rPr>
          <w:i/>
          <w:iCs/>
        </w:rPr>
        <w:t>Le stelle, i regni, le credenze e le masse: l’astrologia politica nel Mediterraneo fra Medioevo e Rinascimento</w:t>
      </w:r>
      <w:r w:rsidRPr="006C3615">
        <w:t>), edited by Marienza Benedetto, Pasquale Arfé, Pasquale Porro, 101-128. Turnhout: Brepols, 2020</w:t>
      </w:r>
    </w:p>
    <w:p w14:paraId="0E1BA403" w14:textId="77777777" w:rsidR="0014728A" w:rsidRPr="006C3615" w:rsidRDefault="0014728A" w:rsidP="00FD030E">
      <w:pPr>
        <w:spacing w:line="240" w:lineRule="atLeast"/>
        <w:ind w:left="709" w:hanging="709"/>
      </w:pPr>
      <w:r w:rsidRPr="006C3615">
        <w:rPr>
          <w:lang w:val="it-IT"/>
        </w:rPr>
        <w:t xml:space="preserve">Arfé, Pasquale. ‘L’Ars Geomantiae di Ugo di Santalla: il testo e la sua tradizione’. </w:t>
      </w:r>
      <w:r w:rsidRPr="006C3615">
        <w:t xml:space="preserve">In </w:t>
      </w:r>
      <w:r w:rsidRPr="006C3615">
        <w:rPr>
          <w:i/>
          <w:iCs/>
        </w:rPr>
        <w:t>Geomancy and other Forms of Divination</w:t>
      </w:r>
      <w:r w:rsidRPr="006C3615">
        <w:t>, edited by Alessandro Palazzo and Irene Zavattero, 65-92. Florence: SISMEL – Edizioni del Galluzzo, 2017</w:t>
      </w:r>
    </w:p>
    <w:p w14:paraId="556FBACA" w14:textId="77777777" w:rsidR="0014728A" w:rsidRPr="006C3615" w:rsidRDefault="0014728A" w:rsidP="00FD030E">
      <w:pPr>
        <w:spacing w:line="240" w:lineRule="atLeast"/>
        <w:ind w:left="709" w:hanging="709"/>
      </w:pPr>
      <w:r w:rsidRPr="006C3615">
        <w:rPr>
          <w:lang w:val="it-IT"/>
        </w:rPr>
        <w:t xml:space="preserve">Arfé, Pasquale. ‘Le dimore delle stelle nel </w:t>
      </w:r>
      <w:r w:rsidRPr="006C3615">
        <w:rPr>
          <w:i/>
          <w:iCs/>
          <w:lang w:val="it-IT"/>
        </w:rPr>
        <w:t>Prologus super Artem geomantiae</w:t>
      </w:r>
      <w:r w:rsidRPr="006C3615">
        <w:rPr>
          <w:lang w:val="it-IT"/>
        </w:rPr>
        <w:t xml:space="preserve"> di Ugo di Santalla.’</w:t>
      </w:r>
      <w:r w:rsidRPr="006C3615">
        <w:t xml:space="preserve"> In </w:t>
      </w:r>
      <w:r w:rsidRPr="006C3615">
        <w:rPr>
          <w:i/>
          <w:iCs/>
        </w:rPr>
        <w:t>Labor Limae. Atti in onore di Carmela Baffioni</w:t>
      </w:r>
      <w:r w:rsidRPr="006C3615">
        <w:t>, ed. by Antonella Straface, Carlo De Angelo, Andrea Manzo: tome I, 41-72 [Studi Maġrebini, NS voll XII-XIII], 2014-2015</w:t>
      </w:r>
    </w:p>
    <w:p w14:paraId="3A5DBDF6" w14:textId="77777777" w:rsidR="0014728A" w:rsidRPr="006C3615" w:rsidRDefault="0014728A" w:rsidP="00FD030E">
      <w:pPr>
        <w:spacing w:line="240" w:lineRule="atLeast"/>
        <w:ind w:left="709" w:hanging="709"/>
      </w:pPr>
      <w:r w:rsidRPr="006C3615">
        <w:t xml:space="preserve">Asatrian, Mushegh. ‘Ibn Khaldūn on Magic and the Occult.’ In </w:t>
      </w:r>
      <w:r w:rsidRPr="006C3615">
        <w:rPr>
          <w:i/>
          <w:iCs/>
        </w:rPr>
        <w:t>Iran &amp; the Caucasus</w:t>
      </w:r>
      <w:r w:rsidRPr="006C3615">
        <w:t>, vol. 7, No. 1/2, 2003: 73-123</w:t>
      </w:r>
    </w:p>
    <w:p w14:paraId="394D5365" w14:textId="77777777" w:rsidR="0014728A" w:rsidRPr="006C3615" w:rsidRDefault="0014728A" w:rsidP="00FD030E">
      <w:pPr>
        <w:spacing w:line="240" w:lineRule="atLeast"/>
        <w:ind w:left="709" w:hanging="709"/>
      </w:pPr>
      <w:r w:rsidRPr="006C3615">
        <w:t>Bag, A.K.  ‘Early Systems of Nakṣatras, Calendar and Antiquity of Vedic &amp; Harappan Traditions.’ In</w:t>
      </w:r>
      <w:r w:rsidRPr="006C3615">
        <w:rPr>
          <w:i/>
          <w:iCs/>
        </w:rPr>
        <w:t xml:space="preserve"> Indian Journal of History of Science</w:t>
      </w:r>
      <w:r w:rsidRPr="006C3615">
        <w:t xml:space="preserve"> 50.1, 2015: 1-25</w:t>
      </w:r>
    </w:p>
    <w:p w14:paraId="6685190A" w14:textId="77777777" w:rsidR="0014728A" w:rsidRPr="006C3615" w:rsidRDefault="0014728A" w:rsidP="00FD030E">
      <w:pPr>
        <w:spacing w:line="240" w:lineRule="atLeast"/>
        <w:ind w:left="709" w:hanging="709"/>
        <w:rPr>
          <w:lang w:val="it-IT"/>
        </w:rPr>
      </w:pPr>
      <w:r w:rsidRPr="006C3615">
        <w:rPr>
          <w:lang w:val="it-IT"/>
        </w:rPr>
        <w:t xml:space="preserve">Bauer, Susan W. </w:t>
      </w:r>
      <w:r w:rsidRPr="006C3615">
        <w:rPr>
          <w:i/>
          <w:iCs/>
          <w:lang w:val="it-IT"/>
        </w:rPr>
        <w:t>The History of the Renaissance World: From the Rediscovery of Aristotle to the Conquest of Constantinople</w:t>
      </w:r>
      <w:r w:rsidRPr="006C3615">
        <w:rPr>
          <w:lang w:val="it-IT"/>
        </w:rPr>
        <w:t>. New York: W. W. Norton &amp; Company, 2013</w:t>
      </w:r>
    </w:p>
    <w:p w14:paraId="1B1E7C30" w14:textId="77777777" w:rsidR="0014728A" w:rsidRPr="006C3615" w:rsidRDefault="0014728A" w:rsidP="00FD030E">
      <w:pPr>
        <w:spacing w:line="240" w:lineRule="atLeast"/>
        <w:ind w:left="709" w:hanging="709"/>
      </w:pPr>
      <w:r w:rsidRPr="006C3615">
        <w:t xml:space="preserve">Beccarisi, Alessandra. ‘Guglielmo di Moerbeke e la divinazione, in </w:t>
      </w:r>
      <w:r w:rsidRPr="006C3615">
        <w:rPr>
          <w:i/>
          <w:iCs/>
        </w:rPr>
        <w:t>Geomancy and Other Forms of Divination</w:t>
      </w:r>
      <w:r w:rsidRPr="006C3615">
        <w:t xml:space="preserve"> edited by Alessandro Palazzo and Irene Zavattero, 371-396. Florence: SISMEL – Edizioni del Galluzzo, 2017</w:t>
      </w:r>
    </w:p>
    <w:p w14:paraId="7B8EF1F5" w14:textId="2840A604" w:rsidR="0014728A" w:rsidRPr="006C3615" w:rsidRDefault="0014728A" w:rsidP="00FD030E">
      <w:pPr>
        <w:spacing w:line="240" w:lineRule="atLeast"/>
        <w:ind w:left="709" w:hanging="709"/>
      </w:pPr>
      <w:r w:rsidRPr="006C3615">
        <w:t>Beccarisi, Alessandra. ‘Guglielmo di Moerbeke e la Geomanzia.’ In Guillelmus de Morbeca,</w:t>
      </w:r>
      <w:r w:rsidRPr="006C3615">
        <w:rPr>
          <w:i/>
          <w:iCs/>
        </w:rPr>
        <w:t xml:space="preserve"> Geomantia: I-IV, 4,</w:t>
      </w:r>
      <w:r w:rsidRPr="006C3615">
        <w:t xml:space="preserve"> edited by Elisa Rubino: 7-58. [Corpus Philosophorum Medii Aevi Testi e Studi XXVI]. Florence: Sismel, Edizione del Galluzzo, 2021</w:t>
      </w:r>
    </w:p>
    <w:p w14:paraId="35E550DF" w14:textId="77777777" w:rsidR="0014728A" w:rsidRPr="006C3615" w:rsidRDefault="0014728A" w:rsidP="00FD030E">
      <w:pPr>
        <w:spacing w:line="240" w:lineRule="atLeast"/>
        <w:ind w:left="709" w:hanging="709"/>
      </w:pPr>
      <w:r w:rsidRPr="006C3615">
        <w:t xml:space="preserve">Beccarisi, Alessandra. ‘Qualche considerazione sulla </w:t>
      </w:r>
      <w:r w:rsidRPr="006C3615">
        <w:rPr>
          <w:i/>
          <w:iCs/>
        </w:rPr>
        <w:t>Geomantia</w:t>
      </w:r>
      <w:r w:rsidRPr="006C3615">
        <w:t xml:space="preserve"> attribuita a Guglielmo di Moerbeke’. In </w:t>
      </w:r>
      <w:r w:rsidRPr="006C3615">
        <w:rPr>
          <w:i/>
          <w:iCs/>
        </w:rPr>
        <w:t>Quaderni di Noctua, Vol. 5</w:t>
      </w:r>
      <w:r w:rsidRPr="006C3615">
        <w:t>, 2019: 554-603</w:t>
      </w:r>
    </w:p>
    <w:p w14:paraId="395C4112" w14:textId="44344178" w:rsidR="0014728A" w:rsidRPr="006C3615" w:rsidRDefault="0014728A" w:rsidP="00FD030E">
      <w:pPr>
        <w:spacing w:line="240" w:lineRule="atLeast"/>
        <w:ind w:left="709" w:hanging="709"/>
      </w:pPr>
      <w:bookmarkStart w:id="159" w:name="_Hlk81398821"/>
      <w:r w:rsidRPr="006C3615">
        <w:rPr>
          <w:lang w:val="it-IT"/>
        </w:rPr>
        <w:t>Beccarisi, Alessandra. ‘The Geomantic Technique and its Applications’.</w:t>
      </w:r>
      <w:r w:rsidRPr="006C3615">
        <w:rPr>
          <w:i/>
          <w:iCs/>
          <w:lang w:val="it-IT"/>
        </w:rPr>
        <w:t xml:space="preserve"> </w:t>
      </w:r>
      <w:r w:rsidRPr="006C3615">
        <w:rPr>
          <w:i/>
          <w:iCs/>
        </w:rPr>
        <w:t>Quaestio 19. Stars, Kingdoms, Beliefs, and Masses. Political Astrology in the Mediterranean Area from Middle Ages to the Renaissance</w:t>
      </w:r>
      <w:r w:rsidRPr="006C3615">
        <w:t>, (</w:t>
      </w:r>
      <w:r w:rsidRPr="006C3615">
        <w:rPr>
          <w:i/>
          <w:iCs/>
        </w:rPr>
        <w:t>Le stelle, i regni, le credenze e le masse: l'astrologia politica nel Mediterraneo fra Medioevo e Rinascimento</w:t>
      </w:r>
      <w:r w:rsidRPr="006C3615">
        <w:t>), edited by Marienza Benedetto, Pasquale Arfé, Pasquale Porro, 205-226. Turnhout: Brepols, 2020</w:t>
      </w:r>
    </w:p>
    <w:p w14:paraId="23392303" w14:textId="77777777" w:rsidR="0014728A" w:rsidRPr="006C3615" w:rsidRDefault="0014728A" w:rsidP="00FD030E">
      <w:pPr>
        <w:spacing w:line="240" w:lineRule="atLeast"/>
        <w:ind w:left="709" w:hanging="709"/>
        <w:rPr>
          <w:lang w:val="it-IT"/>
        </w:rPr>
      </w:pPr>
      <w:r w:rsidRPr="006C3615">
        <w:t xml:space="preserve">Benedetto, Marienza. ‘Geomancy and Other Forms of Divination in the Jewish Middle Ages’. In </w:t>
      </w:r>
      <w:r w:rsidRPr="006C3615">
        <w:rPr>
          <w:i/>
          <w:iCs/>
        </w:rPr>
        <w:t>Geomancy and other Forms of Divination</w:t>
      </w:r>
      <w:r w:rsidRPr="006C3615">
        <w:t>, edited by Alessandro Palazzo and Irene Zavattero,</w:t>
      </w:r>
      <w:r w:rsidRPr="006C3615">
        <w:rPr>
          <w:lang w:val="it-IT"/>
        </w:rPr>
        <w:t xml:space="preserve"> 225-242</w:t>
      </w:r>
      <w:r w:rsidRPr="006C3615">
        <w:t>.</w:t>
      </w:r>
      <w:r w:rsidRPr="006C3615">
        <w:rPr>
          <w:lang w:val="it-IT"/>
        </w:rPr>
        <w:t xml:space="preserve"> Florence: SISMEL – Edizioni del Galluzzo, 2017</w:t>
      </w:r>
    </w:p>
    <w:p w14:paraId="6200EAE7" w14:textId="77777777" w:rsidR="0014728A" w:rsidRPr="006C3615" w:rsidRDefault="0014728A" w:rsidP="00FD030E">
      <w:pPr>
        <w:spacing w:line="240" w:lineRule="atLeast"/>
        <w:ind w:left="709" w:hanging="709"/>
      </w:pPr>
      <w:r w:rsidRPr="006C3615">
        <w:t xml:space="preserve">Benson, Robert L. and Giles Constable (eds.). </w:t>
      </w:r>
      <w:r w:rsidRPr="006C3615">
        <w:rPr>
          <w:i/>
          <w:iCs/>
        </w:rPr>
        <w:t>Renaissance and Renewal in the Twelfth Century</w:t>
      </w:r>
      <w:r w:rsidRPr="006C3615">
        <w:t>. Oxford: Clarendon Press, 1982</w:t>
      </w:r>
    </w:p>
    <w:p w14:paraId="58407E54" w14:textId="77777777" w:rsidR="0014728A" w:rsidRPr="0014728A" w:rsidRDefault="0014728A" w:rsidP="00FD030E">
      <w:pPr>
        <w:spacing w:line="240" w:lineRule="atLeast"/>
        <w:ind w:left="709" w:hanging="709"/>
      </w:pPr>
      <w:r w:rsidRPr="0014728A">
        <w:t>Bernard, Katy S</w:t>
      </w:r>
      <w:r w:rsidRPr="0014728A">
        <w:rPr>
          <w:i/>
          <w:iCs/>
        </w:rPr>
        <w:t>. Compter, dire et figurer: édition et commentaire de textes divinatoires et maqiques en occitan médiéval</w:t>
      </w:r>
      <w:r w:rsidRPr="0014728A">
        <w:t xml:space="preserve">. Bordeaux: Université Michel de Montaigne, 2008 </w:t>
      </w:r>
    </w:p>
    <w:p w14:paraId="3D3B3143" w14:textId="77777777" w:rsidR="0014728A" w:rsidRPr="006C3615" w:rsidRDefault="0014728A" w:rsidP="00FD030E">
      <w:pPr>
        <w:spacing w:line="240" w:lineRule="atLeast"/>
        <w:ind w:left="709" w:hanging="709"/>
        <w:rPr>
          <w:lang w:val="it-IT"/>
        </w:rPr>
      </w:pPr>
      <w:r w:rsidRPr="006C3615">
        <w:rPr>
          <w:lang w:val="it-IT"/>
        </w:rPr>
        <w:t xml:space="preserve">Bertelli, Ignazio. ‘Visione, immaginazione e fantasia nella Vita Nuova.’ In </w:t>
      </w:r>
      <w:r w:rsidRPr="006C3615">
        <w:rPr>
          <w:i/>
          <w:iCs/>
          <w:lang w:val="it-IT"/>
        </w:rPr>
        <w:t>I sogni nel Medioevo. Seminario internazionale, Roma, 2-4 ottoble 1983,</w:t>
      </w:r>
      <w:r w:rsidRPr="006C3615">
        <w:rPr>
          <w:lang w:val="it-IT"/>
        </w:rPr>
        <w:t xml:space="preserve"> edited by Tullio Gregory, 1-10. Rome: Edizioni dell’Ateneo, 1985</w:t>
      </w:r>
    </w:p>
    <w:p w14:paraId="22DD9B87" w14:textId="77777777" w:rsidR="0014728A" w:rsidRPr="006C3615" w:rsidRDefault="0014728A" w:rsidP="00FD030E">
      <w:pPr>
        <w:spacing w:line="240" w:lineRule="atLeast"/>
        <w:ind w:left="709" w:hanging="709"/>
        <w:rPr>
          <w:lang w:val="it-IT"/>
        </w:rPr>
      </w:pPr>
      <w:r w:rsidRPr="006C3615">
        <w:rPr>
          <w:lang w:val="it-IT"/>
        </w:rPr>
        <w:t xml:space="preserve">Bertelli, Sandro. ‘Un manoscritto di geomanzia in volgare della fine del secolo XIII.’ In </w:t>
      </w:r>
      <w:r w:rsidRPr="006C3615">
        <w:rPr>
          <w:i/>
          <w:iCs/>
          <w:lang w:val="it-IT"/>
        </w:rPr>
        <w:t>Studi di filologia italiana. Bollettino annuale dell’Accademia della Crusca</w:t>
      </w:r>
      <w:r w:rsidRPr="006C3615">
        <w:rPr>
          <w:lang w:val="it-IT"/>
        </w:rPr>
        <w:t>, 57 1999: 5-32</w:t>
      </w:r>
    </w:p>
    <w:p w14:paraId="2AA448C2" w14:textId="77777777" w:rsidR="0014728A" w:rsidRPr="006C3615" w:rsidRDefault="0014728A" w:rsidP="00FD030E">
      <w:pPr>
        <w:spacing w:line="240" w:lineRule="atLeast"/>
        <w:ind w:left="709" w:hanging="709"/>
      </w:pPr>
      <w:r w:rsidRPr="006C3615">
        <w:t xml:space="preserve">Beullens, Pieter. ‘Why William of Moerbeke is Not the Author of ‘his’ </w:t>
      </w:r>
      <w:r w:rsidRPr="006C3615">
        <w:rPr>
          <w:i/>
          <w:iCs/>
        </w:rPr>
        <w:t>Geomantia</w:t>
      </w:r>
      <w:r w:rsidRPr="006C3615">
        <w:t xml:space="preserve"> (and why that does not make the text less interesting).’ In </w:t>
      </w:r>
      <w:r w:rsidRPr="006C3615">
        <w:rPr>
          <w:i/>
          <w:iCs/>
        </w:rPr>
        <w:t>Mediterranea. International journal for the transfer of knowledge</w:t>
      </w:r>
      <w:r w:rsidRPr="006C3615">
        <w:t>, 4, 2019: 239–244</w:t>
      </w:r>
    </w:p>
    <w:p w14:paraId="7B881596" w14:textId="77777777" w:rsidR="0014728A" w:rsidRPr="006C3615" w:rsidRDefault="0014728A" w:rsidP="00FD030E">
      <w:pPr>
        <w:spacing w:line="240" w:lineRule="atLeast"/>
        <w:ind w:left="709" w:hanging="709"/>
        <w:rPr>
          <w:lang w:val="it-IT"/>
        </w:rPr>
      </w:pPr>
      <w:r w:rsidRPr="006C3615">
        <w:rPr>
          <w:lang w:val="it-IT"/>
        </w:rPr>
        <w:t xml:space="preserve">Beullens, Pieter. </w:t>
      </w:r>
      <w:r w:rsidRPr="006C3615">
        <w:rPr>
          <w:i/>
          <w:iCs/>
          <w:lang w:val="it-IT"/>
        </w:rPr>
        <w:t>The Friar and the Philosopher. William of Moerbeke and the Rise of Aristotle’s Science in Medieval Europe.</w:t>
      </w:r>
      <w:r w:rsidRPr="006C3615">
        <w:rPr>
          <w:lang w:val="it-IT"/>
        </w:rPr>
        <w:t xml:space="preserve"> London: Routledge, 2023</w:t>
      </w:r>
    </w:p>
    <w:p w14:paraId="2EB116E7" w14:textId="77777777" w:rsidR="0014728A" w:rsidRPr="006C3615" w:rsidRDefault="0014728A" w:rsidP="00FD030E">
      <w:pPr>
        <w:spacing w:line="240" w:lineRule="atLeast"/>
        <w:ind w:left="709" w:hanging="709"/>
      </w:pPr>
      <w:r w:rsidRPr="006C3615">
        <w:t xml:space="preserve">Bianchi, Luca. </w:t>
      </w:r>
      <w:r w:rsidRPr="006C3615">
        <w:rPr>
          <w:i/>
          <w:iCs/>
        </w:rPr>
        <w:t>Il vescovo e i filosofi. La condanna parigina del 1277 e l’evoluzione dell’aristotelismo scolastico</w:t>
      </w:r>
      <w:r w:rsidRPr="006C3615">
        <w:t>. Bergamo: Pierluigi Lubrina Editore, 1990</w:t>
      </w:r>
    </w:p>
    <w:p w14:paraId="5AC855B0" w14:textId="7E649D28" w:rsidR="0014728A" w:rsidRPr="006C3615" w:rsidRDefault="0014728A" w:rsidP="00FD030E">
      <w:pPr>
        <w:spacing w:line="240" w:lineRule="atLeast"/>
        <w:ind w:left="709" w:hanging="709"/>
      </w:pPr>
      <w:r w:rsidRPr="006C3615">
        <w:t xml:space="preserve">Bohak, Gideon and Charles Burnett. </w:t>
      </w:r>
      <w:r w:rsidRPr="006C3615">
        <w:rPr>
          <w:i/>
          <w:iCs/>
        </w:rPr>
        <w:t xml:space="preserve">Thābit ibn Qurra </w:t>
      </w:r>
      <w:r w:rsidR="002E0188">
        <w:rPr>
          <w:i/>
          <w:iCs/>
        </w:rPr>
        <w:t>o</w:t>
      </w:r>
      <w:r w:rsidRPr="006C3615">
        <w:rPr>
          <w:i/>
          <w:iCs/>
        </w:rPr>
        <w:t xml:space="preserve">n Talismans, Ps.-Ptolemy </w:t>
      </w:r>
      <w:r w:rsidR="002E0188">
        <w:rPr>
          <w:i/>
          <w:iCs/>
        </w:rPr>
        <w:t>o</w:t>
      </w:r>
      <w:r w:rsidRPr="006C3615">
        <w:rPr>
          <w:i/>
          <w:iCs/>
        </w:rPr>
        <w:t>n Images I-9, Liber prestigiorum Thebidis of Adelard of Bath</w:t>
      </w:r>
      <w:r w:rsidRPr="006C3615">
        <w:t xml:space="preserve"> [Micrologus Library 106]. Florence: Sismel-Edizioni del Galluzzo, 2021</w:t>
      </w:r>
    </w:p>
    <w:p w14:paraId="528C1C80" w14:textId="77777777" w:rsidR="0014728A" w:rsidRDefault="0014728A" w:rsidP="00FD030E">
      <w:pPr>
        <w:spacing w:line="240" w:lineRule="atLeast"/>
        <w:ind w:left="709" w:hanging="709"/>
      </w:pPr>
      <w:r w:rsidRPr="006C3615">
        <w:t xml:space="preserve">Boncompagni, Baldassarre. </w:t>
      </w:r>
      <w:r w:rsidRPr="006C3615">
        <w:rPr>
          <w:i/>
          <w:iCs/>
        </w:rPr>
        <w:t>Delle versioni fatte da Platone Tiburtino, traduttore del secolo duodecimo.</w:t>
      </w:r>
      <w:r w:rsidRPr="006C3615">
        <w:t xml:space="preserve"> Roma: Tipografia delle Belle Arti, 1851</w:t>
      </w:r>
    </w:p>
    <w:p w14:paraId="642E32FD" w14:textId="77777777" w:rsidR="0014728A" w:rsidRPr="006C3615" w:rsidRDefault="0014728A" w:rsidP="00FD030E">
      <w:pPr>
        <w:spacing w:line="240" w:lineRule="atLeast"/>
        <w:ind w:left="709" w:hanging="709"/>
      </w:pPr>
      <w:r w:rsidRPr="00086C3E">
        <w:t>Bono, James J. ‘Medical Spirits and the Medieval language of Life</w:t>
      </w:r>
      <w:r>
        <w:t>.</w:t>
      </w:r>
      <w:r w:rsidRPr="00086C3E">
        <w:t xml:space="preserve">’ in </w:t>
      </w:r>
      <w:r w:rsidRPr="00086C3E">
        <w:rPr>
          <w:i/>
          <w:iCs/>
        </w:rPr>
        <w:t>Traditio: Studies in Ancient and Medieval History, Thought and Religion</w:t>
      </w:r>
      <w:r w:rsidRPr="00086C3E">
        <w:t>, vol. 40</w:t>
      </w:r>
      <w:r>
        <w:t xml:space="preserve">, </w:t>
      </w:r>
      <w:r w:rsidRPr="00086C3E">
        <w:t>1984</w:t>
      </w:r>
      <w:r>
        <w:t>:</w:t>
      </w:r>
      <w:r w:rsidRPr="00086C3E">
        <w:t xml:space="preserve"> 91-130</w:t>
      </w:r>
    </w:p>
    <w:p w14:paraId="5B67019B" w14:textId="77777777" w:rsidR="0014728A" w:rsidRPr="006C3615" w:rsidRDefault="0014728A" w:rsidP="00FD030E">
      <w:pPr>
        <w:spacing w:line="240" w:lineRule="atLeast"/>
        <w:ind w:left="709" w:hanging="709"/>
      </w:pPr>
      <w:r w:rsidRPr="006C3615">
        <w:t xml:space="preserve">Boudet, Jean-Patrice. ‘Astrology Between Rational Science and Divine Inspiration. The Pseudo-Ptolemy’s </w:t>
      </w:r>
      <w:r w:rsidRPr="006C3615">
        <w:rPr>
          <w:i/>
          <w:iCs/>
        </w:rPr>
        <w:t>Centiloquium.</w:t>
      </w:r>
      <w:r w:rsidRPr="006C3615">
        <w:t xml:space="preserve">’ In </w:t>
      </w:r>
      <w:r w:rsidRPr="006C3615">
        <w:rPr>
          <w:i/>
          <w:iCs/>
        </w:rPr>
        <w:t xml:space="preserve">Dialogues among Books in Medieval Western Magic and Divination, </w:t>
      </w:r>
      <w:r w:rsidRPr="006C3615">
        <w:t>edited by Stefano Rapisarda and Erik Niblaeus, 47-73. Florence: Sismel-Edizioni del Galluzzo, 2014</w:t>
      </w:r>
    </w:p>
    <w:p w14:paraId="19B56E27" w14:textId="77777777" w:rsidR="0014728A" w:rsidRPr="006C3615" w:rsidRDefault="0014728A" w:rsidP="00FD030E">
      <w:pPr>
        <w:spacing w:line="240" w:lineRule="atLeast"/>
        <w:ind w:left="709" w:hanging="709"/>
      </w:pPr>
      <w:r w:rsidRPr="006C3615">
        <w:t xml:space="preserve">Boudet, Jean-Patrice. ‘The Medieval Latin Versions of Pseudo-Ptolemy’s </w:t>
      </w:r>
      <w:r w:rsidRPr="006C3615">
        <w:rPr>
          <w:i/>
          <w:iCs/>
        </w:rPr>
        <w:t>Centiloquium</w:t>
      </w:r>
      <w:r w:rsidRPr="006C3615">
        <w:t xml:space="preserve">: A Survey.’ In </w:t>
      </w:r>
      <w:r w:rsidRPr="006C3615">
        <w:rPr>
          <w:i/>
          <w:iCs/>
        </w:rPr>
        <w:t>Ptolemy’s Science of the Stars in the Middle Ages</w:t>
      </w:r>
      <w:r w:rsidRPr="006C3615">
        <w:t>, edited by David Juste, Benno van Dalen, Dag Nikolaus Hasse and Charles Burnett, 283-304. Turnhout: Brepols, 2020</w:t>
      </w:r>
    </w:p>
    <w:p w14:paraId="604F95A6" w14:textId="77777777" w:rsidR="0014728A" w:rsidRPr="006C3615" w:rsidRDefault="0014728A" w:rsidP="00FD030E">
      <w:pPr>
        <w:spacing w:line="240" w:lineRule="atLeast"/>
        <w:ind w:left="709" w:hanging="709"/>
      </w:pPr>
      <w:r w:rsidRPr="006C3615">
        <w:t xml:space="preserve">Boudet, Jean-Patrice. </w:t>
      </w:r>
      <w:r w:rsidRPr="006C3615">
        <w:rPr>
          <w:i/>
          <w:iCs/>
        </w:rPr>
        <w:t>Entre science et nigromance: astrologie, divination et magie dans l’Occident médiéval, XIIe-XVe siècle</w:t>
      </w:r>
      <w:r w:rsidRPr="006C3615">
        <w:t>. Paris: Publications de la Sorbonne, 2006</w:t>
      </w:r>
    </w:p>
    <w:p w14:paraId="682CE615" w14:textId="77777777" w:rsidR="0014728A" w:rsidRPr="006C3615" w:rsidRDefault="0014728A" w:rsidP="00FD030E">
      <w:pPr>
        <w:spacing w:line="240" w:lineRule="atLeast"/>
        <w:ind w:left="709" w:hanging="709"/>
      </w:pPr>
      <w:r w:rsidRPr="006C3615">
        <w:t>Bouman, José and Cis van Heertum (eds.).</w:t>
      </w:r>
      <w:r w:rsidRPr="006C3615">
        <w:rPr>
          <w:i/>
          <w:iCs/>
        </w:rPr>
        <w:t xml:space="preserve"> Divine Wisdom and Divine Nature. The Message of the Rosicrucian Manifestoes in the Visual Language of the Seventeenth Century</w:t>
      </w:r>
      <w:r w:rsidRPr="006C3615">
        <w:t>. Amsterdam: In de Pelikaan, 2016</w:t>
      </w:r>
    </w:p>
    <w:p w14:paraId="1D83993C" w14:textId="77777777" w:rsidR="0014728A" w:rsidRPr="006C3615" w:rsidRDefault="0014728A" w:rsidP="00FD030E">
      <w:pPr>
        <w:spacing w:line="240" w:lineRule="atLeast"/>
        <w:ind w:left="709" w:hanging="709"/>
      </w:pPr>
      <w:r w:rsidRPr="006C3615">
        <w:t xml:space="preserve">Boureau, Alain. </w:t>
      </w:r>
      <w:r w:rsidRPr="006C3615">
        <w:rPr>
          <w:i/>
          <w:iCs/>
        </w:rPr>
        <w:t>Le pape et les sorciers. Une consultation de Jean XXII sur la magie en 1320 (Manuscrit B.A.V. Borghese 348)</w:t>
      </w:r>
      <w:r w:rsidRPr="006C3615">
        <w:t>. Rome: École Française de Rome, 2004</w:t>
      </w:r>
    </w:p>
    <w:p w14:paraId="5C9A51F6" w14:textId="77777777" w:rsidR="0014728A" w:rsidRPr="006C3615" w:rsidRDefault="0014728A" w:rsidP="00FD030E">
      <w:pPr>
        <w:spacing w:line="240" w:lineRule="atLeast"/>
        <w:ind w:left="709" w:hanging="709"/>
        <w:rPr>
          <w:lang w:val="it-IT"/>
        </w:rPr>
      </w:pPr>
      <w:r w:rsidRPr="006C3615">
        <w:rPr>
          <w:lang w:val="it-IT"/>
        </w:rPr>
        <w:t>Brini Savorelli, Mirella ‘Un manuale di geomanzia presentato da Bernardo Silvestre da Tours (XII secolo): l’</w:t>
      </w:r>
      <w:r w:rsidRPr="006C3615">
        <w:rPr>
          <w:i/>
          <w:iCs/>
          <w:lang w:val="it-IT"/>
        </w:rPr>
        <w:t>Experimentarius</w:t>
      </w:r>
      <w:r w:rsidRPr="006C3615">
        <w:rPr>
          <w:lang w:val="it-IT"/>
        </w:rPr>
        <w:t xml:space="preserve">’. </w:t>
      </w:r>
      <w:r w:rsidRPr="006C3615">
        <w:rPr>
          <w:i/>
          <w:iCs/>
          <w:lang w:val="it-IT"/>
        </w:rPr>
        <w:t>Rivista critica di Storia della Filosofia,</w:t>
      </w:r>
      <w:r w:rsidRPr="006C3615">
        <w:rPr>
          <w:lang w:val="it-IT"/>
        </w:rPr>
        <w:t xml:space="preserve"> Fasc. III, 238-342. Florence: La Nuova Italia Editrice, 1959</w:t>
      </w:r>
    </w:p>
    <w:p w14:paraId="274728EE" w14:textId="77777777" w:rsidR="0014728A" w:rsidRPr="006C3615" w:rsidRDefault="0014728A" w:rsidP="00FD030E">
      <w:pPr>
        <w:spacing w:line="240" w:lineRule="atLeast"/>
        <w:ind w:left="709" w:hanging="709"/>
      </w:pPr>
      <w:r w:rsidRPr="006C3615">
        <w:t xml:space="preserve">Brown, James Wood. </w:t>
      </w:r>
      <w:r w:rsidRPr="006C3615">
        <w:rPr>
          <w:i/>
          <w:iCs/>
        </w:rPr>
        <w:t>An Enquiry into The Life and Legend of Michael Scot.</w:t>
      </w:r>
      <w:r w:rsidRPr="006C3615">
        <w:t xml:space="preserve"> Edinburgh: David Douglas, 1897</w:t>
      </w:r>
    </w:p>
    <w:p w14:paraId="6FF9EEC7" w14:textId="77777777" w:rsidR="0014728A" w:rsidRPr="006C3615" w:rsidRDefault="0014728A" w:rsidP="00FD030E">
      <w:pPr>
        <w:spacing w:line="240" w:lineRule="atLeast"/>
        <w:ind w:left="709" w:hanging="709"/>
      </w:pPr>
      <w:r w:rsidRPr="006C3615">
        <w:t xml:space="preserve">Burnett, Charles (ed.). </w:t>
      </w:r>
      <w:r w:rsidRPr="006C3615">
        <w:rPr>
          <w:i/>
          <w:iCs/>
        </w:rPr>
        <w:t xml:space="preserve">Adelard of Bath: </w:t>
      </w:r>
      <w:r>
        <w:rPr>
          <w:i/>
          <w:iCs/>
        </w:rPr>
        <w:t>A</w:t>
      </w:r>
      <w:r w:rsidRPr="006C3615">
        <w:rPr>
          <w:i/>
          <w:iCs/>
        </w:rPr>
        <w:t xml:space="preserve">n English </w:t>
      </w:r>
      <w:r>
        <w:rPr>
          <w:i/>
          <w:iCs/>
        </w:rPr>
        <w:t>S</w:t>
      </w:r>
      <w:r w:rsidRPr="006C3615">
        <w:rPr>
          <w:i/>
          <w:iCs/>
        </w:rPr>
        <w:t xml:space="preserve">cientist and Arabist of the </w:t>
      </w:r>
      <w:r>
        <w:rPr>
          <w:i/>
          <w:iCs/>
        </w:rPr>
        <w:t>E</w:t>
      </w:r>
      <w:r w:rsidRPr="006C3615">
        <w:rPr>
          <w:i/>
          <w:iCs/>
        </w:rPr>
        <w:t xml:space="preserve">arly </w:t>
      </w:r>
      <w:r>
        <w:rPr>
          <w:i/>
          <w:iCs/>
        </w:rPr>
        <w:t>T</w:t>
      </w:r>
      <w:r w:rsidRPr="006C3615">
        <w:rPr>
          <w:i/>
          <w:iCs/>
        </w:rPr>
        <w:t xml:space="preserve">welfth </w:t>
      </w:r>
      <w:r>
        <w:rPr>
          <w:i/>
          <w:iCs/>
        </w:rPr>
        <w:t>C</w:t>
      </w:r>
      <w:r w:rsidRPr="006C3615">
        <w:rPr>
          <w:i/>
          <w:iCs/>
        </w:rPr>
        <w:t>entury.</w:t>
      </w:r>
      <w:r w:rsidRPr="006C3615">
        <w:t xml:space="preserve"> London: Warburg Institute, 1987</w:t>
      </w:r>
    </w:p>
    <w:p w14:paraId="624A2A99" w14:textId="77777777" w:rsidR="0014728A" w:rsidRPr="006C3615" w:rsidRDefault="0014728A" w:rsidP="00FD030E">
      <w:pPr>
        <w:spacing w:line="240" w:lineRule="atLeast"/>
        <w:ind w:left="709" w:hanging="709"/>
      </w:pPr>
      <w:r w:rsidRPr="006C3615">
        <w:t>Burnett, Charles and Danielle Jacquart (eds.).</w:t>
      </w:r>
      <w:r w:rsidRPr="006C3615">
        <w:rPr>
          <w:i/>
          <w:iCs/>
        </w:rPr>
        <w:t xml:space="preserve"> Constantine the African and ʻAlī ibn al-ʻAbbās al-Magūsī: the Pantegni and Related Texts</w:t>
      </w:r>
      <w:r w:rsidRPr="006C3615">
        <w:t>, edited by. Leiden-New York-Cologne: Brill, 1994</w:t>
      </w:r>
    </w:p>
    <w:p w14:paraId="52511569" w14:textId="77777777" w:rsidR="0014728A" w:rsidRPr="006C3615" w:rsidRDefault="0014728A" w:rsidP="00FD030E">
      <w:pPr>
        <w:spacing w:line="240" w:lineRule="atLeast"/>
        <w:ind w:left="709" w:hanging="709"/>
      </w:pPr>
      <w:r w:rsidRPr="006C3615">
        <w:t xml:space="preserve">Burnett, Charles.  ‘Indian Numerals in the Mediterranean Basin in the Twelfth Century’, in </w:t>
      </w:r>
      <w:r w:rsidRPr="006C3615">
        <w:rPr>
          <w:i/>
          <w:iCs/>
        </w:rPr>
        <w:t xml:space="preserve">Numerals and Arithmetic in the Middle Ages, </w:t>
      </w:r>
      <w:r w:rsidRPr="006C3615">
        <w:t>237-288</w:t>
      </w:r>
      <w:r w:rsidRPr="006C3615">
        <w:rPr>
          <w:i/>
          <w:iCs/>
        </w:rPr>
        <w:t xml:space="preserve">. </w:t>
      </w:r>
      <w:r w:rsidRPr="006C3615">
        <w:t>Fournham, Surrey: Ashgate, 2010</w:t>
      </w:r>
    </w:p>
    <w:p w14:paraId="0BAF3138" w14:textId="77777777" w:rsidR="0014728A" w:rsidRPr="006C3615" w:rsidRDefault="0014728A" w:rsidP="00FD030E">
      <w:pPr>
        <w:spacing w:line="240" w:lineRule="atLeast"/>
        <w:ind w:left="709" w:hanging="709"/>
      </w:pPr>
      <w:r w:rsidRPr="006C3615">
        <w:t xml:space="preserve">Burnett, Charles. ‘A </w:t>
      </w:r>
      <w:r>
        <w:t>G</w:t>
      </w:r>
      <w:r w:rsidRPr="006C3615">
        <w:t xml:space="preserve">roup of Arabic-Latin </w:t>
      </w:r>
      <w:r>
        <w:t>T</w:t>
      </w:r>
      <w:r w:rsidRPr="006C3615">
        <w:t xml:space="preserve">ranslators </w:t>
      </w:r>
      <w:r>
        <w:t>W</w:t>
      </w:r>
      <w:r w:rsidRPr="006C3615">
        <w:t xml:space="preserve">orking in </w:t>
      </w:r>
      <w:r>
        <w:t>N</w:t>
      </w:r>
      <w:r w:rsidRPr="006C3615">
        <w:t xml:space="preserve">orthern Spain in the </w:t>
      </w:r>
      <w:r>
        <w:t>M</w:t>
      </w:r>
      <w:r w:rsidRPr="006C3615">
        <w:t>id-12</w:t>
      </w:r>
      <w:r w:rsidRPr="006C3615">
        <w:rPr>
          <w:vertAlign w:val="superscript"/>
        </w:rPr>
        <w:t>th</w:t>
      </w:r>
      <w:r w:rsidRPr="006C3615">
        <w:t xml:space="preserve"> </w:t>
      </w:r>
      <w:r>
        <w:t>C</w:t>
      </w:r>
      <w:r w:rsidRPr="006C3615">
        <w:t xml:space="preserve">entury’.  </w:t>
      </w:r>
      <w:r w:rsidRPr="006C3615">
        <w:rPr>
          <w:i/>
          <w:iCs/>
        </w:rPr>
        <w:t>Journal of the Royal Asiatic Society of Great Britain &amp; Ireland.</w:t>
      </w:r>
      <w:r w:rsidRPr="006C3615">
        <w:t xml:space="preserve"> London: Royal Asiatic Society of Great Britain &amp; Ireland, 1977: 62-108</w:t>
      </w:r>
    </w:p>
    <w:p w14:paraId="5AFFDD2D" w14:textId="77777777" w:rsidR="0014728A" w:rsidRPr="006C3615" w:rsidRDefault="0014728A" w:rsidP="00FD030E">
      <w:pPr>
        <w:spacing w:line="240" w:lineRule="atLeast"/>
        <w:ind w:left="709" w:hanging="709"/>
      </w:pPr>
      <w:r w:rsidRPr="006C3615">
        <w:t xml:space="preserve">Burnett, Charles. ‘Adelard of Bath and the Arabs’, in </w:t>
      </w:r>
      <w:r w:rsidRPr="006C3615">
        <w:rPr>
          <w:i/>
          <w:iCs/>
        </w:rPr>
        <w:t>Rencontres de cultures dans la philosophie médiévale. Traductions et traducteurs de l'antiquité tardive au 14e siècle</w:t>
      </w:r>
      <w:r w:rsidRPr="006C3615">
        <w:t>, 1990: 89-107</w:t>
      </w:r>
    </w:p>
    <w:p w14:paraId="24D4EB27" w14:textId="77777777" w:rsidR="0014728A" w:rsidRPr="006C3615" w:rsidRDefault="0014728A" w:rsidP="00FD030E">
      <w:pPr>
        <w:spacing w:line="240" w:lineRule="atLeast"/>
        <w:ind w:left="709" w:hanging="709"/>
      </w:pPr>
      <w:r w:rsidRPr="006C3615">
        <w:t xml:space="preserve">Burnett, Charles. ‘Arabic Divinatory Texts and Celtic Folklore: A Comment on the Theory and Practice of Scapulimancy in Western Europe.’ In </w:t>
      </w:r>
      <w:r w:rsidRPr="006C3615">
        <w:rPr>
          <w:i/>
          <w:iCs/>
        </w:rPr>
        <w:t>Cambridge Medieval Celtic Studies,</w:t>
      </w:r>
      <w:r w:rsidRPr="006C3615">
        <w:t xml:space="preserve"> 6, 1983: 31-42</w:t>
      </w:r>
    </w:p>
    <w:p w14:paraId="174E0EE9" w14:textId="77777777" w:rsidR="0014728A" w:rsidRPr="006C3615" w:rsidRDefault="0014728A" w:rsidP="00FD030E">
      <w:pPr>
        <w:spacing w:line="240" w:lineRule="atLeast"/>
        <w:ind w:left="709" w:hanging="709"/>
        <w:rPr>
          <w:lang w:val="fr-FR"/>
        </w:rPr>
      </w:pPr>
      <w:r w:rsidRPr="006C3615">
        <w:rPr>
          <w:lang w:val="fr-FR"/>
        </w:rPr>
        <w:t xml:space="preserve">Burnett, Charles. ‘Aristotle as an Authority on Judicial Astrology.’ In </w:t>
      </w:r>
      <w:r w:rsidRPr="006C3615">
        <w:rPr>
          <w:i/>
          <w:iCs/>
          <w:lang w:val="fr-FR"/>
        </w:rPr>
        <w:t>Florilegium Mediaevale. Études offertes à Jacqueline Hamesse à l’occasion de son éméritat</w:t>
      </w:r>
      <w:r w:rsidRPr="006C3615">
        <w:rPr>
          <w:lang w:val="fr-FR"/>
        </w:rPr>
        <w:t>, edited by José Meirinhos and Olga Weijers, 41-62. Louvain: Louvain la Neuve, 2009</w:t>
      </w:r>
    </w:p>
    <w:p w14:paraId="289ECF05" w14:textId="77777777" w:rsidR="0014728A" w:rsidRPr="006C3615" w:rsidRDefault="0014728A" w:rsidP="00FD030E">
      <w:pPr>
        <w:spacing w:line="240" w:lineRule="atLeast"/>
        <w:ind w:left="709" w:hanging="709"/>
      </w:pPr>
      <w:r w:rsidRPr="006C3615">
        <w:rPr>
          <w:lang w:val="it-IT"/>
        </w:rPr>
        <w:t xml:space="preserve">Burnett, Charles. ‘Hermetic Geomancy, «Ratione Certi Experimenti Usitata»’. </w:t>
      </w:r>
      <w:r w:rsidRPr="006C3615">
        <w:t xml:space="preserve">In </w:t>
      </w:r>
      <w:r w:rsidRPr="006C3615">
        <w:rPr>
          <w:i/>
        </w:rPr>
        <w:t xml:space="preserve">Geomancy and Other Forms of Divination, </w:t>
      </w:r>
      <w:r w:rsidRPr="006C3615">
        <w:t>edited by Alessandro Palazzo and Irene Zavattero. Florence: SISMEL – Edizioni del Galluzzo, 2017: 135-141</w:t>
      </w:r>
    </w:p>
    <w:p w14:paraId="6F78CC81" w14:textId="77777777" w:rsidR="0014728A" w:rsidRPr="006C3615" w:rsidRDefault="0014728A" w:rsidP="00FD030E">
      <w:pPr>
        <w:spacing w:line="240" w:lineRule="atLeast"/>
        <w:ind w:left="709" w:hanging="709"/>
      </w:pPr>
      <w:r w:rsidRPr="006C3615">
        <w:t xml:space="preserve">Burnett, Charles. ‘Lunar </w:t>
      </w:r>
      <w:r>
        <w:t>A</w:t>
      </w:r>
      <w:r w:rsidRPr="006C3615">
        <w:t xml:space="preserve">strology. The </w:t>
      </w:r>
      <w:r>
        <w:t>V</w:t>
      </w:r>
      <w:r w:rsidRPr="006C3615">
        <w:t xml:space="preserve">arieties of </w:t>
      </w:r>
      <w:r>
        <w:t>T</w:t>
      </w:r>
      <w:r w:rsidRPr="006C3615">
        <w:t xml:space="preserve">exts </w:t>
      </w:r>
      <w:r>
        <w:t>U</w:t>
      </w:r>
      <w:r w:rsidRPr="006C3615">
        <w:t xml:space="preserve">sing </w:t>
      </w:r>
      <w:r>
        <w:t>L</w:t>
      </w:r>
      <w:r w:rsidRPr="006C3615">
        <w:t xml:space="preserve">unar </w:t>
      </w:r>
      <w:r>
        <w:t>M</w:t>
      </w:r>
      <w:r w:rsidRPr="006C3615">
        <w:t xml:space="preserve">ansions, with </w:t>
      </w:r>
      <w:r>
        <w:t>E</w:t>
      </w:r>
      <w:r w:rsidRPr="006C3615">
        <w:t xml:space="preserve">mphasis on Jafar Indus’. In </w:t>
      </w:r>
      <w:r w:rsidRPr="006C3615">
        <w:rPr>
          <w:i/>
          <w:iCs/>
        </w:rPr>
        <w:t>Il sole e la luna (The Sun and the Moon),</w:t>
      </w:r>
      <w:r w:rsidRPr="006C3615">
        <w:t xml:space="preserve"> 43-140.</w:t>
      </w:r>
      <w:r w:rsidRPr="006C3615">
        <w:rPr>
          <w:i/>
          <w:iCs/>
        </w:rPr>
        <w:t xml:space="preserve"> </w:t>
      </w:r>
      <w:r w:rsidRPr="006C3615">
        <w:t>Florence: SISMEL-Edizioni del Galluzzo, 2004</w:t>
      </w:r>
    </w:p>
    <w:p w14:paraId="084A5AF7" w14:textId="77777777" w:rsidR="0014728A" w:rsidRPr="006C3615" w:rsidRDefault="0014728A" w:rsidP="00FD030E">
      <w:pPr>
        <w:spacing w:line="240" w:lineRule="atLeast"/>
        <w:ind w:left="709" w:hanging="709"/>
      </w:pPr>
      <w:r w:rsidRPr="006C3615">
        <w:t xml:space="preserve">Burnett, Charles. ‘Measurement and Magic: The Texts on Measurement in the Inquisition Documents against Sellem the Moor.’ In </w:t>
      </w:r>
      <w:r w:rsidRPr="006C3615">
        <w:rPr>
          <w:i/>
          <w:iCs/>
        </w:rPr>
        <w:t>Magic in Malta: Sellem Bin Al-Sheikh Mansur and the Roman Inquisition 1605,</w:t>
      </w:r>
      <w:r w:rsidRPr="006C3615">
        <w:t xml:space="preserve"> edited by Dionisius A. Agius, Alexander Mallett and Catherine Rider, 489-502. Leiden: Brill, 2022</w:t>
      </w:r>
    </w:p>
    <w:p w14:paraId="27907100" w14:textId="77777777" w:rsidR="0014728A" w:rsidRPr="006C3615" w:rsidRDefault="0014728A" w:rsidP="00FD030E">
      <w:pPr>
        <w:spacing w:line="240" w:lineRule="atLeast"/>
        <w:ind w:left="709" w:hanging="709"/>
      </w:pPr>
      <w:r w:rsidRPr="006C3615">
        <w:t xml:space="preserve">Burnett, Charles. ‘Michael Scot and the Transmission of Scientific Culture from Toledo to Bologna via the Court of Frederick II Hohenstaufen.’ In </w:t>
      </w:r>
      <w:r w:rsidRPr="006C3615">
        <w:rPr>
          <w:i/>
          <w:iCs/>
        </w:rPr>
        <w:t>Micrologus,</w:t>
      </w:r>
      <w:r w:rsidRPr="006C3615">
        <w:t xml:space="preserve"> 2, 1994: 101-126</w:t>
      </w:r>
    </w:p>
    <w:p w14:paraId="6B4BDA79" w14:textId="77777777" w:rsidR="0014728A" w:rsidRPr="006C3615" w:rsidRDefault="0014728A" w:rsidP="00FD030E">
      <w:pPr>
        <w:spacing w:line="240" w:lineRule="atLeast"/>
        <w:ind w:left="709" w:hanging="709"/>
      </w:pPr>
      <w:r w:rsidRPr="006C3615">
        <w:t xml:space="preserve">Burnett, Charles. ‘Some Comments on the Translating of Works from Arabic into Latin in the Mid-Twelfth Century’. In </w:t>
      </w:r>
      <w:r w:rsidRPr="006C3615">
        <w:rPr>
          <w:i/>
          <w:iCs/>
        </w:rPr>
        <w:t>Miscellanea Medievalia</w:t>
      </w:r>
      <w:r w:rsidRPr="006C3615">
        <w:t>, 161-171. Berlin: Walter De Gruyter, 1985</w:t>
      </w:r>
    </w:p>
    <w:p w14:paraId="58094D1D" w14:textId="77777777" w:rsidR="0014728A" w:rsidRPr="006C3615" w:rsidRDefault="0014728A" w:rsidP="00FD030E">
      <w:pPr>
        <w:spacing w:line="240" w:lineRule="atLeast"/>
        <w:ind w:left="709" w:hanging="709"/>
      </w:pPr>
      <w:r w:rsidRPr="006C3615">
        <w:t xml:space="preserve">Burnett, Charles. ‘Ṭābit ibn Qurra the Ḥarranian on Talismans and the Spirits of the Planets.’ In </w:t>
      </w:r>
      <w:r w:rsidRPr="006C3615">
        <w:rPr>
          <w:i/>
          <w:iCs/>
        </w:rPr>
        <w:t>La Corónica</w:t>
      </w:r>
      <w:r w:rsidRPr="006C3615">
        <w:t>, 36, 2007: 13-40</w:t>
      </w:r>
    </w:p>
    <w:p w14:paraId="77E046CB" w14:textId="77777777" w:rsidR="0014728A" w:rsidRPr="006C3615" w:rsidRDefault="0014728A" w:rsidP="00FD030E">
      <w:pPr>
        <w:spacing w:line="240" w:lineRule="atLeast"/>
        <w:ind w:left="709" w:hanging="709"/>
        <w:rPr>
          <w:lang w:val="fr-FR"/>
        </w:rPr>
      </w:pPr>
      <w:r w:rsidRPr="006C3615">
        <w:rPr>
          <w:lang w:val="fr-FR"/>
        </w:rPr>
        <w:t xml:space="preserve">Burnett, Charles. ‘The Coherence if the Arabic-Latin Translation Program in Toledo in the Twelfth Century.’ In </w:t>
      </w:r>
      <w:r w:rsidRPr="006C3615">
        <w:rPr>
          <w:i/>
          <w:iCs/>
          <w:lang w:val="fr-FR"/>
        </w:rPr>
        <w:t>Science in Context,</w:t>
      </w:r>
      <w:r w:rsidRPr="006C3615">
        <w:rPr>
          <w:lang w:val="fr-FR"/>
        </w:rPr>
        <w:t xml:space="preserve"> 14 (1/2), 2001: 249-88</w:t>
      </w:r>
    </w:p>
    <w:p w14:paraId="7208E436" w14:textId="77777777" w:rsidR="0014728A" w:rsidRPr="006C3615" w:rsidRDefault="0014728A" w:rsidP="00FD030E">
      <w:pPr>
        <w:spacing w:line="240" w:lineRule="atLeast"/>
        <w:ind w:left="709" w:hanging="709"/>
        <w:rPr>
          <w:lang w:val="fr-FR"/>
        </w:rPr>
      </w:pPr>
      <w:r w:rsidRPr="006C3615">
        <w:rPr>
          <w:lang w:val="fr-FR"/>
        </w:rPr>
        <w:t xml:space="preserve">Burnett, Charles. ‘The Strategy of Revision in the Arabic-Latin Translations from Toledo: The Case of Abū Ma‘shar’s On the Great Conjunctions.’ In </w:t>
      </w:r>
      <w:r w:rsidRPr="006C3615">
        <w:rPr>
          <w:i/>
          <w:iCs/>
          <w:lang w:val="fr-FR"/>
        </w:rPr>
        <w:t>Les traducteurs au travail, leurs manuscrits et leurs méthodes,</w:t>
      </w:r>
      <w:r w:rsidRPr="006C3615">
        <w:rPr>
          <w:lang w:val="fr-FR"/>
        </w:rPr>
        <w:t xml:space="preserve"> ed. by Jaqueline Hamesse, 51-113. Turnhout: Brepols, 2001</w:t>
      </w:r>
    </w:p>
    <w:p w14:paraId="5A27DF3B" w14:textId="77777777" w:rsidR="0014728A" w:rsidRPr="006C3615" w:rsidRDefault="0014728A" w:rsidP="00FD030E">
      <w:pPr>
        <w:spacing w:line="240" w:lineRule="atLeast"/>
        <w:ind w:left="709" w:hanging="709"/>
      </w:pPr>
      <w:r w:rsidRPr="006C3615">
        <w:t xml:space="preserve">Burnett, Charles. ‘Traditions and Practices of Prognostication in the Middle Ages: Astral Sciences’. In </w:t>
      </w:r>
      <w:r w:rsidRPr="006C3615">
        <w:rPr>
          <w:i/>
          <w:iCs/>
        </w:rPr>
        <w:t xml:space="preserve">Prognostication in the Medieval World, a Handbook, Vol. 1 </w:t>
      </w:r>
      <w:r w:rsidRPr="006C3615">
        <w:t xml:space="preserve">edited by Matthias Heiduk, Klaus Herbers and Hans-Christian Lehner, 485-501. Berlin: De Gruyter, 2021 </w:t>
      </w:r>
    </w:p>
    <w:p w14:paraId="46ABBEC3" w14:textId="77777777" w:rsidR="0014728A" w:rsidRPr="006C3615" w:rsidRDefault="0014728A" w:rsidP="00FD030E">
      <w:pPr>
        <w:spacing w:line="240" w:lineRule="atLeast"/>
        <w:ind w:left="709" w:hanging="709"/>
        <w:rPr>
          <w:lang w:val="fr-FR"/>
        </w:rPr>
      </w:pPr>
      <w:r w:rsidRPr="006C3615">
        <w:rPr>
          <w:lang w:val="fr-FR"/>
        </w:rPr>
        <w:t xml:space="preserve"> Burnett, Charles. ‘Translating from Arabic into Latin in the Middle Ages: Theory, Practice, and Criticism.’ In </w:t>
      </w:r>
      <w:r w:rsidRPr="006C3615">
        <w:rPr>
          <w:i/>
          <w:iCs/>
          <w:lang w:val="fr-FR"/>
        </w:rPr>
        <w:t>Éditer, traduire, interpreter: essais de methodologie philosophique</w:t>
      </w:r>
      <w:r w:rsidRPr="006C3615">
        <w:rPr>
          <w:lang w:val="fr-FR"/>
        </w:rPr>
        <w:t>, edited by Steve G. Lofts and Philipp W. Rosemann, 55–78. Louvain-la-Neuve, 1997</w:t>
      </w:r>
    </w:p>
    <w:p w14:paraId="45C220FF" w14:textId="7AA234F9" w:rsidR="0014728A" w:rsidRPr="006C3615" w:rsidRDefault="0014728A" w:rsidP="00FD030E">
      <w:pPr>
        <w:spacing w:line="240" w:lineRule="atLeast"/>
        <w:ind w:left="709" w:hanging="709"/>
      </w:pPr>
      <w:r w:rsidRPr="006C3615">
        <w:t>Burnett, Charles. ‘Weather Forecasting, Lunar Mansions and a Disputed Attribution: the</w:t>
      </w:r>
      <w:r w:rsidR="002E0188">
        <w:t xml:space="preserve"> </w:t>
      </w:r>
      <w:r w:rsidRPr="006C3615">
        <w:rPr>
          <w:i/>
          <w:iCs/>
        </w:rPr>
        <w:t>Tractatus Pluviarum et Aeris Mutationis</w:t>
      </w:r>
      <w:r w:rsidRPr="006C3615">
        <w:t xml:space="preserve"> and </w:t>
      </w:r>
      <w:r w:rsidRPr="006C3615">
        <w:rPr>
          <w:i/>
          <w:iCs/>
        </w:rPr>
        <w:t>Epitome Totius Astrologiae</w:t>
      </w:r>
      <w:r w:rsidRPr="006C3615">
        <w:t xml:space="preserve"> of ‘Iohannes Hispalensis’. In </w:t>
      </w:r>
      <w:r w:rsidRPr="006C3615">
        <w:rPr>
          <w:i/>
          <w:iCs/>
        </w:rPr>
        <w:t>Islamic Thought in the Middle Ages</w:t>
      </w:r>
      <w:r w:rsidRPr="006C3615">
        <w:t>, edited by Anna Akasoy and Wim Raven, 219–265. Leiden: Brill, 2008</w:t>
      </w:r>
    </w:p>
    <w:p w14:paraId="4378AE87" w14:textId="77777777" w:rsidR="0014728A" w:rsidRPr="006C3615" w:rsidRDefault="0014728A" w:rsidP="00FD030E">
      <w:pPr>
        <w:spacing w:line="240" w:lineRule="atLeast"/>
        <w:ind w:left="709" w:hanging="709"/>
        <w:rPr>
          <w:lang w:val="fr-FR"/>
        </w:rPr>
      </w:pPr>
      <w:r w:rsidRPr="006C3615">
        <w:t xml:space="preserve">Burnett, Charles. ‘What is the </w:t>
      </w:r>
      <w:r w:rsidRPr="006C3615">
        <w:rPr>
          <w:i/>
          <w:iCs/>
        </w:rPr>
        <w:t>Experimentarius</w:t>
      </w:r>
      <w:r w:rsidRPr="006C3615">
        <w:t xml:space="preserve"> of Bernardus Silvestris? </w:t>
      </w:r>
      <w:r w:rsidRPr="006C3615">
        <w:rPr>
          <w:lang w:val="fr-FR"/>
        </w:rPr>
        <w:t xml:space="preserve">A </w:t>
      </w:r>
      <w:r>
        <w:rPr>
          <w:lang w:val="fr-FR"/>
        </w:rPr>
        <w:t>P</w:t>
      </w:r>
      <w:r w:rsidRPr="006C3615">
        <w:rPr>
          <w:lang w:val="fr-FR"/>
        </w:rPr>
        <w:t xml:space="preserve">reliminary Survey of the Material’. In </w:t>
      </w:r>
      <w:r w:rsidRPr="006C3615">
        <w:rPr>
          <w:i/>
          <w:iCs/>
          <w:lang w:val="fr-FR"/>
        </w:rPr>
        <w:t xml:space="preserve">Archives d’Histoire Doctrinale et Littéraire du Moyen Age, </w:t>
      </w:r>
      <w:r w:rsidRPr="006C3615">
        <w:rPr>
          <w:lang w:val="fr-FR"/>
        </w:rPr>
        <w:t>79-125. Paris: Librairie Philosophique I. Vrin, 1977</w:t>
      </w:r>
    </w:p>
    <w:p w14:paraId="07CC4D5C" w14:textId="77777777" w:rsidR="0014728A" w:rsidRPr="006C3615" w:rsidRDefault="0014728A" w:rsidP="00FD030E">
      <w:pPr>
        <w:spacing w:line="240" w:lineRule="atLeast"/>
        <w:ind w:left="709" w:hanging="709"/>
      </w:pPr>
      <w:r w:rsidRPr="006C3615">
        <w:t xml:space="preserve">Burnett, Charles. </w:t>
      </w:r>
      <w:r w:rsidRPr="006C3615">
        <w:rPr>
          <w:i/>
          <w:iCs/>
        </w:rPr>
        <w:t>Arabic into Latin in the Middle Ages. The Translators and their Intellectual and Social Context.</w:t>
      </w:r>
      <w:r w:rsidRPr="006C3615">
        <w:t xml:space="preserve"> Farnham, Surrey: Ashgate Publishing Limited, 2009</w:t>
      </w:r>
    </w:p>
    <w:p w14:paraId="43C06D81" w14:textId="77777777" w:rsidR="0014728A" w:rsidRPr="006C3615" w:rsidRDefault="0014728A" w:rsidP="00FD030E">
      <w:pPr>
        <w:spacing w:line="240" w:lineRule="atLeast"/>
        <w:ind w:left="709" w:hanging="709"/>
      </w:pPr>
      <w:r w:rsidRPr="006C3615">
        <w:t xml:space="preserve">Burnett, Charles. </w:t>
      </w:r>
      <w:r w:rsidRPr="006C3615">
        <w:rPr>
          <w:i/>
          <w:iCs/>
        </w:rPr>
        <w:t>Magic and Divination in the Middle Ages: Texts and Techniques in the Islamic and Christian World.</w:t>
      </w:r>
      <w:r w:rsidRPr="006C3615">
        <w:t xml:space="preserve"> Aldershot: Variorum, 1996</w:t>
      </w:r>
    </w:p>
    <w:p w14:paraId="4835D8B6" w14:textId="77777777" w:rsidR="0014728A" w:rsidRPr="006C3615" w:rsidRDefault="0014728A" w:rsidP="00FD030E">
      <w:pPr>
        <w:spacing w:line="240" w:lineRule="atLeast"/>
        <w:ind w:left="709" w:hanging="709"/>
      </w:pPr>
      <w:r w:rsidRPr="006C3615">
        <w:t>Burnett, Charles</w:t>
      </w:r>
      <w:r w:rsidRPr="006C3615">
        <w:rPr>
          <w:i/>
          <w:iCs/>
        </w:rPr>
        <w:t>. Numerals and Arithmetic in the Middle Ages</w:t>
      </w:r>
      <w:r w:rsidRPr="006C3615">
        <w:t>, Farnham, Surrey: Ashgate – Variorum, 2010</w:t>
      </w:r>
    </w:p>
    <w:p w14:paraId="54C798B4" w14:textId="77777777" w:rsidR="0014728A" w:rsidRPr="006C3615" w:rsidRDefault="0014728A" w:rsidP="00FD030E">
      <w:pPr>
        <w:spacing w:line="240" w:lineRule="atLeast"/>
        <w:ind w:left="709" w:hanging="709"/>
      </w:pPr>
      <w:r w:rsidRPr="006C3615">
        <w:t xml:space="preserve">Burnett, Charles. </w:t>
      </w:r>
      <w:r w:rsidRPr="006C3615">
        <w:rPr>
          <w:i/>
          <w:iCs/>
        </w:rPr>
        <w:t>The Introduction of Arabic Learning into England</w:t>
      </w:r>
      <w:r w:rsidRPr="006C3615">
        <w:t xml:space="preserve"> [The Panizzi Lectures]. London: The British Library, 1997</w:t>
      </w:r>
    </w:p>
    <w:p w14:paraId="083A2263" w14:textId="77777777" w:rsidR="0014728A" w:rsidRPr="006C3615" w:rsidRDefault="0014728A" w:rsidP="00FD030E">
      <w:pPr>
        <w:spacing w:line="240" w:lineRule="atLeast"/>
        <w:ind w:left="709" w:hanging="709"/>
      </w:pPr>
      <w:r w:rsidRPr="006C3615">
        <w:t xml:space="preserve">Cannon, Byron D. ‘Fakhr al-Din al-Razi.’ In </w:t>
      </w:r>
      <w:r w:rsidRPr="006C3615">
        <w:rPr>
          <w:i/>
          <w:iCs/>
        </w:rPr>
        <w:t>Dictionary of World Biography</w:t>
      </w:r>
      <w:r w:rsidRPr="006C3615">
        <w:t xml:space="preserve">. </w:t>
      </w:r>
      <w:r w:rsidRPr="006C3615">
        <w:rPr>
          <w:i/>
          <w:iCs/>
        </w:rPr>
        <w:t>Volume 2: The Middle Ages,</w:t>
      </w:r>
      <w:r w:rsidRPr="006C3615">
        <w:t xml:space="preserve"> edited by Frank N. Magill, 347-349. London-New York: Routledge, 1998</w:t>
      </w:r>
    </w:p>
    <w:p w14:paraId="3945E025" w14:textId="77777777" w:rsidR="0014728A" w:rsidRPr="006C3615" w:rsidRDefault="0014728A" w:rsidP="00FD030E">
      <w:pPr>
        <w:spacing w:line="240" w:lineRule="atLeast"/>
        <w:ind w:left="709" w:hanging="709"/>
      </w:pPr>
      <w:r w:rsidRPr="006C3615">
        <w:t xml:space="preserve">Cappozzo, Valerio. ‘Libri dei sogni e geomanzia: la loro applicazione letteraria tra Islam, medioevo romanzo e Dante’, in </w:t>
      </w:r>
      <w:r w:rsidRPr="006C3615">
        <w:rPr>
          <w:i/>
          <w:iCs/>
        </w:rPr>
        <w:t>Dreams and Visions in the Indo-Mediterranean World, Quaderni di Studi Indo-Mediterranei</w:t>
      </w:r>
      <w:r w:rsidRPr="006C3615">
        <w:t>, 2, 2009: 206-227</w:t>
      </w:r>
    </w:p>
    <w:p w14:paraId="48B4BD6A" w14:textId="77777777" w:rsidR="0014728A" w:rsidRPr="006C3615" w:rsidRDefault="0014728A" w:rsidP="00FD030E">
      <w:pPr>
        <w:spacing w:line="240" w:lineRule="atLeast"/>
        <w:ind w:left="709" w:hanging="709"/>
      </w:pPr>
      <w:r w:rsidRPr="006C3615">
        <w:t xml:space="preserve">Carey, Hilary M.  ‘Henry VII’s Book of Astrology and the Tudor Renaissance’, </w:t>
      </w:r>
      <w:r w:rsidRPr="006C3615">
        <w:rPr>
          <w:i/>
          <w:iCs/>
        </w:rPr>
        <w:t>Renaissance Quarterly</w:t>
      </w:r>
      <w:r w:rsidRPr="006C3615">
        <w:t xml:space="preserve">, 65, 2012: 661-710 </w:t>
      </w:r>
    </w:p>
    <w:p w14:paraId="58D35A68" w14:textId="77777777" w:rsidR="0014728A" w:rsidRPr="006C3615" w:rsidRDefault="0014728A" w:rsidP="00FD030E">
      <w:pPr>
        <w:spacing w:line="240" w:lineRule="atLeast"/>
        <w:ind w:left="709" w:hanging="709"/>
      </w:pPr>
      <w:r w:rsidRPr="006C3615">
        <w:t xml:space="preserve">Carey, Hilary M. ‘Judicial Astrology in Theory and Practice in Later Medieval Europe.’ In </w:t>
      </w:r>
      <w:r w:rsidRPr="006C3615">
        <w:rPr>
          <w:i/>
          <w:iCs/>
        </w:rPr>
        <w:t>Studies in History and Philosophy of Science Part C: Studies in History and Philosophy of Biological and Biomedical Sciences</w:t>
      </w:r>
      <w:r w:rsidRPr="006C3615">
        <w:t>, 41, 2, 2010: 90-98</w:t>
      </w:r>
    </w:p>
    <w:p w14:paraId="3F402BE3" w14:textId="77777777" w:rsidR="0014728A" w:rsidRPr="006C3615" w:rsidRDefault="0014728A" w:rsidP="00FD030E">
      <w:pPr>
        <w:spacing w:line="240" w:lineRule="atLeast"/>
        <w:ind w:left="709" w:hanging="709"/>
      </w:pPr>
      <w:r w:rsidRPr="006C3615">
        <w:t xml:space="preserve">Carey, Hilary M. </w:t>
      </w:r>
      <w:r w:rsidRPr="006C3615">
        <w:rPr>
          <w:i/>
          <w:iCs/>
        </w:rPr>
        <w:t>Courting Disaster: Astrology at the English Court and University in the Later Middle Ages</w:t>
      </w:r>
      <w:r w:rsidRPr="006C3615">
        <w:t>. New York: Macmillan, 1992</w:t>
      </w:r>
    </w:p>
    <w:p w14:paraId="1BE070B8" w14:textId="77777777" w:rsidR="0014728A" w:rsidRPr="006C3615" w:rsidRDefault="0014728A" w:rsidP="00FD030E">
      <w:pPr>
        <w:spacing w:line="240" w:lineRule="atLeast"/>
        <w:ind w:left="709" w:hanging="709"/>
      </w:pPr>
      <w:r w:rsidRPr="006C3615">
        <w:t xml:space="preserve">Carmody, Francis J. </w:t>
      </w:r>
      <w:r w:rsidRPr="006C3615">
        <w:rPr>
          <w:i/>
          <w:iCs/>
        </w:rPr>
        <w:t>Arabic Astronomical and Astrological Sciences in Latin Translation, a Critical Bibliography</w:t>
      </w:r>
      <w:r w:rsidRPr="006C3615">
        <w:t>. Berkeley-Los Angeles: University of California Press, 1956</w:t>
      </w:r>
    </w:p>
    <w:p w14:paraId="0C5100BD" w14:textId="77777777" w:rsidR="0014728A" w:rsidRPr="006C3615" w:rsidRDefault="0014728A" w:rsidP="00FD030E">
      <w:pPr>
        <w:spacing w:line="240" w:lineRule="atLeast"/>
        <w:ind w:left="709" w:hanging="709"/>
      </w:pPr>
      <w:r w:rsidRPr="006C3615">
        <w:t xml:space="preserve">Caslant, Eugene. </w:t>
      </w:r>
      <w:r w:rsidRPr="006C3615">
        <w:rPr>
          <w:i/>
          <w:iCs/>
        </w:rPr>
        <w:t>Traité élémentaire de géomancie</w:t>
      </w:r>
      <w:r w:rsidRPr="006C3615">
        <w:t>. Paris: Guy Trédaniel Éditeur, 1935</w:t>
      </w:r>
    </w:p>
    <w:p w14:paraId="1A96077D" w14:textId="74EE1465" w:rsidR="0014728A" w:rsidRPr="006C3615" w:rsidRDefault="0014728A" w:rsidP="00FD030E">
      <w:pPr>
        <w:spacing w:line="240" w:lineRule="atLeast"/>
        <w:ind w:left="709" w:hanging="709"/>
      </w:pPr>
      <w:r w:rsidRPr="006C3615">
        <w:rPr>
          <w:i/>
          <w:iCs/>
        </w:rPr>
        <w:t>Catalogue of Manuscripts in The British Museum, New Series, 1 vol. in 2 parts, part I: The Arundel Manuscripts</w:t>
      </w:r>
      <w:r w:rsidRPr="006C3615">
        <w:t>. London: British Museum, 1834-1840</w:t>
      </w:r>
    </w:p>
    <w:p w14:paraId="08A9FC10" w14:textId="77777777" w:rsidR="0014728A" w:rsidRPr="006C3615" w:rsidRDefault="0014728A" w:rsidP="00FD030E">
      <w:pPr>
        <w:spacing w:line="240" w:lineRule="atLeast"/>
        <w:ind w:left="851" w:hanging="851"/>
        <w:rPr>
          <w:lang w:val="it-IT"/>
        </w:rPr>
      </w:pPr>
      <w:r w:rsidRPr="006C3615">
        <w:rPr>
          <w:lang w:val="it-IT"/>
        </w:rPr>
        <w:t xml:space="preserve">Cavallo, Guglielmo. ‘La circolazione dei testi greci nell’Europa dell’alto medioevo.’ In </w:t>
      </w:r>
      <w:r w:rsidRPr="006C3615">
        <w:rPr>
          <w:i/>
          <w:iCs/>
          <w:lang w:val="it-IT"/>
        </w:rPr>
        <w:t>Rencontres de cultures dans la philosophie médiévale, traductions et traducteurs de l’altiquité tardive au XIVe siècle</w:t>
      </w:r>
      <w:r w:rsidRPr="006C3615">
        <w:rPr>
          <w:lang w:val="it-IT"/>
        </w:rPr>
        <w:t xml:space="preserve">, edited by </w:t>
      </w:r>
      <w:bookmarkStart w:id="160" w:name="_Hlk150422068"/>
      <w:r>
        <w:rPr>
          <w:lang w:val="it-IT"/>
        </w:rPr>
        <w:t>Ja</w:t>
      </w:r>
      <w:r w:rsidRPr="004C1CEF">
        <w:rPr>
          <w:rStyle w:val="Strong"/>
          <w:b w:val="0"/>
          <w:bCs w:val="0"/>
          <w:shd w:val="clear" w:color="auto" w:fill="FFFFFF"/>
        </w:rPr>
        <w:t>cqueline Hamesse and Marta Fattori,</w:t>
      </w:r>
      <w:r w:rsidRPr="006C3615">
        <w:rPr>
          <w:rStyle w:val="Strong"/>
          <w:shd w:val="clear" w:color="auto" w:fill="FFFFFF"/>
        </w:rPr>
        <w:t xml:space="preserve"> </w:t>
      </w:r>
      <w:bookmarkEnd w:id="160"/>
      <w:r w:rsidRPr="006C3615">
        <w:rPr>
          <w:lang w:val="it-IT"/>
        </w:rPr>
        <w:t xml:space="preserve">47-64. Louvain-la-Neuve: Publications de l’Institut d’Études Médiévales, 1990 </w:t>
      </w:r>
    </w:p>
    <w:p w14:paraId="7C37A762" w14:textId="77777777" w:rsidR="0014728A" w:rsidRPr="006C3615" w:rsidRDefault="0014728A" w:rsidP="00FD030E">
      <w:pPr>
        <w:spacing w:line="240" w:lineRule="atLeast"/>
        <w:ind w:left="709" w:hanging="709"/>
      </w:pPr>
      <w:bookmarkStart w:id="161" w:name="_Hlk52271369"/>
      <w:r w:rsidRPr="006C3615">
        <w:t xml:space="preserve">Chabás, José and Bernard R. Goldstein. </w:t>
      </w:r>
      <w:r w:rsidRPr="006C3615">
        <w:rPr>
          <w:i/>
          <w:iCs/>
        </w:rPr>
        <w:t>A survey of European astronomical tables in the late Middle Ages.</w:t>
      </w:r>
      <w:r w:rsidRPr="006C3615">
        <w:t xml:space="preserve"> Leiden: Brill, 2012</w:t>
      </w:r>
    </w:p>
    <w:p w14:paraId="7E1D55EE" w14:textId="77777777" w:rsidR="0014728A" w:rsidRPr="006C3615" w:rsidRDefault="0014728A" w:rsidP="00FD030E">
      <w:pPr>
        <w:spacing w:line="240" w:lineRule="atLeast"/>
        <w:ind w:left="709" w:hanging="709"/>
      </w:pPr>
      <w:r w:rsidRPr="006C3615">
        <w:t xml:space="preserve">Chabás, José. ‘Interactions between Jewish and Christian Astronomers in the Iberian Peninsula’. In </w:t>
      </w:r>
      <w:r w:rsidRPr="006C3615">
        <w:rPr>
          <w:i/>
          <w:iCs/>
        </w:rPr>
        <w:t>Science in Medieval Jewish Culture</w:t>
      </w:r>
      <w:r w:rsidRPr="006C3615">
        <w:t xml:space="preserve">s, edited by Gad Freudenthal, 147-171. New York: Cambridge University Press, 2011 </w:t>
      </w:r>
    </w:p>
    <w:p w14:paraId="46768B10" w14:textId="77777777" w:rsidR="0014728A" w:rsidRPr="006C3615" w:rsidRDefault="0014728A" w:rsidP="00FD030E">
      <w:pPr>
        <w:spacing w:line="240" w:lineRule="atLeast"/>
        <w:ind w:left="709" w:hanging="709"/>
      </w:pPr>
      <w:r w:rsidRPr="006C3615">
        <w:rPr>
          <w:lang w:val="fr-FR"/>
        </w:rPr>
        <w:t xml:space="preserve">Charmasson, Thérèse. ‘La Géomancie Médiévale. Les Traités et leur Diffusion.’ </w:t>
      </w:r>
      <w:r w:rsidRPr="006C3615">
        <w:t xml:space="preserve">In </w:t>
      </w:r>
      <w:r w:rsidRPr="006C3615">
        <w:rPr>
          <w:i/>
          <w:iCs/>
        </w:rPr>
        <w:t>Geomancy and Other Forms of Divination</w:t>
      </w:r>
      <w:r w:rsidRPr="006C3615">
        <w:t>, edited by Alessandro Palazzo and Irene Zavattero, 5-29. Florence: SISMEL- Edizioni del Galluzzo, 2017</w:t>
      </w:r>
    </w:p>
    <w:p w14:paraId="4CC1CB8A" w14:textId="77777777" w:rsidR="0014728A" w:rsidRPr="006C3615" w:rsidRDefault="0014728A" w:rsidP="00FD030E">
      <w:pPr>
        <w:spacing w:line="240" w:lineRule="atLeast"/>
        <w:ind w:left="709" w:hanging="709"/>
      </w:pPr>
      <w:r w:rsidRPr="006C3615">
        <w:rPr>
          <w:lang w:val="fr-FR"/>
        </w:rPr>
        <w:t xml:space="preserve">Charmasson, Thérèse. ‘Roland l’Écrivain, médecin des ducs de Bourgogne.’ In </w:t>
      </w:r>
      <w:r w:rsidRPr="006C3615">
        <w:rPr>
          <w:i/>
          <w:iCs/>
          <w:lang w:val="fr-FR"/>
        </w:rPr>
        <w:t>Actes du 101e Congrès des sociétés savantes,</w:t>
      </w:r>
      <w:r w:rsidRPr="006C3615">
        <w:rPr>
          <w:lang w:val="fr-FR"/>
        </w:rPr>
        <w:t xml:space="preserve"> III, 1976: 21-32</w:t>
      </w:r>
    </w:p>
    <w:p w14:paraId="41AA4819" w14:textId="77777777" w:rsidR="0014728A" w:rsidRPr="006C3615" w:rsidRDefault="0014728A" w:rsidP="00FD030E">
      <w:pPr>
        <w:spacing w:line="240" w:lineRule="atLeast"/>
        <w:ind w:left="851" w:hanging="851"/>
        <w:rPr>
          <w:lang w:val="it-IT"/>
        </w:rPr>
      </w:pPr>
      <w:r w:rsidRPr="006C3615">
        <w:rPr>
          <w:lang w:val="fr-FR"/>
        </w:rPr>
        <w:t xml:space="preserve">Charmasson, Thérèse. </w:t>
      </w:r>
      <w:r w:rsidRPr="006C3615">
        <w:rPr>
          <w:i/>
          <w:iCs/>
          <w:lang w:val="fr-FR"/>
        </w:rPr>
        <w:t>Recherces sur une Technique Divinatoire: la Géomancie dans l’Occident Médiéval</w:t>
      </w:r>
      <w:r w:rsidRPr="006C3615">
        <w:rPr>
          <w:lang w:val="fr-FR"/>
        </w:rPr>
        <w:t xml:space="preserve">. </w:t>
      </w:r>
      <w:r w:rsidRPr="006C3615">
        <w:rPr>
          <w:lang w:val="it-IT"/>
        </w:rPr>
        <w:t>Geneva: Librairie Droz, 1980</w:t>
      </w:r>
    </w:p>
    <w:p w14:paraId="3C9CAE31" w14:textId="77777777" w:rsidR="0014728A" w:rsidRPr="006C3615" w:rsidRDefault="0014728A" w:rsidP="00FD030E">
      <w:pPr>
        <w:spacing w:line="240" w:lineRule="atLeast"/>
        <w:ind w:left="851" w:hanging="851"/>
        <w:rPr>
          <w:lang w:val="it-IT"/>
        </w:rPr>
      </w:pPr>
      <w:r w:rsidRPr="006C3615">
        <w:rPr>
          <w:lang w:val="it-IT"/>
        </w:rPr>
        <w:t xml:space="preserve">Clark, Charles. ‘The Zodiac Man in Medieval Medical Astrology.’ In </w:t>
      </w:r>
      <w:r w:rsidRPr="006C3615">
        <w:rPr>
          <w:i/>
          <w:iCs/>
          <w:lang w:val="it-IT"/>
        </w:rPr>
        <w:t>Quidditas</w:t>
      </w:r>
      <w:r w:rsidRPr="006C3615">
        <w:rPr>
          <w:lang w:val="it-IT"/>
        </w:rPr>
        <w:t>, 3 (3), 1982: 13-38</w:t>
      </w:r>
    </w:p>
    <w:p w14:paraId="61D34FBC" w14:textId="77777777" w:rsidR="0014728A" w:rsidRPr="006C3615" w:rsidRDefault="0014728A" w:rsidP="00FD030E">
      <w:pPr>
        <w:spacing w:line="240" w:lineRule="atLeast"/>
        <w:ind w:left="851" w:hanging="851"/>
        <w:rPr>
          <w:lang w:val="it-IT"/>
        </w:rPr>
      </w:pPr>
      <w:r w:rsidRPr="006C3615">
        <w:rPr>
          <w:lang w:val="it-IT"/>
        </w:rPr>
        <w:t xml:space="preserve">Cochrane, Louisa. ‘Adelard of Bath and the </w:t>
      </w:r>
      <w:r>
        <w:rPr>
          <w:lang w:val="it-IT"/>
        </w:rPr>
        <w:t>A</w:t>
      </w:r>
      <w:r w:rsidRPr="006C3615">
        <w:rPr>
          <w:lang w:val="it-IT"/>
        </w:rPr>
        <w:t xml:space="preserve">strolabe.’ In </w:t>
      </w:r>
      <w:r w:rsidRPr="006C3615">
        <w:rPr>
          <w:i/>
          <w:iCs/>
          <w:lang w:val="it-IT"/>
        </w:rPr>
        <w:t>Proceedings of the Somersetshire Archaeological and Natural History Society</w:t>
      </w:r>
      <w:r w:rsidRPr="006C3615">
        <w:rPr>
          <w:lang w:val="it-IT"/>
        </w:rPr>
        <w:t>, 124, 1980: 141-150</w:t>
      </w:r>
    </w:p>
    <w:p w14:paraId="02A6D982" w14:textId="77777777" w:rsidR="0014728A" w:rsidRPr="006C3615" w:rsidRDefault="0014728A" w:rsidP="00FD030E">
      <w:pPr>
        <w:spacing w:line="240" w:lineRule="atLeast"/>
        <w:ind w:left="851" w:hanging="851"/>
        <w:rPr>
          <w:lang w:val="it-IT"/>
        </w:rPr>
      </w:pPr>
      <w:r w:rsidRPr="006C3615">
        <w:rPr>
          <w:lang w:val="it-IT"/>
        </w:rPr>
        <w:t xml:space="preserve">Cochrane, Louisa. </w:t>
      </w:r>
      <w:r w:rsidRPr="006C3615">
        <w:rPr>
          <w:i/>
          <w:iCs/>
          <w:lang w:val="it-IT"/>
        </w:rPr>
        <w:t>Adelard of Bath: the first English scientist.</w:t>
      </w:r>
      <w:r w:rsidRPr="006C3615">
        <w:rPr>
          <w:lang w:val="it-IT"/>
        </w:rPr>
        <w:t xml:space="preserve"> London: British Museum, 1994</w:t>
      </w:r>
    </w:p>
    <w:p w14:paraId="55F30D84" w14:textId="77777777" w:rsidR="0014728A" w:rsidRPr="006C3615" w:rsidRDefault="0014728A" w:rsidP="00FD030E">
      <w:pPr>
        <w:spacing w:line="240" w:lineRule="atLeast"/>
        <w:ind w:left="709" w:hanging="709"/>
      </w:pPr>
      <w:r w:rsidRPr="006C3615">
        <w:t xml:space="preserve">Contini, Gianfranco. </w:t>
      </w:r>
      <w:r w:rsidRPr="006C3615">
        <w:rPr>
          <w:i/>
          <w:iCs/>
        </w:rPr>
        <w:t>Un poemetto provenzale di argomento geomantico.</w:t>
      </w:r>
      <w:r w:rsidRPr="006C3615">
        <w:t xml:space="preserve"> Fribourg: Université de Fribourg, 1940</w:t>
      </w:r>
    </w:p>
    <w:p w14:paraId="685A711F" w14:textId="77777777" w:rsidR="0014728A" w:rsidRPr="006C3615" w:rsidRDefault="0014728A" w:rsidP="00FD030E">
      <w:pPr>
        <w:spacing w:line="240" w:lineRule="atLeast"/>
        <w:ind w:left="709" w:hanging="709"/>
      </w:pPr>
      <w:r w:rsidRPr="006C3615">
        <w:t xml:space="preserve">Coopland, George William. </w:t>
      </w:r>
      <w:r w:rsidRPr="006C3615">
        <w:rPr>
          <w:i/>
          <w:iCs/>
        </w:rPr>
        <w:t>Nicole Oresme and the Astrologers. A Study of his Livre de Divinacions.</w:t>
      </w:r>
      <w:r w:rsidRPr="006C3615">
        <w:t xml:space="preserve"> Cambridge, Mass.: Harvard University Press, 1952</w:t>
      </w:r>
    </w:p>
    <w:p w14:paraId="70B29FE1" w14:textId="77777777" w:rsidR="0014728A" w:rsidRPr="006C3615" w:rsidRDefault="0014728A" w:rsidP="00FD030E">
      <w:pPr>
        <w:spacing w:line="240" w:lineRule="atLeast"/>
        <w:ind w:left="709" w:hanging="709"/>
      </w:pPr>
      <w:r w:rsidRPr="006C3615">
        <w:t xml:space="preserve">Coote, Lesley. </w:t>
      </w:r>
      <w:r w:rsidRPr="006C3615">
        <w:rPr>
          <w:i/>
          <w:iCs/>
        </w:rPr>
        <w:t xml:space="preserve">Prophecy in Public Affairs in Later Medieval England. </w:t>
      </w:r>
      <w:r w:rsidRPr="006C3615">
        <w:t>York: York Medieval Press, 2000</w:t>
      </w:r>
    </w:p>
    <w:p w14:paraId="0FAC70FA" w14:textId="77777777" w:rsidR="0014728A" w:rsidRPr="006C3615" w:rsidRDefault="0014728A" w:rsidP="00FD030E">
      <w:pPr>
        <w:spacing w:line="240" w:lineRule="atLeast"/>
        <w:ind w:left="709" w:hanging="709"/>
      </w:pPr>
      <w:r w:rsidRPr="006C3615">
        <w:t xml:space="preserve">Craven, James B.  </w:t>
      </w:r>
      <w:r w:rsidRPr="006C3615">
        <w:rPr>
          <w:i/>
          <w:iCs/>
        </w:rPr>
        <w:t>Doctor Robert Fludd (Robertus de Fluctibus) the English Rosicrucian: Life and Writings</w:t>
      </w:r>
      <w:r w:rsidRPr="006C3615">
        <w:t xml:space="preserve">. Kirkwall: William Peace &amp; Son, 1902 </w:t>
      </w:r>
    </w:p>
    <w:p w14:paraId="6576F292" w14:textId="77777777" w:rsidR="0014728A" w:rsidRPr="006C3615" w:rsidRDefault="0014728A" w:rsidP="00FD030E">
      <w:pPr>
        <w:spacing w:line="240" w:lineRule="atLeast"/>
        <w:ind w:left="709" w:hanging="709"/>
      </w:pPr>
      <w:r w:rsidRPr="006C3615">
        <w:t xml:space="preserve">d’Alverny, Marie-Thérèse. ‘Translations and Translators’. In </w:t>
      </w:r>
      <w:r w:rsidRPr="006C3615">
        <w:rPr>
          <w:i/>
          <w:iCs/>
        </w:rPr>
        <w:t>Renaissance and Renewal in the Twelfth Century</w:t>
      </w:r>
      <w:r w:rsidRPr="006C3615">
        <w:t xml:space="preserve">, edited by Robert L. Benson and Giles Constable, 421-462. Oxford: Claredon Press, 1982   </w:t>
      </w:r>
    </w:p>
    <w:p w14:paraId="1F44BD62" w14:textId="77777777" w:rsidR="0014728A" w:rsidRPr="006C3615" w:rsidRDefault="0014728A" w:rsidP="00FD030E">
      <w:pPr>
        <w:spacing w:line="240" w:lineRule="atLeast"/>
        <w:ind w:left="709" w:hanging="709"/>
      </w:pPr>
      <w:r w:rsidRPr="006C3615">
        <w:t xml:space="preserve">D’Ancona, Alessandro. </w:t>
      </w:r>
      <w:r w:rsidRPr="006C3615">
        <w:rPr>
          <w:i/>
          <w:iCs/>
        </w:rPr>
        <w:t>Il Tesoro di Brunetto Latini Versificato</w:t>
      </w:r>
      <w:r w:rsidRPr="006C3615">
        <w:t>. Rome: Accademia dei Licei, 1889</w:t>
      </w:r>
    </w:p>
    <w:p w14:paraId="2B22131F" w14:textId="77777777" w:rsidR="0014728A" w:rsidRPr="006C3615" w:rsidRDefault="0014728A" w:rsidP="00FD030E">
      <w:pPr>
        <w:spacing w:line="240" w:lineRule="atLeast"/>
        <w:ind w:left="709" w:hanging="709"/>
      </w:pPr>
      <w:r w:rsidRPr="006C3615">
        <w:t xml:space="preserve">d’Ancona, Cristina. ‘Le traduzioni in latino e in arabo. Continuità e trasformazioni della tradizione filosofica greca fra tarda antichità e Medioevo.’ In </w:t>
      </w:r>
      <w:r w:rsidRPr="006C3615">
        <w:rPr>
          <w:i/>
          <w:iCs/>
        </w:rPr>
        <w:t>Universalità della ragione: pluralità delle filosofie nel Medioevo = Universalité de la raison: pluralité des philosophies au Moyen Âge = Universality of reason: plurality of philosophies in the Middle Ages: XII Congresso internazionale di filosofia medievale, Palermo, 17-22 settembre 2007</w:t>
      </w:r>
      <w:r w:rsidRPr="006C3615">
        <w:t xml:space="preserve">, edited by Alessandro Musco, 73-103. Palermo: Officina di Studi Medievali, 2012 </w:t>
      </w:r>
    </w:p>
    <w:p w14:paraId="554460C8" w14:textId="77777777" w:rsidR="0014728A" w:rsidRPr="006C3615" w:rsidRDefault="0014728A" w:rsidP="00FD030E">
      <w:pPr>
        <w:spacing w:line="240" w:lineRule="atLeast"/>
        <w:ind w:left="709" w:hanging="709"/>
      </w:pPr>
      <w:r w:rsidRPr="006C3615">
        <w:t xml:space="preserve">Dalla Costa, Arianna. ‘Lunar mansions as celestial images in the thirteenth-century </w:t>
      </w:r>
      <w:r w:rsidRPr="006C3615">
        <w:rPr>
          <w:i/>
          <w:iCs/>
        </w:rPr>
        <w:t>De signis astronomicis.</w:t>
      </w:r>
      <w:r w:rsidRPr="006C3615">
        <w:t xml:space="preserve">’ In </w:t>
      </w:r>
      <w:r w:rsidRPr="006C3615">
        <w:rPr>
          <w:i/>
          <w:iCs/>
        </w:rPr>
        <w:t>Per cognitionem uisualem. The Visualization of Cognitive and Natural Processes in the Middle Ages. XXV Annual Colloquium of the SIEPM</w:t>
      </w:r>
      <w:r w:rsidRPr="006C3615">
        <w:t xml:space="preserve"> [Rencontres de Philosophie Médiévale, 27], edited by José Higuera Rubio, 113-132. Turnhout: Brepols, 2023</w:t>
      </w:r>
    </w:p>
    <w:p w14:paraId="3B41AE4D" w14:textId="77777777" w:rsidR="0014728A" w:rsidRPr="006C3615" w:rsidRDefault="0014728A" w:rsidP="00FD030E">
      <w:pPr>
        <w:spacing w:line="240" w:lineRule="atLeast"/>
        <w:ind w:left="709" w:hanging="709"/>
      </w:pPr>
      <w:r w:rsidRPr="006C3615">
        <w:t xml:space="preserve">de Gray Birch, Walter and Henry Jenner. </w:t>
      </w:r>
      <w:r w:rsidRPr="006C3615">
        <w:rPr>
          <w:i/>
          <w:iCs/>
        </w:rPr>
        <w:t>Early Drawings and Illuminations: An Introduction to the Study of Illustrated Manuscripts</w:t>
      </w:r>
      <w:r w:rsidRPr="006C3615">
        <w:t xml:space="preserve">. London: Bagster and Sons, 1879 </w:t>
      </w:r>
    </w:p>
    <w:p w14:paraId="61C88B0D" w14:textId="77777777" w:rsidR="0014728A" w:rsidRPr="006C3615" w:rsidRDefault="0014728A" w:rsidP="00FD030E">
      <w:pPr>
        <w:spacing w:line="240" w:lineRule="atLeast"/>
        <w:ind w:left="709" w:hanging="709"/>
      </w:pPr>
      <w:r w:rsidRPr="006C3615">
        <w:t xml:space="preserve">De Jong, Helena Maria Elisabeth. </w:t>
      </w:r>
      <w:r w:rsidRPr="006C3615">
        <w:rPr>
          <w:i/>
          <w:iCs/>
        </w:rPr>
        <w:t>Michael Maier’s Atalanta Fugiens, Sources of an Alchemical Book of Emblems.</w:t>
      </w:r>
      <w:r w:rsidRPr="006C3615">
        <w:t xml:space="preserve"> Leiden: Brill, 1969</w:t>
      </w:r>
    </w:p>
    <w:p w14:paraId="658B4BB6" w14:textId="77777777" w:rsidR="0014728A" w:rsidRPr="006C3615" w:rsidRDefault="0014728A" w:rsidP="00FD030E">
      <w:pPr>
        <w:spacing w:line="240" w:lineRule="atLeast"/>
        <w:ind w:left="709" w:hanging="709"/>
      </w:pPr>
      <w:r w:rsidRPr="006C3615">
        <w:t xml:space="preserve">de Libera, Alain. </w:t>
      </w:r>
      <w:r w:rsidRPr="006C3615">
        <w:rPr>
          <w:i/>
          <w:iCs/>
        </w:rPr>
        <w:t>Penser au Moyen</w:t>
      </w:r>
      <w:r w:rsidRPr="006C3615">
        <w:t xml:space="preserve"> </w:t>
      </w:r>
      <w:r w:rsidRPr="006C3615">
        <w:rPr>
          <w:i/>
          <w:iCs/>
        </w:rPr>
        <w:t>Âge.</w:t>
      </w:r>
      <w:r w:rsidRPr="006C3615">
        <w:t xml:space="preserve"> Paris: Editions du Seuil, 1991</w:t>
      </w:r>
    </w:p>
    <w:p w14:paraId="2BE464BA" w14:textId="77777777" w:rsidR="0014728A" w:rsidRPr="006C3615" w:rsidRDefault="0014728A" w:rsidP="00FD030E">
      <w:pPr>
        <w:spacing w:line="240" w:lineRule="atLeast"/>
        <w:ind w:left="709" w:hanging="709"/>
      </w:pPr>
      <w:r w:rsidRPr="006C3615">
        <w:t xml:space="preserve">de Rola, Stanislas Klossowski. </w:t>
      </w:r>
      <w:r w:rsidRPr="006C3615">
        <w:rPr>
          <w:i/>
          <w:iCs/>
        </w:rPr>
        <w:t>Alchimie: florilège de l’art secret.</w:t>
      </w:r>
      <w:r w:rsidRPr="006C3615">
        <w:t xml:space="preserve"> Paris: Éditions du Seuil, 1974</w:t>
      </w:r>
    </w:p>
    <w:p w14:paraId="73F904B7" w14:textId="6C91531C" w:rsidR="0014728A" w:rsidRPr="006C3615" w:rsidRDefault="0014728A" w:rsidP="00FD030E">
      <w:pPr>
        <w:spacing w:line="240" w:lineRule="atLeast"/>
        <w:ind w:left="709" w:hanging="709"/>
      </w:pPr>
      <w:r w:rsidRPr="006C3615">
        <w:t xml:space="preserve">Debus, Allen G. ‘The Sun in the Universe of Robert Fludd.’ In </w:t>
      </w:r>
      <w:r w:rsidRPr="006C3615">
        <w:rPr>
          <w:i/>
          <w:iCs/>
        </w:rPr>
        <w:t>Le Soleil à la Renaissance, Sciences et Mythes: colloque international tenu en avril 1963 sous les auspices de la Fédération internationale des instituts et sociétés pour l'étude de la Renaissance, et du Ministère de l'education nationale et de la culture de Belgique</w:t>
      </w:r>
      <w:r w:rsidRPr="006C3615">
        <w:t xml:space="preserve">, 259-278. Bruxelles: Presses universitaires de Bruxelles, 1965 </w:t>
      </w:r>
    </w:p>
    <w:p w14:paraId="3336D5D2" w14:textId="77777777" w:rsidR="0014728A" w:rsidRPr="006C3615" w:rsidRDefault="0014728A" w:rsidP="00FD030E">
      <w:pPr>
        <w:spacing w:line="240" w:lineRule="atLeast"/>
        <w:ind w:left="709" w:hanging="709"/>
      </w:pPr>
      <w:r w:rsidRPr="006C3615">
        <w:t xml:space="preserve">Debus, Allen G. ‘Renaissance Chemistry and the Work of Robert Fludd.’ In </w:t>
      </w:r>
      <w:r w:rsidRPr="006C3615">
        <w:rPr>
          <w:i/>
          <w:iCs/>
        </w:rPr>
        <w:t>Ambix</w:t>
      </w:r>
      <w:r w:rsidRPr="006C3615">
        <w:t>, 14, 1967: 42-59</w:t>
      </w:r>
    </w:p>
    <w:p w14:paraId="59B59E26" w14:textId="77777777" w:rsidR="0014728A" w:rsidRPr="006C3615" w:rsidRDefault="0014728A" w:rsidP="00FD030E">
      <w:pPr>
        <w:spacing w:line="240" w:lineRule="atLeast"/>
        <w:ind w:left="709" w:hanging="709"/>
      </w:pPr>
      <w:r w:rsidRPr="006C3615">
        <w:t xml:space="preserve">Deery Kurtz, Patrizia and Linda Ehrsam Voigts, ‘A Significance of Now-Dispersed Bute 13: A Mixed-Language Scientific Manuscript’. In </w:t>
      </w:r>
      <w:r w:rsidRPr="006C3615">
        <w:rPr>
          <w:i/>
          <w:iCs/>
        </w:rPr>
        <w:t xml:space="preserve">Communicating Early English Manuscripts, </w:t>
      </w:r>
      <w:r w:rsidRPr="006C3615">
        <w:t xml:space="preserve">edited by Päivi Pahta and Andreas H. Jucker, 38-54. Cambridge: Cambridge University Press, 2011 </w:t>
      </w:r>
    </w:p>
    <w:p w14:paraId="2780EEE0" w14:textId="77777777" w:rsidR="0014728A" w:rsidRPr="006C3615" w:rsidRDefault="0014728A" w:rsidP="00FD030E">
      <w:pPr>
        <w:spacing w:line="240" w:lineRule="atLeast"/>
        <w:ind w:left="709" w:hanging="709"/>
      </w:pPr>
      <w:r w:rsidRPr="006C3615">
        <w:t xml:space="preserve">Deimann, Wiebke and David Juste (eds.). </w:t>
      </w:r>
      <w:r w:rsidRPr="006C3615">
        <w:rPr>
          <w:i/>
          <w:iCs/>
        </w:rPr>
        <w:t>Astrologers and their clients in medieval and early modern Europe</w:t>
      </w:r>
      <w:r w:rsidRPr="006C3615">
        <w:t>. Köln: Böhlau, 2015</w:t>
      </w:r>
    </w:p>
    <w:p w14:paraId="1858BD67" w14:textId="77777777" w:rsidR="0014728A" w:rsidRPr="006C3615" w:rsidRDefault="0014728A" w:rsidP="00FD030E">
      <w:pPr>
        <w:spacing w:line="240" w:lineRule="atLeast"/>
        <w:ind w:left="709" w:hanging="709"/>
      </w:pPr>
      <w:r w:rsidRPr="006C3615">
        <w:t xml:space="preserve">DiTommaso, Lorenzo. </w:t>
      </w:r>
      <w:r w:rsidRPr="006C3615">
        <w:rPr>
          <w:i/>
          <w:iCs/>
        </w:rPr>
        <w:t>The Book of Daniel and the Apocryphal Daniel Literature</w:t>
      </w:r>
      <w:r w:rsidRPr="006C3615">
        <w:t>. Leiden-Boston: Brill, 2005</w:t>
      </w:r>
    </w:p>
    <w:p w14:paraId="1F66CA79" w14:textId="77777777" w:rsidR="0014728A" w:rsidRPr="006C3615" w:rsidRDefault="0014728A" w:rsidP="00FD030E">
      <w:pPr>
        <w:spacing w:line="240" w:lineRule="atLeast"/>
        <w:ind w:left="709" w:hanging="709"/>
      </w:pPr>
      <w:r w:rsidRPr="006C3615">
        <w:t xml:space="preserve">Dunn, Richard, Silke Ackermann, Giorgio Strano (eds.). </w:t>
      </w:r>
      <w:r w:rsidRPr="006C3615">
        <w:rPr>
          <w:i/>
          <w:iCs/>
        </w:rPr>
        <w:t>Heaven and Earth united: instruments in astrological contexts.</w:t>
      </w:r>
      <w:r w:rsidRPr="006C3615">
        <w:t xml:space="preserve"> Leiden: Brill, 2018</w:t>
      </w:r>
    </w:p>
    <w:p w14:paraId="45724452" w14:textId="77777777" w:rsidR="0014728A" w:rsidRPr="006C3615" w:rsidRDefault="0014728A" w:rsidP="00FD030E">
      <w:pPr>
        <w:spacing w:line="240" w:lineRule="atLeast"/>
        <w:ind w:left="709" w:hanging="709"/>
      </w:pPr>
      <w:r w:rsidRPr="006C3615">
        <w:t xml:space="preserve">Eastwood, Bruce. </w:t>
      </w:r>
      <w:r w:rsidRPr="006C3615">
        <w:rPr>
          <w:i/>
          <w:iCs/>
        </w:rPr>
        <w:t>Ordering the heavens: Roman astronomy and cosmology in the Carolingian Renaissance.</w:t>
      </w:r>
      <w:r w:rsidRPr="006C3615">
        <w:t xml:space="preserve"> Leiden: Brill, 2007</w:t>
      </w:r>
    </w:p>
    <w:p w14:paraId="4BB3D8C0" w14:textId="77777777" w:rsidR="0014728A" w:rsidRPr="006C3615" w:rsidRDefault="0014728A" w:rsidP="00FD030E">
      <w:pPr>
        <w:spacing w:line="240" w:lineRule="atLeast"/>
        <w:ind w:left="709" w:hanging="709"/>
      </w:pPr>
      <w:r w:rsidRPr="006C3615">
        <w:t xml:space="preserve">Ebneter, Theodor. </w:t>
      </w:r>
      <w:r w:rsidRPr="006C3615">
        <w:rPr>
          <w:i/>
          <w:iCs/>
        </w:rPr>
        <w:t>Poème sur les signes géomantiques en ancient Provençal, publié d’après le manuscript unique de la Bibliothèque Nationale de Paris</w:t>
      </w:r>
      <w:r w:rsidRPr="006C3615">
        <w:t xml:space="preserve"> [Bibliotheca Helvetica Romana II]. Lausanne: Urs Graf-Verlag, 1995</w:t>
      </w:r>
    </w:p>
    <w:p w14:paraId="4D8F2B38" w14:textId="77777777" w:rsidR="0014728A" w:rsidRPr="006C3615" w:rsidRDefault="0014728A" w:rsidP="00FD030E">
      <w:pPr>
        <w:spacing w:line="240" w:lineRule="atLeast"/>
        <w:ind w:left="709" w:hanging="709"/>
      </w:pPr>
      <w:r w:rsidRPr="006C3615">
        <w:t xml:space="preserve">Edson, Evelyn and Emilie Savage-Smith. </w:t>
      </w:r>
      <w:r w:rsidRPr="006C3615">
        <w:rPr>
          <w:i/>
          <w:iCs/>
        </w:rPr>
        <w:t>Medieval Views of the Cosmos. Picturing the Universe in the Christian and Islamic Middle Ages</w:t>
      </w:r>
      <w:r w:rsidRPr="006C3615">
        <w:t xml:space="preserve">. Oxford: Bodleian Library-University of Oxford, 2004 </w:t>
      </w:r>
    </w:p>
    <w:p w14:paraId="0879EBA6" w14:textId="77777777" w:rsidR="0014728A" w:rsidRPr="006C3615" w:rsidRDefault="0014728A" w:rsidP="00FD030E">
      <w:pPr>
        <w:spacing w:line="240" w:lineRule="atLeast"/>
        <w:ind w:left="709" w:hanging="709"/>
      </w:pPr>
      <w:r w:rsidRPr="006C3615">
        <w:t xml:space="preserve">Emerton, Norma E. ‘Creation in the Thought of J. B. van Helmont and Robert Fludd.’ In </w:t>
      </w:r>
      <w:r w:rsidRPr="006C3615">
        <w:rPr>
          <w:i/>
          <w:iCs/>
        </w:rPr>
        <w:t>Alchemy and Chemistry in the 16th and 17th Centuries</w:t>
      </w:r>
      <w:r w:rsidRPr="006C3615">
        <w:t>, edited by Piyo Rattansi and Antonio Clericuzio, 85-101. Dordrecht: Kluwer Academic Publishers, 1994</w:t>
      </w:r>
    </w:p>
    <w:p w14:paraId="4851ECC9" w14:textId="1E2E5315" w:rsidR="0014728A" w:rsidRPr="006C3615" w:rsidRDefault="0014728A" w:rsidP="00FD030E">
      <w:pPr>
        <w:spacing w:line="240" w:lineRule="atLeast"/>
        <w:ind w:left="709" w:hanging="709"/>
      </w:pPr>
      <w:r w:rsidRPr="006C3615">
        <w:t xml:space="preserve">Fahd, Toufic.  ‘khaṭṭ’, in </w:t>
      </w:r>
      <w:r w:rsidRPr="006C3615">
        <w:rPr>
          <w:i/>
          <w:iCs/>
        </w:rPr>
        <w:t>Encyclopédie de l’Islam. Nouvelle édition,</w:t>
      </w:r>
      <w:r w:rsidRPr="006C3615">
        <w:t xml:space="preserve"> edited by E. van Donzel, B. Lewis, Ch. Pellat, t. IV, coll. 1160-62. Leiden: Brill, 1978 </w:t>
      </w:r>
    </w:p>
    <w:p w14:paraId="09F5BEAE" w14:textId="77777777" w:rsidR="0014728A" w:rsidRPr="006C3615" w:rsidRDefault="0014728A" w:rsidP="00FD030E">
      <w:pPr>
        <w:spacing w:line="240" w:lineRule="atLeast"/>
        <w:ind w:left="709" w:hanging="709"/>
      </w:pPr>
      <w:r w:rsidRPr="006C3615">
        <w:t xml:space="preserve">Fahd, Toufic. </w:t>
      </w:r>
      <w:r w:rsidRPr="006C3615">
        <w:rPr>
          <w:i/>
          <w:iCs/>
        </w:rPr>
        <w:t>La divination Arabe. Études religieuses, sociologiques er folkloriques sur le milieu natif del’Islam.</w:t>
      </w:r>
      <w:r w:rsidRPr="006C3615">
        <w:t xml:space="preserve"> Leiden: Brill, 1966</w:t>
      </w:r>
    </w:p>
    <w:p w14:paraId="33A0BCA7" w14:textId="77777777" w:rsidR="0014728A" w:rsidRPr="006C3615" w:rsidRDefault="0014728A" w:rsidP="00FD030E">
      <w:pPr>
        <w:spacing w:line="240" w:lineRule="atLeast"/>
        <w:ind w:left="709" w:hanging="709"/>
      </w:pPr>
      <w:r w:rsidRPr="006C3615">
        <w:t xml:space="preserve">Falk, Harry, ‘The Early Use of Nakṣatras.’ In </w:t>
      </w:r>
      <w:r w:rsidRPr="006C3615">
        <w:rPr>
          <w:i/>
          <w:iCs/>
        </w:rPr>
        <w:t>The Interactions of Ancient Astral Science</w:t>
      </w:r>
      <w:r w:rsidRPr="006C3615">
        <w:t>, edited by David Brown, 257-532. Bremen: Hempen Verlag, 2018</w:t>
      </w:r>
    </w:p>
    <w:p w14:paraId="38722949" w14:textId="77777777" w:rsidR="0014728A" w:rsidRPr="006C3615" w:rsidRDefault="0014728A" w:rsidP="00FD030E">
      <w:pPr>
        <w:spacing w:line="240" w:lineRule="atLeast"/>
        <w:ind w:left="851" w:hanging="851"/>
        <w:rPr>
          <w:lang w:val="it-IT"/>
        </w:rPr>
      </w:pPr>
      <w:r w:rsidRPr="006C3615">
        <w:rPr>
          <w:lang w:val="it-IT"/>
        </w:rPr>
        <w:t xml:space="preserve">Fattori, Marta. ‘Sogni e Temperamenti.’ In </w:t>
      </w:r>
      <w:r w:rsidRPr="006C3615">
        <w:rPr>
          <w:i/>
          <w:iCs/>
          <w:lang w:val="it-IT"/>
        </w:rPr>
        <w:t>I sogni nel Medioevo. Seminario internazionale, Roma, 2-4 ottobre 1983,</w:t>
      </w:r>
      <w:r w:rsidRPr="006C3615">
        <w:rPr>
          <w:lang w:val="it-IT"/>
        </w:rPr>
        <w:t xml:space="preserve"> edited by Tullio Gregory, 87-109. Rome: Edizioni dell’Ateneo, 1985</w:t>
      </w:r>
    </w:p>
    <w:p w14:paraId="0EA6AE76" w14:textId="77777777" w:rsidR="0014728A" w:rsidRPr="006C3615" w:rsidRDefault="0014728A" w:rsidP="00FD030E">
      <w:pPr>
        <w:spacing w:line="240" w:lineRule="atLeast"/>
        <w:ind w:left="709" w:hanging="709"/>
      </w:pPr>
      <w:r w:rsidRPr="006C3615">
        <w:t xml:space="preserve">Federici Vescovini, Graziella, Valeria Sorge and Carlo Vinti (eds.). </w:t>
      </w:r>
      <w:r w:rsidRPr="006C3615">
        <w:rPr>
          <w:i/>
          <w:iCs/>
        </w:rPr>
        <w:t>Corpo e anima, sensi interni e intelletto dai secoli XIII-XIV ai post-cartesiani e spinoziani</w:t>
      </w:r>
      <w:r w:rsidRPr="006C3615">
        <w:t>. Turnhout: Brepols, 2005</w:t>
      </w:r>
    </w:p>
    <w:p w14:paraId="2B7FAFA6" w14:textId="77777777" w:rsidR="0014728A" w:rsidRPr="006C3615" w:rsidRDefault="0014728A" w:rsidP="00FD030E">
      <w:pPr>
        <w:spacing w:line="240" w:lineRule="atLeast"/>
        <w:ind w:left="709" w:hanging="709"/>
      </w:pPr>
      <w:r w:rsidRPr="006C3615">
        <w:t xml:space="preserve">Fidora, Alexander. ‘Divination and Scientific Prediction. The Epistemology of Prognostic Sciences in Medieval Europe.’ In </w:t>
      </w:r>
      <w:r w:rsidRPr="006C3615">
        <w:rPr>
          <w:i/>
          <w:iCs/>
        </w:rPr>
        <w:t>Early Science and Medicine. A Journal for the Study of Science, Technology and Medicine in the Pre-modern Period</w:t>
      </w:r>
      <w:r w:rsidRPr="006C3615">
        <w:t xml:space="preserve"> V. 18, issue 6, 2013: 517-535</w:t>
      </w:r>
    </w:p>
    <w:p w14:paraId="5C82316B" w14:textId="77777777" w:rsidR="0014728A" w:rsidRPr="006C3615" w:rsidRDefault="0014728A" w:rsidP="00FD030E">
      <w:pPr>
        <w:spacing w:line="240" w:lineRule="atLeast"/>
        <w:ind w:left="709" w:hanging="709"/>
      </w:pPr>
      <w:r w:rsidRPr="006C3615">
        <w:t xml:space="preserve">French, Roger. ‘Astrology in </w:t>
      </w:r>
      <w:r>
        <w:t>M</w:t>
      </w:r>
      <w:r w:rsidRPr="006C3615">
        <w:t xml:space="preserve">edical </w:t>
      </w:r>
      <w:r>
        <w:t>P</w:t>
      </w:r>
      <w:r w:rsidRPr="006C3615">
        <w:t xml:space="preserve">ractice.’ In </w:t>
      </w:r>
      <w:r w:rsidRPr="006C3615">
        <w:rPr>
          <w:i/>
          <w:iCs/>
        </w:rPr>
        <w:t>Practical medicine from Salerno to the Black Death</w:t>
      </w:r>
      <w:r w:rsidRPr="006C3615">
        <w:t>, edited by Luis García-Ballester, Roger French, Jon Arrizabalaga and Andrew Cunningham, 30-59. Cambridge: Cambridge University Press, 1994</w:t>
      </w:r>
    </w:p>
    <w:p w14:paraId="09AEC5F8" w14:textId="77777777" w:rsidR="0014728A" w:rsidRPr="006C3615" w:rsidRDefault="0014728A" w:rsidP="00FD030E">
      <w:pPr>
        <w:spacing w:line="240" w:lineRule="atLeast"/>
        <w:ind w:left="709" w:hanging="709"/>
      </w:pPr>
      <w:r w:rsidRPr="006C3615">
        <w:t xml:space="preserve">Frey, Albert R.  ‘A dictionary of numismatic names: their official and popular designations’. In </w:t>
      </w:r>
      <w:r w:rsidRPr="006C3615">
        <w:rPr>
          <w:i/>
          <w:iCs/>
        </w:rPr>
        <w:t>American Journal of Numismatics</w:t>
      </w:r>
      <w:r w:rsidRPr="006C3615">
        <w:t>, I, 1916</w:t>
      </w:r>
      <w:r>
        <w:t>: 1-311.</w:t>
      </w:r>
    </w:p>
    <w:p w14:paraId="10ED6462" w14:textId="77777777" w:rsidR="0014728A" w:rsidRPr="006C3615" w:rsidRDefault="0014728A" w:rsidP="00FD030E">
      <w:pPr>
        <w:spacing w:line="240" w:lineRule="atLeast"/>
        <w:ind w:left="709" w:hanging="709"/>
        <w:rPr>
          <w:rFonts w:eastAsia="Times New Roman"/>
          <w:color w:val="222222"/>
          <w:lang w:val="it-IT" w:eastAsia="it-IT"/>
        </w:rPr>
      </w:pPr>
      <w:r w:rsidRPr="006C3615">
        <w:rPr>
          <w:rFonts w:eastAsia="Times New Roman"/>
          <w:color w:val="222222"/>
          <w:lang w:eastAsia="it-IT"/>
        </w:rPr>
        <w:t xml:space="preserve">Fronska, Joanna. ‘The Royal Image and Diplomacy: Henry VII’s Book of Astrology (British Library, Arundel 66)’. </w:t>
      </w:r>
      <w:r w:rsidRPr="006C3615">
        <w:rPr>
          <w:rFonts w:eastAsia="Times New Roman"/>
          <w:i/>
          <w:iCs/>
          <w:color w:val="222222"/>
          <w:lang w:val="it-IT" w:eastAsia="it-IT"/>
        </w:rPr>
        <w:t>Electronic British Library Journal</w:t>
      </w:r>
      <w:r w:rsidRPr="006C3615">
        <w:rPr>
          <w:rFonts w:eastAsia="Times New Roman"/>
          <w:color w:val="222222"/>
          <w:lang w:val="it-IT" w:eastAsia="it-IT"/>
        </w:rPr>
        <w:t>, 2013: 1-28</w:t>
      </w:r>
    </w:p>
    <w:p w14:paraId="7E30BA4C" w14:textId="77777777" w:rsidR="0014728A" w:rsidRDefault="0014728A" w:rsidP="00C31287">
      <w:pPr>
        <w:spacing w:line="240" w:lineRule="atLeast"/>
        <w:ind w:left="709" w:hanging="709"/>
      </w:pPr>
      <w:r w:rsidRPr="0014728A">
        <w:t xml:space="preserve">Fürbeth, Frank. ‘Sandrichter und Dämonen in der Geomantie des Mittelalters.’ In </w:t>
      </w:r>
      <w:r w:rsidRPr="0014728A">
        <w:rPr>
          <w:i/>
          <w:iCs/>
        </w:rPr>
        <w:t>Turpiloquium. Kommunikation mit Teufeln und Dämonen in Mittelalter und Früher Neuzeit</w:t>
      </w:r>
      <w:r w:rsidRPr="0014728A">
        <w:t>, edited by J. Bockmann, J. Gold. Würzburg: Königshausen &amp; Neumann, 2017), 161-185: 179-185</w:t>
      </w:r>
    </w:p>
    <w:p w14:paraId="2E67E661"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val="it-IT" w:eastAsia="it-IT"/>
        </w:rPr>
        <w:t xml:space="preserve">Garin, Eugenio. </w:t>
      </w:r>
      <w:r w:rsidRPr="006C3615">
        <w:rPr>
          <w:rFonts w:eastAsia="Times New Roman"/>
          <w:i/>
          <w:iCs/>
          <w:color w:val="222222"/>
          <w:lang w:val="it-IT" w:eastAsia="it-IT"/>
        </w:rPr>
        <w:t>Lo zodiaco della vita. La polemica sull’astrologia dal Trecento al Cinquecento.</w:t>
      </w:r>
      <w:r w:rsidRPr="006C3615">
        <w:rPr>
          <w:rFonts w:eastAsia="Times New Roman"/>
          <w:color w:val="222222"/>
          <w:lang w:val="it-IT" w:eastAsia="it-IT"/>
        </w:rPr>
        <w:t xml:space="preserve"> </w:t>
      </w:r>
      <w:r w:rsidRPr="006C3615">
        <w:rPr>
          <w:rFonts w:eastAsia="Times New Roman"/>
          <w:color w:val="222222"/>
          <w:lang w:eastAsia="it-IT"/>
        </w:rPr>
        <w:t>Bari: Laterza, 1976</w:t>
      </w:r>
    </w:p>
    <w:p w14:paraId="62FDD8F3"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Gil, Jose S. ‘The Translators of the Period of D. Raymundo: Their Personalities and Translations (1125-1187).’ In </w:t>
      </w:r>
      <w:r w:rsidRPr="006C3615">
        <w:rPr>
          <w:rFonts w:eastAsia="Times New Roman"/>
          <w:i/>
          <w:iCs/>
          <w:color w:val="222222"/>
          <w:lang w:eastAsia="it-IT"/>
        </w:rPr>
        <w:t>Rencontres de cultures dans la philosophie médiévale, traductions et traducteurs de l’altiquité tardive au XIVe siècle</w:t>
      </w:r>
      <w:r w:rsidRPr="006C3615">
        <w:rPr>
          <w:rFonts w:eastAsia="Times New Roman"/>
          <w:color w:val="222222"/>
          <w:lang w:eastAsia="it-IT"/>
        </w:rPr>
        <w:t>. Louvain-la-Neuve: Publications de l’Institut d’Études Médiévales, 1990: 109-119</w:t>
      </w:r>
    </w:p>
    <w:p w14:paraId="3F78C795" w14:textId="77777777" w:rsidR="0014728A" w:rsidRPr="006C3615" w:rsidRDefault="0014728A" w:rsidP="00FD030E">
      <w:pPr>
        <w:spacing w:line="240" w:lineRule="atLeast"/>
        <w:ind w:left="709" w:hanging="709"/>
      </w:pPr>
      <w:r w:rsidRPr="006C3615">
        <w:t xml:space="preserve">Gilbert, Robert A. (ed.). </w:t>
      </w:r>
      <w:r w:rsidRPr="006C3615">
        <w:rPr>
          <w:i/>
          <w:iCs/>
        </w:rPr>
        <w:t xml:space="preserve">The Golden Dawn </w:t>
      </w:r>
      <w:r>
        <w:rPr>
          <w:i/>
          <w:iCs/>
        </w:rPr>
        <w:t>C</w:t>
      </w:r>
      <w:r w:rsidRPr="006C3615">
        <w:rPr>
          <w:i/>
          <w:iCs/>
        </w:rPr>
        <w:t xml:space="preserve">ompanion: </w:t>
      </w:r>
      <w:r>
        <w:rPr>
          <w:i/>
          <w:iCs/>
        </w:rPr>
        <w:t>A</w:t>
      </w:r>
      <w:r w:rsidRPr="006C3615">
        <w:rPr>
          <w:i/>
          <w:iCs/>
        </w:rPr>
        <w:t xml:space="preserve"> </w:t>
      </w:r>
      <w:r>
        <w:rPr>
          <w:i/>
          <w:iCs/>
        </w:rPr>
        <w:t>G</w:t>
      </w:r>
      <w:r w:rsidRPr="006C3615">
        <w:rPr>
          <w:i/>
          <w:iCs/>
        </w:rPr>
        <w:t xml:space="preserve">uide to the </w:t>
      </w:r>
      <w:r>
        <w:rPr>
          <w:i/>
          <w:iCs/>
        </w:rPr>
        <w:t>H</w:t>
      </w:r>
      <w:r w:rsidRPr="006C3615">
        <w:rPr>
          <w:i/>
          <w:iCs/>
        </w:rPr>
        <w:t xml:space="preserve">istory, </w:t>
      </w:r>
      <w:r>
        <w:rPr>
          <w:i/>
          <w:iCs/>
        </w:rPr>
        <w:t>S</w:t>
      </w:r>
      <w:r w:rsidRPr="006C3615">
        <w:rPr>
          <w:i/>
          <w:iCs/>
        </w:rPr>
        <w:t xml:space="preserve">tructure, and </w:t>
      </w:r>
      <w:r>
        <w:rPr>
          <w:i/>
          <w:iCs/>
        </w:rPr>
        <w:t>W</w:t>
      </w:r>
      <w:r w:rsidRPr="006C3615">
        <w:rPr>
          <w:i/>
          <w:iCs/>
        </w:rPr>
        <w:t>orkings of the Hermetic Order of the Golden Dawn.</w:t>
      </w:r>
      <w:r w:rsidRPr="006C3615">
        <w:t xml:space="preserve"> Wellingborough: Aquarian Press, 1986</w:t>
      </w:r>
    </w:p>
    <w:p w14:paraId="178D68C9" w14:textId="448B9420"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Ginsberg, Warren. ‘Dante’s Dream of the Eagle and Jacob’s Ladder.’ In </w:t>
      </w:r>
      <w:r w:rsidRPr="006C3615">
        <w:rPr>
          <w:rFonts w:eastAsia="Times New Roman"/>
          <w:i/>
          <w:iCs/>
          <w:color w:val="222222"/>
          <w:lang w:eastAsia="it-IT"/>
        </w:rPr>
        <w:t>Dante Studies, with the Annual Report of the Dante Society</w:t>
      </w:r>
      <w:r w:rsidRPr="006C3615">
        <w:rPr>
          <w:rFonts w:eastAsia="Times New Roman"/>
          <w:color w:val="222222"/>
          <w:lang w:eastAsia="it-IT"/>
        </w:rPr>
        <w:t>, n. 100, 1982: 41-69</w:t>
      </w:r>
    </w:p>
    <w:p w14:paraId="26F9AFB4" w14:textId="77777777" w:rsidR="0014728A" w:rsidRPr="006C3615" w:rsidRDefault="0014728A" w:rsidP="00FD030E">
      <w:pPr>
        <w:spacing w:line="240" w:lineRule="atLeast"/>
        <w:ind w:left="709" w:hanging="709"/>
      </w:pPr>
      <w:r w:rsidRPr="006C3615">
        <w:t xml:space="preserve">Godwin, Joscelyn. </w:t>
      </w:r>
      <w:r w:rsidRPr="006C3615">
        <w:rPr>
          <w:i/>
          <w:iCs/>
        </w:rPr>
        <w:t>Robert Fludd: Hermetic Philosopher and Surveyor of Two Worlds.</w:t>
      </w:r>
      <w:r w:rsidRPr="006C3615">
        <w:t xml:space="preserve"> London: Thames and Hudson, 1979</w:t>
      </w:r>
    </w:p>
    <w:p w14:paraId="53D64735" w14:textId="77777777" w:rsidR="0014728A" w:rsidRPr="006C3615" w:rsidRDefault="0014728A" w:rsidP="00FD030E">
      <w:pPr>
        <w:spacing w:line="240" w:lineRule="atLeast"/>
        <w:ind w:left="709" w:hanging="709"/>
      </w:pPr>
      <w:r w:rsidRPr="006C3615">
        <w:t xml:space="preserve">Godwin, Joscelyn. </w:t>
      </w:r>
      <w:r w:rsidRPr="006C3615">
        <w:rPr>
          <w:i/>
          <w:iCs/>
        </w:rPr>
        <w:t>The Greater &amp; Lesser Worlds of Robert Fludd: Macrocosm, Microcosm &amp; Medicine.</w:t>
      </w:r>
      <w:r w:rsidRPr="006C3615">
        <w:t xml:space="preserve"> Rochester, Vermont: Inner Traditions, 2019</w:t>
      </w:r>
    </w:p>
    <w:p w14:paraId="5E76ACA5"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Grabmann, Martin. </w:t>
      </w:r>
      <w:r w:rsidRPr="006C3615">
        <w:rPr>
          <w:rFonts w:eastAsia="Times New Roman"/>
          <w:i/>
          <w:iCs/>
          <w:color w:val="222222"/>
          <w:lang w:eastAsia="it-IT"/>
        </w:rPr>
        <w:t>Guglielmo di Moerbeke O.P. il traduttore delle opere di Aristotele</w:t>
      </w:r>
      <w:r w:rsidRPr="006C3615">
        <w:rPr>
          <w:rFonts w:eastAsia="Times New Roman"/>
          <w:color w:val="222222"/>
          <w:lang w:eastAsia="it-IT"/>
        </w:rPr>
        <w:t xml:space="preserve"> [Miscellanea historiae pontificiae, 11]. Rome: Pontificia Università  Gregoriana, 1946</w:t>
      </w:r>
    </w:p>
    <w:p w14:paraId="09CA2178" w14:textId="77777777" w:rsidR="0014728A" w:rsidRPr="006C3615" w:rsidRDefault="0014728A" w:rsidP="00FD030E">
      <w:pPr>
        <w:spacing w:line="240" w:lineRule="atLeast"/>
        <w:ind w:left="709" w:hanging="709"/>
      </w:pPr>
      <w:r w:rsidRPr="006C3615">
        <w:t xml:space="preserve">Grant, Edward. </w:t>
      </w:r>
      <w:r w:rsidRPr="006C3615">
        <w:rPr>
          <w:i/>
          <w:iCs/>
        </w:rPr>
        <w:t>A Source Book in Medieval Science</w:t>
      </w:r>
      <w:r w:rsidRPr="006C3615">
        <w:t>. Cambridge, Mass.: Harvard University Press, 1974</w:t>
      </w:r>
    </w:p>
    <w:p w14:paraId="2A729ECF" w14:textId="77777777" w:rsidR="0014728A" w:rsidRPr="006C3615" w:rsidRDefault="0014728A" w:rsidP="00FD030E">
      <w:pPr>
        <w:spacing w:line="240" w:lineRule="atLeast"/>
        <w:ind w:left="709" w:hanging="709"/>
      </w:pPr>
      <w:r w:rsidRPr="006C3615">
        <w:t xml:space="preserve">Grant, Edward. </w:t>
      </w:r>
      <w:r w:rsidRPr="006C3615">
        <w:rPr>
          <w:i/>
          <w:iCs/>
        </w:rPr>
        <w:t>History of Natural Philosophy, From the Ancient World to the Nineteenth Century.</w:t>
      </w:r>
      <w:r w:rsidRPr="006C3615">
        <w:t xml:space="preserve"> New York: Cambridge University Press, 2007</w:t>
      </w:r>
    </w:p>
    <w:p w14:paraId="0A43371B" w14:textId="77777777" w:rsidR="0014728A" w:rsidRPr="006C3615" w:rsidRDefault="0014728A" w:rsidP="00FD030E">
      <w:pPr>
        <w:spacing w:line="240" w:lineRule="atLeast"/>
        <w:ind w:left="709" w:hanging="709"/>
      </w:pPr>
      <w:r w:rsidRPr="006C3615">
        <w:t>Grant, Edward.</w:t>
      </w:r>
      <w:r w:rsidRPr="006C3615">
        <w:rPr>
          <w:i/>
          <w:iCs/>
        </w:rPr>
        <w:t xml:space="preserve"> Planets, Stars, and Orbs. The Medieval Cosmos, 1200-1687</w:t>
      </w:r>
      <w:r w:rsidRPr="006C3615">
        <w:t xml:space="preserve">. Cambridge: Cambridge University Press, 1994 </w:t>
      </w:r>
    </w:p>
    <w:p w14:paraId="4FA5BA5C" w14:textId="77777777" w:rsidR="0014728A" w:rsidRPr="006C3615" w:rsidRDefault="0014728A" w:rsidP="00FD030E">
      <w:pPr>
        <w:spacing w:line="240" w:lineRule="atLeast"/>
        <w:ind w:left="709" w:hanging="709"/>
      </w:pPr>
      <w:r w:rsidRPr="006C3615">
        <w:t xml:space="preserve">Grant, Edward. </w:t>
      </w:r>
      <w:r w:rsidRPr="006C3615">
        <w:rPr>
          <w:i/>
          <w:iCs/>
        </w:rPr>
        <w:t xml:space="preserve">Stars, Minds and Fate. Essays in Ancient and Medieval Cosmology. </w:t>
      </w:r>
      <w:r w:rsidRPr="006C3615">
        <w:t xml:space="preserve">London: The Hambledon Press, 1989 </w:t>
      </w:r>
    </w:p>
    <w:p w14:paraId="23EB3410" w14:textId="77777777" w:rsidR="0014728A" w:rsidRPr="006C3615" w:rsidRDefault="0014728A" w:rsidP="00FD030E">
      <w:pPr>
        <w:spacing w:line="240" w:lineRule="atLeast"/>
        <w:ind w:left="709" w:hanging="709"/>
      </w:pPr>
      <w:bookmarkStart w:id="162" w:name="_Hlk52271436"/>
      <w:r w:rsidRPr="006C3615">
        <w:t xml:space="preserve">Grant, Edward. </w:t>
      </w:r>
      <w:r w:rsidRPr="006C3615">
        <w:rPr>
          <w:i/>
          <w:iCs/>
        </w:rPr>
        <w:t>The Foundations of Modern Science in the Middle Ages, Their religious, Institutional and Intellectual Contexts.</w:t>
      </w:r>
      <w:r w:rsidRPr="006C3615">
        <w:t xml:space="preserve"> New York: Cambridge University Press, 1996</w:t>
      </w:r>
    </w:p>
    <w:p w14:paraId="11391F16" w14:textId="77777777" w:rsidR="0014728A" w:rsidRPr="006C3615" w:rsidRDefault="0014728A" w:rsidP="00FD030E">
      <w:pPr>
        <w:spacing w:line="240" w:lineRule="atLeast"/>
        <w:ind w:left="709" w:hanging="709"/>
        <w:rPr>
          <w:lang w:val="it-IT"/>
        </w:rPr>
      </w:pPr>
      <w:r w:rsidRPr="006C3615">
        <w:rPr>
          <w:lang w:val="it-IT"/>
        </w:rPr>
        <w:t>Graw, Knut. ‘Beyond Expertise: Reflections on Specialist Agency and the Autonomy of the Divinatory Ritual Process.’ In A</w:t>
      </w:r>
      <w:r w:rsidRPr="006C3615">
        <w:rPr>
          <w:i/>
          <w:iCs/>
          <w:lang w:val="it-IT"/>
        </w:rPr>
        <w:t>frica: Journal of the International African Institute, Knowledge in Practice: Expertise and the Transmission of Knowledge</w:t>
      </w:r>
      <w:r w:rsidRPr="006C3615">
        <w:rPr>
          <w:lang w:val="it-IT"/>
        </w:rPr>
        <w:t>, 79, 1, 2009: 92-109</w:t>
      </w:r>
    </w:p>
    <w:p w14:paraId="576A373A" w14:textId="77777777" w:rsidR="0014728A" w:rsidRPr="006C3615" w:rsidRDefault="0014728A" w:rsidP="00FD030E">
      <w:pPr>
        <w:spacing w:line="240" w:lineRule="atLeast"/>
        <w:ind w:left="709" w:hanging="709"/>
        <w:rPr>
          <w:lang w:val="it-IT"/>
        </w:rPr>
      </w:pPr>
      <w:r w:rsidRPr="006C3615">
        <w:rPr>
          <w:lang w:val="it-IT"/>
        </w:rPr>
        <w:t xml:space="preserve">Graw, Knut. ‘Divination and Islam. Existential Perspectives in the Study of Ritual and Religious Praxis in Senegal and Gambia.’ In </w:t>
      </w:r>
      <w:r w:rsidRPr="006C3615">
        <w:rPr>
          <w:i/>
          <w:iCs/>
          <w:lang w:val="it-IT"/>
        </w:rPr>
        <w:t>Ordinary Lives and Grand Schemes: an Anthropology of Everyday Religion</w:t>
      </w:r>
      <w:r w:rsidRPr="006C3615">
        <w:rPr>
          <w:lang w:val="it-IT"/>
        </w:rPr>
        <w:t>, edited by Samuli Schielke and Liza Debevec, 17-32. New York-London: Berhahn, 2012</w:t>
      </w:r>
    </w:p>
    <w:p w14:paraId="20D59AAB" w14:textId="77777777" w:rsidR="0014728A" w:rsidRPr="006C3615" w:rsidRDefault="0014728A" w:rsidP="00FD030E">
      <w:pPr>
        <w:spacing w:line="240" w:lineRule="atLeast"/>
        <w:ind w:left="709" w:hanging="709"/>
      </w:pPr>
      <w:bookmarkStart w:id="163" w:name="_Hlk81399414"/>
      <w:bookmarkEnd w:id="162"/>
      <w:r w:rsidRPr="006C3615">
        <w:t xml:space="preserve">Graw, Knut. ‘Divination as Hermeneutic Encounter. Reflections on Understanding, Dialogue, and the Intersubjective Foundation of Divinatory Consultation’. In </w:t>
      </w:r>
      <w:r w:rsidRPr="006C3615">
        <w:rPr>
          <w:i/>
          <w:iCs/>
        </w:rPr>
        <w:t>The Vision Thing. Studying Divine Intervention,</w:t>
      </w:r>
      <w:r w:rsidRPr="006C3615">
        <w:t xml:space="preserve"> edited by William A. Christian Jr. and Gábor Klaniczay. Budapest: Collegium Budapest Workshop Series No 18, 2009: 459 – 477</w:t>
      </w:r>
    </w:p>
    <w:bookmarkEnd w:id="163"/>
    <w:p w14:paraId="3D9B497E" w14:textId="77777777" w:rsidR="0014728A" w:rsidRPr="006C3615" w:rsidRDefault="0014728A" w:rsidP="00FD030E">
      <w:pPr>
        <w:spacing w:line="240" w:lineRule="atLeast"/>
        <w:ind w:left="709" w:hanging="709"/>
        <w:rPr>
          <w:lang w:val="it-IT"/>
        </w:rPr>
      </w:pPr>
      <w:r w:rsidRPr="006C3615">
        <w:t xml:space="preserve">Graw, Knut. ‘Locating </w:t>
      </w:r>
      <w:r w:rsidRPr="006C3615">
        <w:rPr>
          <w:i/>
          <w:iCs/>
        </w:rPr>
        <w:t>Nganiyo</w:t>
      </w:r>
      <w:r w:rsidRPr="006C3615">
        <w:t xml:space="preserve">: Divination as Intentional Space.’ In </w:t>
      </w:r>
      <w:r w:rsidRPr="006C3615">
        <w:rPr>
          <w:i/>
          <w:iCs/>
          <w:lang w:val="it-IT"/>
        </w:rPr>
        <w:t>Journal of Religion in Africa</w:t>
      </w:r>
      <w:r w:rsidRPr="006C3615">
        <w:rPr>
          <w:lang w:val="it-IT"/>
        </w:rPr>
        <w:t>, 36.1, 2006: 78-119</w:t>
      </w:r>
    </w:p>
    <w:p w14:paraId="095F4988" w14:textId="77777777" w:rsidR="0014728A" w:rsidRPr="006C3615" w:rsidRDefault="0014728A" w:rsidP="00FD030E">
      <w:pPr>
        <w:spacing w:line="240" w:lineRule="atLeast"/>
        <w:ind w:left="709" w:hanging="709"/>
        <w:rPr>
          <w:rFonts w:eastAsia="Times New Roman"/>
          <w:color w:val="222222"/>
          <w:lang w:val="it-IT" w:eastAsia="it-IT"/>
        </w:rPr>
      </w:pPr>
      <w:r w:rsidRPr="006C3615">
        <w:rPr>
          <w:rFonts w:eastAsia="Times New Roman"/>
          <w:color w:val="222222"/>
          <w:lang w:val="it-IT" w:eastAsia="it-IT"/>
        </w:rPr>
        <w:t xml:space="preserve">Gregory, Tullio. </w:t>
      </w:r>
      <w:r w:rsidRPr="006C3615">
        <w:rPr>
          <w:rFonts w:eastAsia="Times New Roman"/>
          <w:i/>
          <w:iCs/>
          <w:color w:val="222222"/>
          <w:lang w:val="it-IT" w:eastAsia="it-IT"/>
        </w:rPr>
        <w:t>Mundana sapientia. Forme di conoscenza nella cultura medievale</w:t>
      </w:r>
      <w:r w:rsidRPr="006C3615">
        <w:rPr>
          <w:rFonts w:eastAsia="Times New Roman"/>
          <w:color w:val="222222"/>
          <w:lang w:val="it-IT" w:eastAsia="it-IT"/>
        </w:rPr>
        <w:t>. Rome: Edizioni di Storia e Letteratura, 1992</w:t>
      </w:r>
    </w:p>
    <w:p w14:paraId="2794A952" w14:textId="77777777" w:rsidR="0014728A" w:rsidRPr="006C3615" w:rsidRDefault="0014728A" w:rsidP="00FD030E">
      <w:pPr>
        <w:spacing w:line="240" w:lineRule="atLeast"/>
        <w:ind w:left="709" w:hanging="709"/>
        <w:rPr>
          <w:rFonts w:eastAsia="Times New Roman"/>
          <w:color w:val="222222"/>
          <w:lang w:val="it-IT" w:eastAsia="it-IT"/>
        </w:rPr>
      </w:pPr>
      <w:r w:rsidRPr="006C3615">
        <w:rPr>
          <w:rFonts w:eastAsia="Times New Roman"/>
          <w:color w:val="222222"/>
          <w:lang w:val="it-IT" w:eastAsia="it-IT"/>
        </w:rPr>
        <w:t xml:space="preserve">Gregory, Tullio. </w:t>
      </w:r>
      <w:r w:rsidRPr="006C3615">
        <w:rPr>
          <w:rFonts w:eastAsia="Times New Roman"/>
          <w:i/>
          <w:iCs/>
          <w:color w:val="222222"/>
          <w:lang w:val="it-IT" w:eastAsia="it-IT"/>
        </w:rPr>
        <w:t>Speculum naturale. Percorsi del pensiero medievale</w:t>
      </w:r>
      <w:r w:rsidRPr="006C3615">
        <w:rPr>
          <w:rFonts w:eastAsia="Times New Roman"/>
          <w:color w:val="222222"/>
          <w:lang w:val="it-IT" w:eastAsia="it-IT"/>
        </w:rPr>
        <w:t>. Rome: Edizioni di Storia e Letteratura, 2007</w:t>
      </w:r>
    </w:p>
    <w:p w14:paraId="0D306A23" w14:textId="77777777" w:rsidR="0014728A" w:rsidRPr="006C3615" w:rsidRDefault="0014728A" w:rsidP="00FD030E">
      <w:pPr>
        <w:spacing w:line="240" w:lineRule="atLeast"/>
        <w:ind w:left="709" w:hanging="709"/>
      </w:pPr>
      <w:r w:rsidRPr="006C3615">
        <w:t xml:space="preserve">Griffel, Frank. ‘On Fakhr al-Dīn al-Rāzī’s Life and the Patronage He Received.’ In </w:t>
      </w:r>
      <w:r w:rsidRPr="006C3615">
        <w:rPr>
          <w:i/>
          <w:iCs/>
        </w:rPr>
        <w:t>Journal of Islamic Studies</w:t>
      </w:r>
      <w:r w:rsidRPr="006C3615">
        <w:t>, 18, 3, 2007: 313–344.</w:t>
      </w:r>
    </w:p>
    <w:p w14:paraId="15646ECC" w14:textId="77777777" w:rsidR="0014728A" w:rsidRPr="006C3615" w:rsidRDefault="0014728A" w:rsidP="00FD030E">
      <w:pPr>
        <w:spacing w:line="240" w:lineRule="atLeast"/>
        <w:ind w:left="709" w:hanging="709"/>
        <w:rPr>
          <w:rFonts w:eastAsia="Times New Roman"/>
          <w:color w:val="222222"/>
          <w:lang w:val="it-IT" w:eastAsia="it-IT"/>
        </w:rPr>
      </w:pPr>
      <w:r w:rsidRPr="006C3615">
        <w:rPr>
          <w:rFonts w:eastAsia="Times New Roman"/>
          <w:color w:val="222222"/>
          <w:lang w:val="it-IT" w:eastAsia="it-IT"/>
        </w:rPr>
        <w:t xml:space="preserve">Gutas, Dimitri. ‘Imagination and Transcendental Knowledge in Avicenna.’ In </w:t>
      </w:r>
      <w:r w:rsidRPr="006C3615">
        <w:rPr>
          <w:rFonts w:eastAsia="Times New Roman"/>
          <w:i/>
          <w:iCs/>
          <w:color w:val="222222"/>
          <w:lang w:val="it-IT" w:eastAsia="it-IT"/>
        </w:rPr>
        <w:t>Arabic Theology, Arabic Philosophy. From the Many to the One: Essays in Celebration of Richard M. Frank</w:t>
      </w:r>
      <w:r w:rsidRPr="006C3615">
        <w:rPr>
          <w:rFonts w:eastAsia="Times New Roman"/>
          <w:color w:val="222222"/>
          <w:lang w:val="it-IT" w:eastAsia="it-IT"/>
        </w:rPr>
        <w:t xml:space="preserve">, edited by James Montgomery, </w:t>
      </w:r>
      <w:bookmarkStart w:id="164" w:name="_Hlk150521466"/>
      <w:r w:rsidRPr="006C3615">
        <w:rPr>
          <w:rFonts w:eastAsia="Times New Roman"/>
          <w:color w:val="222222"/>
          <w:lang w:val="it-IT" w:eastAsia="it-IT"/>
        </w:rPr>
        <w:t xml:space="preserve">337-354. </w:t>
      </w:r>
      <w:bookmarkEnd w:id="164"/>
      <w:r w:rsidRPr="006C3615">
        <w:rPr>
          <w:rFonts w:eastAsia="Times New Roman"/>
          <w:color w:val="222222"/>
          <w:lang w:val="it-IT" w:eastAsia="it-IT"/>
        </w:rPr>
        <w:t>Louvain: Peeters Publishers, 2006</w:t>
      </w:r>
    </w:p>
    <w:p w14:paraId="48FB56C9" w14:textId="77777777" w:rsidR="0014728A" w:rsidRPr="006C3615" w:rsidRDefault="0014728A" w:rsidP="00FD030E">
      <w:pPr>
        <w:spacing w:line="240" w:lineRule="atLeast"/>
        <w:ind w:left="709" w:hanging="709"/>
      </w:pPr>
      <w:r w:rsidRPr="006C3615">
        <w:t xml:space="preserve">Hackett, Jeremiah. ‘Albert the Great and the </w:t>
      </w:r>
      <w:r w:rsidRPr="006C3615">
        <w:rPr>
          <w:i/>
          <w:iCs/>
        </w:rPr>
        <w:t>Speculum Astronomiae.</w:t>
      </w:r>
      <w:r w:rsidRPr="006C3615">
        <w:t xml:space="preserve"> The state of the research at the beginning of the 21</w:t>
      </w:r>
      <w:r w:rsidRPr="006C3615">
        <w:rPr>
          <w:vertAlign w:val="superscript"/>
        </w:rPr>
        <w:t>st</w:t>
      </w:r>
      <w:r w:rsidRPr="006C3615">
        <w:t xml:space="preserve"> century’. In </w:t>
      </w:r>
      <w:r w:rsidRPr="006C3615">
        <w:rPr>
          <w:i/>
          <w:iCs/>
        </w:rPr>
        <w:t>A Companion to Albert the Great. Theology, Philosophy and Science</w:t>
      </w:r>
      <w:r w:rsidRPr="006C3615">
        <w:t>, edited by Irven M. Resnick, 437-449. Leiden: Brill, 2013</w:t>
      </w:r>
    </w:p>
    <w:p w14:paraId="6D3D2C37" w14:textId="77777777" w:rsidR="0014728A" w:rsidRPr="006C3615" w:rsidRDefault="0014728A" w:rsidP="00FD030E">
      <w:pPr>
        <w:spacing w:line="240" w:lineRule="atLeast"/>
        <w:ind w:left="709" w:hanging="709"/>
      </w:pPr>
      <w:r w:rsidRPr="006C3615">
        <w:t xml:space="preserve">Hansen, Joseph. </w:t>
      </w:r>
      <w:r w:rsidRPr="006C3615">
        <w:rPr>
          <w:i/>
          <w:iCs/>
        </w:rPr>
        <w:t>Quellen und Untersuchungen zur Geschichte des Hexenwahns und der Hexenverfolgung im Mittelalter</w:t>
      </w:r>
      <w:r w:rsidRPr="006C3615">
        <w:t>. Bonn: Carl Georgi, Universitäts-Buchdruckerei und Verlag, 1901</w:t>
      </w:r>
    </w:p>
    <w:p w14:paraId="5ED639F5" w14:textId="77777777" w:rsidR="0014728A" w:rsidRPr="006C3615" w:rsidRDefault="0014728A" w:rsidP="00FD030E">
      <w:pPr>
        <w:spacing w:line="240" w:lineRule="atLeast"/>
        <w:ind w:left="709" w:hanging="709"/>
      </w:pPr>
      <w:r w:rsidRPr="006C3615">
        <w:t xml:space="preserve">Haskins, Charles Homer. </w:t>
      </w:r>
      <w:r w:rsidRPr="006C3615">
        <w:rPr>
          <w:i/>
          <w:iCs/>
        </w:rPr>
        <w:t>Studies in the History of Medieval Science.</w:t>
      </w:r>
      <w:r w:rsidRPr="006C3615">
        <w:t xml:space="preserve"> Cambridge, Mass: Harvard University Press, 1924</w:t>
      </w:r>
    </w:p>
    <w:p w14:paraId="5B7A4F22" w14:textId="77777777" w:rsidR="0014728A" w:rsidRPr="006C3615" w:rsidRDefault="0014728A" w:rsidP="00FD030E">
      <w:pPr>
        <w:spacing w:line="240" w:lineRule="atLeast"/>
        <w:ind w:left="709" w:hanging="709"/>
      </w:pPr>
      <w:r w:rsidRPr="006C3615">
        <w:t xml:space="preserve">Haskins, Charles Homer. </w:t>
      </w:r>
      <w:r w:rsidRPr="006C3615">
        <w:rPr>
          <w:i/>
          <w:iCs/>
        </w:rPr>
        <w:t>The Renaissance of the Twelfth Century</w:t>
      </w:r>
      <w:r w:rsidRPr="006C3615">
        <w:t>. Cambridge, Mass.: Harvard University Press, 1927</w:t>
      </w:r>
    </w:p>
    <w:p w14:paraId="7E3AB11A"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Hasse, Dag Nikolaus ‘The soul’s faculty.’ In </w:t>
      </w:r>
      <w:r w:rsidRPr="006C3615">
        <w:rPr>
          <w:rFonts w:eastAsia="Times New Roman"/>
          <w:i/>
          <w:iCs/>
          <w:color w:val="222222"/>
          <w:lang w:eastAsia="it-IT"/>
        </w:rPr>
        <w:t>The Cambridge History of Medieval Philosophy</w:t>
      </w:r>
      <w:r w:rsidRPr="006C3615">
        <w:rPr>
          <w:rFonts w:eastAsia="Times New Roman"/>
          <w:color w:val="222222"/>
          <w:lang w:eastAsia="it-IT"/>
        </w:rPr>
        <w:t>, vol. I, ed. by Robert Pasnau and Christina van Dyke, 305-319. Cambridge: Cambridge University Press, 2014</w:t>
      </w:r>
    </w:p>
    <w:p w14:paraId="2CA925E9"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Hasse, Dag Nikolaus, and Andreas Büttner. ‘Notes on Anonymous Twelfth-Century Translations of Philosophical Texts from Arabic into Latin on the Iberian Peninsula.’ in </w:t>
      </w:r>
      <w:r w:rsidRPr="006C3615">
        <w:rPr>
          <w:rFonts w:eastAsia="Times New Roman"/>
          <w:i/>
          <w:iCs/>
          <w:color w:val="222222"/>
          <w:lang w:eastAsia="it-IT"/>
        </w:rPr>
        <w:t>The Arabic, Hebrew and Latin Reception of Avicenna’s Physics and Cosmology,</w:t>
      </w:r>
      <w:r w:rsidRPr="006C3615">
        <w:rPr>
          <w:rFonts w:eastAsia="Times New Roman"/>
          <w:color w:val="222222"/>
          <w:lang w:eastAsia="it-IT"/>
        </w:rPr>
        <w:t xml:space="preserve"> ed. by Dag Nikolaus Hasse and Amos Bertolacci, 313-370. Berlin: De Gruyter, 2018</w:t>
      </w:r>
    </w:p>
    <w:p w14:paraId="70203209" w14:textId="77777777" w:rsidR="0014728A" w:rsidRPr="006C3615" w:rsidRDefault="0014728A" w:rsidP="00FD030E">
      <w:pPr>
        <w:spacing w:line="240" w:lineRule="atLeast"/>
        <w:ind w:left="709" w:hanging="709"/>
        <w:rPr>
          <w:rFonts w:eastAsia="Times New Roman"/>
          <w:color w:val="222222"/>
          <w:lang w:eastAsia="it-IT"/>
        </w:rPr>
      </w:pPr>
      <w:bookmarkStart w:id="165" w:name="_Hlk77863521"/>
      <w:r w:rsidRPr="006C3615">
        <w:rPr>
          <w:rFonts w:eastAsia="Times New Roman"/>
          <w:color w:val="222222"/>
          <w:lang w:eastAsia="it-IT"/>
        </w:rPr>
        <w:t xml:space="preserve">Hasse, Dag Nikolaus. ‘The Social Conditions of the Arabic- (Hebrew-) Latin Translation Movementsin Medieval Spain and in the Renaissance’. In </w:t>
      </w:r>
      <w:r w:rsidRPr="006C3615">
        <w:rPr>
          <w:rFonts w:eastAsia="Times New Roman"/>
          <w:i/>
          <w:iCs/>
          <w:color w:val="222222"/>
          <w:lang w:eastAsia="it-IT"/>
        </w:rPr>
        <w:t>Knowledge about Borders: Arabic Knowledge and Latin Medieval (Miscellanea Mediaevalia 33)</w:t>
      </w:r>
      <w:r w:rsidRPr="006C3615">
        <w:rPr>
          <w:rFonts w:eastAsia="Times New Roman"/>
          <w:color w:val="222222"/>
          <w:lang w:eastAsia="it-IT"/>
        </w:rPr>
        <w:t>, edited by A. Speer, L. Wegene, 68-86. Berlin: de Gruyter, 2006</w:t>
      </w:r>
      <w:bookmarkEnd w:id="165"/>
    </w:p>
    <w:p w14:paraId="1E2C6DAC"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Hasse, Dag Nikolaus. </w:t>
      </w:r>
      <w:r w:rsidRPr="006C3615">
        <w:rPr>
          <w:rFonts w:eastAsia="Times New Roman"/>
          <w:i/>
          <w:iCs/>
          <w:color w:val="222222"/>
          <w:lang w:eastAsia="it-IT"/>
        </w:rPr>
        <w:t>Avicenna’s De anima in the Latin West</w:t>
      </w:r>
      <w:r w:rsidRPr="006C3615">
        <w:rPr>
          <w:rFonts w:eastAsia="Times New Roman"/>
          <w:color w:val="222222"/>
          <w:lang w:eastAsia="it-IT"/>
        </w:rPr>
        <w:t>. London-Turin: The Warburg Institute &amp; Nino Aragno Editore, 2000</w:t>
      </w:r>
    </w:p>
    <w:p w14:paraId="29781044"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Hissette, Roland. </w:t>
      </w:r>
      <w:r w:rsidRPr="006C3615">
        <w:rPr>
          <w:rFonts w:eastAsia="Times New Roman"/>
          <w:i/>
          <w:iCs/>
          <w:color w:val="222222"/>
          <w:lang w:eastAsia="it-IT"/>
        </w:rPr>
        <w:t>Enquête sur les 219 articles condamnés à Paris le 7 mars 1277.</w:t>
      </w:r>
      <w:r w:rsidRPr="006C3615">
        <w:rPr>
          <w:rFonts w:eastAsia="Times New Roman"/>
          <w:color w:val="222222"/>
          <w:lang w:eastAsia="it-IT"/>
        </w:rPr>
        <w:t xml:space="preserve"> Louvain: Publications universitaires, 1977</w:t>
      </w:r>
    </w:p>
    <w:p w14:paraId="7E14BDB1"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Hunt, Tony. </w:t>
      </w:r>
      <w:r w:rsidRPr="006C3615">
        <w:rPr>
          <w:rFonts w:eastAsia="Times New Roman"/>
          <w:i/>
          <w:iCs/>
          <w:color w:val="222222"/>
          <w:lang w:eastAsia="it-IT"/>
        </w:rPr>
        <w:t>Writing the Future. Prognistic Texts of Medieval England.</w:t>
      </w:r>
      <w:r w:rsidRPr="006C3615">
        <w:rPr>
          <w:rFonts w:eastAsia="Times New Roman"/>
          <w:color w:val="222222"/>
          <w:lang w:eastAsia="it-IT"/>
        </w:rPr>
        <w:t xml:space="preserve"> Paris: Classiques Garnier, 2013</w:t>
      </w:r>
    </w:p>
    <w:p w14:paraId="7CBE29F4" w14:textId="77777777" w:rsidR="0014728A" w:rsidRPr="006C3615" w:rsidRDefault="0014728A" w:rsidP="00FD030E">
      <w:pPr>
        <w:spacing w:line="240" w:lineRule="atLeast"/>
        <w:ind w:left="709" w:hanging="709"/>
      </w:pPr>
      <w:r w:rsidRPr="006C3615">
        <w:t xml:space="preserve">Hutin, Serge. </w:t>
      </w:r>
      <w:r w:rsidRPr="006C3615">
        <w:rPr>
          <w:i/>
          <w:iCs/>
        </w:rPr>
        <w:t>Robert Fludd (1574-1637), alchimiste et philosophe rosicrucien.</w:t>
      </w:r>
      <w:r w:rsidRPr="006C3615">
        <w:t xml:space="preserve"> Paris: Éditions de l'Omnium littéraire, 1971</w:t>
      </w:r>
    </w:p>
    <w:p w14:paraId="265C832F" w14:textId="77777777" w:rsidR="0014728A" w:rsidRPr="006C3615" w:rsidRDefault="0014728A" w:rsidP="00FD030E">
      <w:pPr>
        <w:spacing w:line="240" w:lineRule="atLeast"/>
        <w:ind w:left="709" w:hanging="709"/>
      </w:pPr>
      <w:r w:rsidRPr="006C3615">
        <w:t xml:space="preserve">James, M.R. </w:t>
      </w:r>
      <w:r w:rsidRPr="006C3615">
        <w:rPr>
          <w:i/>
          <w:iCs/>
        </w:rPr>
        <w:t>A Descriptive Catalogue of the Manuscripts in the College Library of Magdalene College, Cambridge, n.27</w:t>
      </w:r>
      <w:r w:rsidRPr="006C3615">
        <w:t xml:space="preserve">. Cambridge: Cambridge University Press, 1909 </w:t>
      </w:r>
    </w:p>
    <w:p w14:paraId="46215A32" w14:textId="77777777" w:rsidR="0014728A" w:rsidRPr="006C3615" w:rsidRDefault="0014728A" w:rsidP="00FD030E">
      <w:pPr>
        <w:spacing w:line="240" w:lineRule="atLeast"/>
        <w:ind w:left="709" w:hanging="709"/>
      </w:pPr>
      <w:r w:rsidRPr="006C3615">
        <w:t xml:space="preserve">James, Montague Rhodes. </w:t>
      </w:r>
      <w:r w:rsidRPr="006C3615">
        <w:rPr>
          <w:i/>
          <w:iCs/>
        </w:rPr>
        <w:t>A Descriptive Catalogue of the Manuscripts in the College Library of Magdalene College, Cambridge, n.27</w:t>
      </w:r>
      <w:r w:rsidRPr="006C3615">
        <w:t>. Cambridge: Cambridge University Press, 1909</w:t>
      </w:r>
    </w:p>
    <w:p w14:paraId="088E0BE1" w14:textId="77777777" w:rsidR="0014728A" w:rsidRPr="006C3615" w:rsidRDefault="0014728A" w:rsidP="00FD030E">
      <w:pPr>
        <w:spacing w:line="240" w:lineRule="atLeast"/>
        <w:ind w:left="709" w:hanging="709"/>
        <w:rPr>
          <w:lang w:val="fr-FR"/>
        </w:rPr>
      </w:pPr>
      <w:r w:rsidRPr="006C3615">
        <w:rPr>
          <w:lang w:val="fr-FR"/>
        </w:rPr>
        <w:t xml:space="preserve">Jaulin, Robert. ‘Essai d’analyse formelle d’un procédé géomantique’. </w:t>
      </w:r>
      <w:r w:rsidRPr="006C3615">
        <w:rPr>
          <w:i/>
          <w:iCs/>
          <w:lang w:val="fr-FR"/>
        </w:rPr>
        <w:t xml:space="preserve">Bulletin de l’Institut Français d’Afrique Noire </w:t>
      </w:r>
      <w:r w:rsidRPr="006C3615">
        <w:rPr>
          <w:lang w:val="fr-FR"/>
        </w:rPr>
        <w:t>(series B), 19, 1957 : 43-71</w:t>
      </w:r>
    </w:p>
    <w:p w14:paraId="4C6A76CD" w14:textId="77777777" w:rsidR="0014728A" w:rsidRPr="006C3615" w:rsidRDefault="0014728A" w:rsidP="00FD030E">
      <w:pPr>
        <w:spacing w:line="240" w:lineRule="atLeast"/>
        <w:ind w:left="709" w:hanging="709"/>
        <w:rPr>
          <w:lang w:val="fr-FR"/>
        </w:rPr>
      </w:pPr>
      <w:r w:rsidRPr="006C3615">
        <w:rPr>
          <w:lang w:val="fr-FR"/>
        </w:rPr>
        <w:t xml:space="preserve">Jaulin, Robert. </w:t>
      </w:r>
      <w:r w:rsidRPr="006C3615">
        <w:rPr>
          <w:i/>
          <w:iCs/>
          <w:lang w:val="fr-FR"/>
        </w:rPr>
        <w:t>La Géomancie. Analyse formelle.</w:t>
      </w:r>
      <w:r w:rsidRPr="006C3615">
        <w:rPr>
          <w:lang w:val="fr-FR"/>
        </w:rPr>
        <w:t xml:space="preserve"> Paris: Mouton &amp; Co., 1966</w:t>
      </w:r>
    </w:p>
    <w:p w14:paraId="2B5C7BED" w14:textId="77777777" w:rsidR="0014728A" w:rsidRPr="006C3615" w:rsidRDefault="0014728A" w:rsidP="00FD030E">
      <w:pPr>
        <w:spacing w:line="240" w:lineRule="atLeast"/>
        <w:ind w:left="709" w:hanging="709"/>
        <w:rPr>
          <w:lang w:val="fr-FR"/>
        </w:rPr>
      </w:pPr>
      <w:r w:rsidRPr="006C3615">
        <w:rPr>
          <w:lang w:val="fr-FR"/>
        </w:rPr>
        <w:t xml:space="preserve">Jones, Howard D. ‘The Origin of the 28 Nakṣatras in Early Indian Astronomy and Astrology.’ In </w:t>
      </w:r>
      <w:r w:rsidRPr="006C3615">
        <w:rPr>
          <w:i/>
          <w:iCs/>
          <w:lang w:val="fr-FR"/>
        </w:rPr>
        <w:t>Indian Journal of History of Science,</w:t>
      </w:r>
      <w:r w:rsidRPr="006C3615">
        <w:rPr>
          <w:lang w:val="fr-FR"/>
        </w:rPr>
        <w:t xml:space="preserve"> 53.3, 2018: 317-324</w:t>
      </w:r>
    </w:p>
    <w:p w14:paraId="160B0AB1" w14:textId="77777777" w:rsidR="0014728A" w:rsidRPr="006C3615" w:rsidRDefault="0014728A" w:rsidP="00FD030E">
      <w:pPr>
        <w:spacing w:line="240" w:lineRule="atLeast"/>
        <w:ind w:left="709" w:hanging="709"/>
      </w:pPr>
      <w:r w:rsidRPr="006C3615">
        <w:t xml:space="preserve">Josten, C. H. ‘Robert Fludd’s Theory of Geomancy and His Experiences at Avignon in the Winter of 1601 to 1602.’ In </w:t>
      </w:r>
      <w:r w:rsidRPr="006C3615">
        <w:rPr>
          <w:i/>
          <w:iCs/>
        </w:rPr>
        <w:t>Journal of the Warburg and Courtauld Institutes</w:t>
      </w:r>
      <w:r w:rsidRPr="006C3615">
        <w:t>, 1964: 327-335</w:t>
      </w:r>
    </w:p>
    <w:p w14:paraId="40A5E8BD" w14:textId="77777777" w:rsidR="0014728A" w:rsidRPr="006C3615" w:rsidRDefault="0014728A" w:rsidP="00FD030E">
      <w:pPr>
        <w:spacing w:line="240" w:lineRule="atLeast"/>
        <w:ind w:left="709" w:hanging="709"/>
      </w:pPr>
      <w:r w:rsidRPr="006C3615">
        <w:t xml:space="preserve">Josten, C.H. ‘Robert Fludd’s “Philosophical Key” and his alchemical experiment on Wheat.’ In </w:t>
      </w:r>
      <w:r w:rsidRPr="006C3615">
        <w:rPr>
          <w:i/>
          <w:iCs/>
        </w:rPr>
        <w:t>Ambix</w:t>
      </w:r>
      <w:r w:rsidRPr="006C3615">
        <w:t>, 2, 1963: 1-23</w:t>
      </w:r>
    </w:p>
    <w:p w14:paraId="37DE7C98" w14:textId="77777777" w:rsidR="0014728A" w:rsidRPr="006C3615" w:rsidRDefault="0014728A" w:rsidP="00FD030E">
      <w:pPr>
        <w:spacing w:line="240" w:lineRule="atLeast"/>
        <w:ind w:left="709" w:hanging="709"/>
        <w:rPr>
          <w:lang w:val="it-IT"/>
        </w:rPr>
      </w:pPr>
      <w:r w:rsidRPr="006C3615">
        <w:rPr>
          <w:lang w:val="it-IT"/>
        </w:rPr>
        <w:t xml:space="preserve">Juste, David. ‘Les textes astrologiques latins attribués à Aristote.’ In </w:t>
      </w:r>
      <w:r w:rsidRPr="006C3615">
        <w:rPr>
          <w:i/>
          <w:iCs/>
          <w:lang w:val="it-IT"/>
        </w:rPr>
        <w:t>Micrologus</w:t>
      </w:r>
      <w:r w:rsidRPr="006C3615">
        <w:rPr>
          <w:lang w:val="it-IT"/>
        </w:rPr>
        <w:t>,</w:t>
      </w:r>
      <w:r w:rsidRPr="006C3615">
        <w:rPr>
          <w:i/>
          <w:iCs/>
          <w:lang w:val="it-IT"/>
        </w:rPr>
        <w:t xml:space="preserve"> </w:t>
      </w:r>
      <w:r w:rsidRPr="006C3615">
        <w:rPr>
          <w:lang w:val="it-IT"/>
        </w:rPr>
        <w:t>21, 2013: 145-164</w:t>
      </w:r>
    </w:p>
    <w:p w14:paraId="6D5E9634" w14:textId="77777777" w:rsidR="0014728A" w:rsidRPr="006C3615" w:rsidRDefault="0014728A" w:rsidP="00FD030E">
      <w:pPr>
        <w:spacing w:line="240" w:lineRule="atLeast"/>
        <w:ind w:left="709" w:hanging="709"/>
        <w:rPr>
          <w:lang w:val="it-IT"/>
        </w:rPr>
      </w:pPr>
      <w:r w:rsidRPr="006C3615">
        <w:rPr>
          <w:lang w:val="fr-FR"/>
        </w:rPr>
        <w:t xml:space="preserve">Juste, David. </w:t>
      </w:r>
      <w:r w:rsidRPr="006C3615">
        <w:rPr>
          <w:i/>
          <w:iCs/>
          <w:lang w:val="fr-FR"/>
        </w:rPr>
        <w:t>Les Alchandreana Primitifs. Étude sur les Plus Anciens Traités Astrologiques Latins d’Origine Arabe (X</w:t>
      </w:r>
      <w:r w:rsidRPr="006C3615">
        <w:rPr>
          <w:i/>
          <w:iCs/>
          <w:vertAlign w:val="superscript"/>
          <w:lang w:val="fr-FR"/>
        </w:rPr>
        <w:t>e</w:t>
      </w:r>
      <w:r w:rsidRPr="006C3615">
        <w:rPr>
          <w:i/>
          <w:iCs/>
          <w:lang w:val="fr-FR"/>
        </w:rPr>
        <w:t xml:space="preserve"> Siècle). </w:t>
      </w:r>
      <w:r w:rsidRPr="006C3615">
        <w:rPr>
          <w:lang w:val="it-IT"/>
        </w:rPr>
        <w:t>Leiden-Boston: Brill, 2007</w:t>
      </w:r>
    </w:p>
    <w:p w14:paraId="60B53190" w14:textId="77777777" w:rsidR="0014728A" w:rsidRPr="006C3615" w:rsidRDefault="0014728A" w:rsidP="00FD030E">
      <w:pPr>
        <w:spacing w:line="240" w:lineRule="atLeast"/>
        <w:ind w:left="709" w:hanging="709"/>
        <w:rPr>
          <w:lang w:val="it-IT"/>
        </w:rPr>
      </w:pPr>
      <w:r w:rsidRPr="006C3615">
        <w:rPr>
          <w:lang w:val="it-IT"/>
        </w:rPr>
        <w:t xml:space="preserve">Kaeppeli, Thomas. </w:t>
      </w:r>
      <w:r w:rsidRPr="006C3615">
        <w:rPr>
          <w:i/>
          <w:iCs/>
          <w:lang w:val="it-IT"/>
        </w:rPr>
        <w:t>Scriptores Ordinis Praedicatorum Medii Aevi</w:t>
      </w:r>
      <w:r w:rsidRPr="006C3615">
        <w:rPr>
          <w:lang w:val="it-IT"/>
        </w:rPr>
        <w:t>, vol. II. Rome: Typis Polyglottis Vaticanis, 1975</w:t>
      </w:r>
    </w:p>
    <w:p w14:paraId="223B5813" w14:textId="77777777" w:rsidR="0014728A" w:rsidRPr="006C3615" w:rsidRDefault="0014728A" w:rsidP="00FD030E">
      <w:pPr>
        <w:spacing w:line="240" w:lineRule="atLeast"/>
        <w:ind w:left="709" w:hanging="709"/>
      </w:pPr>
      <w:r w:rsidRPr="006C3615">
        <w:t xml:space="preserve">Kemp, Simon. </w:t>
      </w:r>
      <w:r w:rsidRPr="006C3615">
        <w:rPr>
          <w:i/>
          <w:iCs/>
        </w:rPr>
        <w:t>Cognitive Psychology in the Middle Ages</w:t>
      </w:r>
      <w:r w:rsidRPr="006C3615">
        <w:t>. Westport, Connecticut: Greenwood Press, 1996</w:t>
      </w:r>
    </w:p>
    <w:p w14:paraId="59AEA6EB" w14:textId="77777777" w:rsidR="0014728A" w:rsidRPr="006C3615" w:rsidRDefault="0014728A" w:rsidP="00FD030E">
      <w:pPr>
        <w:spacing w:line="240" w:lineRule="atLeast"/>
        <w:ind w:left="709" w:hanging="709"/>
      </w:pPr>
      <w:r w:rsidRPr="006C3615">
        <w:t xml:space="preserve">Khvolʹson (Chwolsohn), Danīil Avraamovich. </w:t>
      </w:r>
      <w:r w:rsidRPr="006C3615">
        <w:rPr>
          <w:i/>
          <w:iCs/>
        </w:rPr>
        <w:t>Die Ssabier und der Ssabismus</w:t>
      </w:r>
      <w:r w:rsidRPr="006C3615">
        <w:t>. St. Petersburg: Buchdruckerei der Kaiserlichen Akademie der Wissenschaften, 1856</w:t>
      </w:r>
    </w:p>
    <w:p w14:paraId="1C46734B" w14:textId="77777777" w:rsidR="0014728A" w:rsidRPr="006C3615" w:rsidRDefault="0014728A" w:rsidP="00FD030E">
      <w:pPr>
        <w:spacing w:line="240" w:lineRule="atLeast"/>
        <w:ind w:left="709" w:hanging="709"/>
      </w:pPr>
      <w:r w:rsidRPr="006C3615">
        <w:t xml:space="preserve">Klein-Franke, Felix. ‘The Geomancy of Ahmad G. ‘Alī Zumbul. A Study of the Arabic </w:t>
      </w:r>
      <w:r w:rsidRPr="006C3615">
        <w:rPr>
          <w:i/>
          <w:iCs/>
        </w:rPr>
        <w:t>Corpus Hermeticum</w:t>
      </w:r>
      <w:r w:rsidRPr="006C3615">
        <w:t xml:space="preserve">’. </w:t>
      </w:r>
      <w:r w:rsidRPr="006C3615">
        <w:rPr>
          <w:i/>
          <w:iCs/>
        </w:rPr>
        <w:t>Ambix. The journal of the Society for the Study of Alchemy and Early Chemistry,</w:t>
      </w:r>
      <w:r w:rsidRPr="006C3615">
        <w:t xml:space="preserve"> Vol. XX, No. 1, March 1973: 26-35</w:t>
      </w:r>
    </w:p>
    <w:p w14:paraId="55C1C9A1" w14:textId="77777777" w:rsidR="0014728A" w:rsidRPr="006C3615" w:rsidRDefault="0014728A" w:rsidP="00FD030E">
      <w:pPr>
        <w:spacing w:line="240" w:lineRule="atLeast"/>
        <w:ind w:left="709" w:hanging="709"/>
      </w:pPr>
      <w:r w:rsidRPr="006C3615">
        <w:t xml:space="preserve">Klima, Gyula (ed.). </w:t>
      </w:r>
      <w:r w:rsidRPr="006C3615">
        <w:rPr>
          <w:i/>
          <w:iCs/>
        </w:rPr>
        <w:t>Intentionality, Cognition, and Mental Representation in Medieval Philosophy</w:t>
      </w:r>
      <w:r w:rsidRPr="006C3615">
        <w:t>. New York: Fordham University Press, 2015</w:t>
      </w:r>
    </w:p>
    <w:p w14:paraId="066106F9" w14:textId="77777777" w:rsidR="0014728A" w:rsidRPr="006C3615" w:rsidRDefault="0014728A" w:rsidP="00FD030E">
      <w:pPr>
        <w:spacing w:line="240" w:lineRule="atLeast"/>
        <w:ind w:left="709" w:hanging="709"/>
      </w:pPr>
      <w:r w:rsidRPr="006C3615">
        <w:t xml:space="preserve">Kraemer, Joel L. </w:t>
      </w:r>
      <w:r w:rsidRPr="006C3615">
        <w:rPr>
          <w:i/>
          <w:iCs/>
        </w:rPr>
        <w:t>Humanism in the Renaissance of Islam</w:t>
      </w:r>
      <w:r w:rsidRPr="006C3615">
        <w:t>: Leiden: Brill, 1986</w:t>
      </w:r>
    </w:p>
    <w:p w14:paraId="53553DFF" w14:textId="77777777" w:rsidR="0014728A" w:rsidRPr="006C3615" w:rsidRDefault="0014728A" w:rsidP="00FD030E">
      <w:pPr>
        <w:spacing w:line="240" w:lineRule="atLeast"/>
        <w:ind w:left="851" w:hanging="851"/>
        <w:rPr>
          <w:lang w:val="it-IT"/>
        </w:rPr>
      </w:pPr>
      <w:bookmarkStart w:id="166" w:name="_Hlk77863715"/>
      <w:r w:rsidRPr="006C3615">
        <w:rPr>
          <w:lang w:val="it-IT"/>
        </w:rPr>
        <w:t xml:space="preserve">Kruger, Steven K. </w:t>
      </w:r>
      <w:r w:rsidRPr="006C3615">
        <w:rPr>
          <w:i/>
          <w:iCs/>
          <w:lang w:val="it-IT"/>
        </w:rPr>
        <w:t>Dreaming in the Middle Ages.</w:t>
      </w:r>
      <w:r w:rsidRPr="006C3615">
        <w:rPr>
          <w:lang w:val="it-IT"/>
        </w:rPr>
        <w:t xml:space="preserve"> Cambridge: Cambridge University Press, 1992</w:t>
      </w:r>
    </w:p>
    <w:p w14:paraId="08383AAE" w14:textId="77777777" w:rsidR="0014728A" w:rsidRPr="006C3615" w:rsidRDefault="0014728A" w:rsidP="00FD030E">
      <w:pPr>
        <w:spacing w:line="240" w:lineRule="atLeast"/>
        <w:ind w:left="709" w:hanging="709"/>
      </w:pPr>
      <w:bookmarkStart w:id="167" w:name="_Hlk77863807"/>
      <w:r w:rsidRPr="006C3615">
        <w:t xml:space="preserve">Kwakkel, Erik. </w:t>
      </w:r>
      <w:r w:rsidRPr="006C3615">
        <w:rPr>
          <w:i/>
          <w:iCs/>
        </w:rPr>
        <w:t>Medicine at Monte Cassino, Constantine the African and the Oldest Manuscript of his Pantegni</w:t>
      </w:r>
      <w:r w:rsidRPr="006C3615">
        <w:t>, edited by Erik Kwakkel and Francis Newton. Turnhout: Brepols, 2019</w:t>
      </w:r>
    </w:p>
    <w:p w14:paraId="702FCCEC" w14:textId="77777777" w:rsidR="0014728A" w:rsidRPr="006C3615" w:rsidRDefault="0014728A" w:rsidP="00FD030E">
      <w:pPr>
        <w:spacing w:line="240" w:lineRule="atLeast"/>
        <w:ind w:left="709" w:hanging="709"/>
      </w:pPr>
      <w:r w:rsidRPr="006C3615">
        <w:t xml:space="preserve">Lane, Edward William. </w:t>
      </w:r>
      <w:r w:rsidRPr="006C3615">
        <w:rPr>
          <w:i/>
          <w:iCs/>
        </w:rPr>
        <w:t>The</w:t>
      </w:r>
      <w:r w:rsidRPr="006C3615">
        <w:t xml:space="preserve"> </w:t>
      </w:r>
      <w:r w:rsidRPr="006C3615">
        <w:rPr>
          <w:i/>
          <w:iCs/>
        </w:rPr>
        <w:t xml:space="preserve">Manners and Customs of Modern Egyptians. </w:t>
      </w:r>
      <w:r w:rsidRPr="006C3615">
        <w:t>London: J.M. Dent, 1923</w:t>
      </w:r>
    </w:p>
    <w:p w14:paraId="74D55DE9" w14:textId="77777777" w:rsidR="0014728A" w:rsidRPr="006C3615" w:rsidRDefault="0014728A" w:rsidP="00FD030E">
      <w:pPr>
        <w:spacing w:line="240" w:lineRule="atLeast"/>
        <w:ind w:left="709" w:hanging="709"/>
      </w:pPr>
      <w:r w:rsidRPr="006C3615">
        <w:t xml:space="preserve">Leirvik, Oddbjørn. ‘Conscience in Arabic and the Semantic History of ‘Ḍamīr’’, in </w:t>
      </w:r>
      <w:r w:rsidRPr="006C3615">
        <w:rPr>
          <w:i/>
          <w:iCs/>
        </w:rPr>
        <w:t>Journal of Arabic and Islamic Studies</w:t>
      </w:r>
      <w:r w:rsidRPr="006C3615">
        <w:t>, n. 9, 2017: 18-36</w:t>
      </w:r>
    </w:p>
    <w:bookmarkEnd w:id="166"/>
    <w:bookmarkEnd w:id="167"/>
    <w:p w14:paraId="3880AE4E" w14:textId="77777777" w:rsidR="0014728A" w:rsidRPr="006C3615" w:rsidRDefault="0014728A" w:rsidP="00FD030E">
      <w:pPr>
        <w:spacing w:line="240" w:lineRule="atLeast"/>
        <w:ind w:left="709" w:hanging="709"/>
      </w:pPr>
      <w:r w:rsidRPr="006C3615">
        <w:t xml:space="preserve">Lemay, Richard. </w:t>
      </w:r>
      <w:r w:rsidRPr="006C3615">
        <w:rPr>
          <w:i/>
          <w:iCs/>
        </w:rPr>
        <w:t>Abu Ma’shar and Latin Aristotelianism in the Twelfth Century. The Recovery of Aristotle’s Natural Philosophy through Arabic Astrology</w:t>
      </w:r>
      <w:r w:rsidRPr="006C3615">
        <w:t xml:space="preserve">. Beirut: American University of Beirut. Publications of the Faculty of Arts and Sciences, 1962 </w:t>
      </w:r>
    </w:p>
    <w:p w14:paraId="3BABA726" w14:textId="7236147B" w:rsidR="0014728A" w:rsidRPr="006C3615" w:rsidRDefault="0014728A" w:rsidP="00FD030E">
      <w:pPr>
        <w:spacing w:line="240" w:lineRule="atLeast"/>
        <w:ind w:left="709" w:hanging="709"/>
      </w:pPr>
      <w:r w:rsidRPr="006C3615">
        <w:t xml:space="preserve">Lindberg, David C. ‘The Genesis of Kepler’s Theory of Light: Light Metaphysics from Plotinus to Kepler.’ In </w:t>
      </w:r>
      <w:r w:rsidRPr="006C3615">
        <w:rPr>
          <w:i/>
          <w:iCs/>
        </w:rPr>
        <w:t>Osiris</w:t>
      </w:r>
      <w:r w:rsidRPr="006C3615">
        <w:t>, vol. 2, 1986: 4-42</w:t>
      </w:r>
    </w:p>
    <w:p w14:paraId="43383B37" w14:textId="77777777" w:rsidR="0014728A" w:rsidRPr="006C3615" w:rsidRDefault="0014728A" w:rsidP="00FD030E">
      <w:pPr>
        <w:spacing w:line="240" w:lineRule="atLeast"/>
        <w:ind w:left="709" w:hanging="709"/>
      </w:pPr>
      <w:r w:rsidRPr="006C3615">
        <w:t xml:space="preserve">Lindberg, David C. ‘The Transmission of Greek and Arabic Learning to the West.’ In </w:t>
      </w:r>
      <w:r w:rsidRPr="006C3615">
        <w:rPr>
          <w:i/>
          <w:iCs/>
        </w:rPr>
        <w:t>Science in the Middle Ages</w:t>
      </w:r>
      <w:r w:rsidRPr="006C3615">
        <w:t>, edited by David C. Lindberg, 52-90. Chicago-London: University of Chicago Press, 1978</w:t>
      </w:r>
    </w:p>
    <w:p w14:paraId="5F4481B9" w14:textId="77777777" w:rsidR="0014728A" w:rsidRPr="006C3615" w:rsidRDefault="0014728A" w:rsidP="00FD030E">
      <w:pPr>
        <w:spacing w:line="240" w:lineRule="atLeast"/>
        <w:ind w:left="709" w:hanging="709"/>
        <w:rPr>
          <w:rFonts w:eastAsia="Times New Roman"/>
          <w:color w:val="222222"/>
          <w:lang w:eastAsia="it-IT"/>
        </w:rPr>
      </w:pPr>
      <w:r w:rsidRPr="006C3615">
        <w:t xml:space="preserve">Lippincott, Kristen and David Pingree. ‘Ibn al-Ḥātim on the Talismans of the Lunar Mansions’. In </w:t>
      </w:r>
      <w:r w:rsidRPr="006C3615">
        <w:rPr>
          <w:i/>
          <w:iCs/>
        </w:rPr>
        <w:t>Journal of the Warburg and Courtauld Institutes</w:t>
      </w:r>
      <w:r w:rsidRPr="006C3615">
        <w:t>, Vol. 50. London, 1987: 57-81</w:t>
      </w:r>
    </w:p>
    <w:p w14:paraId="623180C1" w14:textId="77777777" w:rsidR="0014728A" w:rsidRPr="006C3615" w:rsidRDefault="0014728A" w:rsidP="00FD030E">
      <w:pPr>
        <w:spacing w:line="240" w:lineRule="atLeast"/>
        <w:ind w:left="709" w:hanging="709"/>
        <w:rPr>
          <w:rFonts w:eastAsia="Times New Roman"/>
          <w:color w:val="222222"/>
          <w:lang w:eastAsia="it-IT"/>
        </w:rPr>
      </w:pPr>
      <w:r w:rsidRPr="006C3615">
        <w:rPr>
          <w:rFonts w:eastAsia="Times New Roman"/>
          <w:color w:val="222222"/>
          <w:lang w:eastAsia="it-IT"/>
        </w:rPr>
        <w:t xml:space="preserve">Ludwig, Ulrike. </w:t>
      </w:r>
      <w:r w:rsidRPr="006C3615">
        <w:rPr>
          <w:rFonts w:eastAsia="Times New Roman"/>
          <w:i/>
          <w:iCs/>
          <w:color w:val="222222"/>
          <w:lang w:eastAsia="it-IT"/>
        </w:rPr>
        <w:t>Magical Choices. Geomancy as a Strategy in the Politics and Everyday Life of Augustus, Elector of Saxony (1526-1586).</w:t>
      </w:r>
      <w:r w:rsidRPr="006C3615">
        <w:rPr>
          <w:rFonts w:eastAsia="Times New Roman"/>
          <w:color w:val="222222"/>
          <w:lang w:eastAsia="it-IT"/>
        </w:rPr>
        <w:t xml:space="preserve"> IKGF Erlangen-Nürnberg (November 11, 2014)</w:t>
      </w:r>
    </w:p>
    <w:bookmarkEnd w:id="161"/>
    <w:p w14:paraId="20255132" w14:textId="77777777" w:rsidR="0014728A" w:rsidRPr="006C3615" w:rsidRDefault="0014728A" w:rsidP="00FD030E">
      <w:pPr>
        <w:spacing w:line="240" w:lineRule="atLeast"/>
        <w:ind w:left="709" w:hanging="709"/>
      </w:pPr>
      <w:r w:rsidRPr="006C3615">
        <w:t xml:space="preserve">Macray, William Dunn. </w:t>
      </w:r>
      <w:r w:rsidRPr="006C3615">
        <w:rPr>
          <w:i/>
          <w:iCs/>
        </w:rPr>
        <w:t>Catalogi Codicum Manoscriptorum Bibliothecae Bodleianae, partis quintae, fasciculus quartus</w:t>
      </w:r>
      <w:r w:rsidRPr="006C3615">
        <w:t>. Oxford: Clarendon Press, 1898</w:t>
      </w:r>
    </w:p>
    <w:p w14:paraId="52A89FEA" w14:textId="77777777" w:rsidR="0014728A" w:rsidRPr="006C3615" w:rsidRDefault="0014728A" w:rsidP="00FD030E">
      <w:pPr>
        <w:spacing w:line="240" w:lineRule="atLeast"/>
        <w:ind w:left="709" w:hanging="709"/>
      </w:pPr>
      <w:r w:rsidRPr="006C3615">
        <w:t xml:space="preserve">Mallett, Alexander and Catherine Rider. ‘The Trial of Sellem Bin al-Sheikh Mansur before the Roman Inquisition on Malta, 1605’, in </w:t>
      </w:r>
      <w:r w:rsidRPr="006C3615">
        <w:rPr>
          <w:i/>
          <w:iCs/>
        </w:rPr>
        <w:t>Magic in Malta: Sellem Bin Al-Sheikh Mansur and the Roman Inquisition 1605</w:t>
      </w:r>
      <w:r w:rsidRPr="006C3615">
        <w:t>, edited by Dionisius A. Agius, Alexander Mallett and Catherine Rider, 24-246. Leiden: Brill, 2022</w:t>
      </w:r>
    </w:p>
    <w:p w14:paraId="2A0BA90E" w14:textId="1FBCBA4E" w:rsidR="0014728A" w:rsidRPr="006C3615" w:rsidRDefault="0014728A" w:rsidP="00FD030E">
      <w:pPr>
        <w:spacing w:line="240" w:lineRule="atLeast"/>
        <w:ind w:left="709" w:hanging="709"/>
      </w:pPr>
      <w:r w:rsidRPr="006C3615">
        <w:t xml:space="preserve">Manselli, Raoul. ‘La corte di Federico II e Michele Scoto.’ In </w:t>
      </w:r>
      <w:r w:rsidRPr="006C3615">
        <w:rPr>
          <w:i/>
          <w:iCs/>
        </w:rPr>
        <w:t xml:space="preserve">L’Averroismo in Italia, Convegno internazionale 18-20 Aprile 1977, </w:t>
      </w:r>
      <w:r w:rsidRPr="006C3615">
        <w:t>63-80. Rome: Accademia Nazionale dei Lincei, 1979</w:t>
      </w:r>
    </w:p>
    <w:p w14:paraId="1C6137C9" w14:textId="77777777" w:rsidR="0014728A" w:rsidRPr="006C3615" w:rsidRDefault="0014728A" w:rsidP="00FD030E">
      <w:pPr>
        <w:spacing w:line="240" w:lineRule="atLeast"/>
        <w:ind w:left="709" w:hanging="709"/>
      </w:pPr>
      <w:r w:rsidRPr="006C3615">
        <w:t xml:space="preserve">Martínez Gázquez, José. </w:t>
      </w:r>
      <w:r w:rsidRPr="006C3615">
        <w:rPr>
          <w:i/>
          <w:iCs/>
        </w:rPr>
        <w:t>The Attitude of the Medieval Latin Translators Towards the Arabic Sciences</w:t>
      </w:r>
      <w:r w:rsidRPr="006C3615">
        <w:t>. Florence: Sismel – Edizioni del Galluzzo, 2016</w:t>
      </w:r>
    </w:p>
    <w:p w14:paraId="58A5C840" w14:textId="77777777" w:rsidR="0014728A" w:rsidRPr="006C3615" w:rsidRDefault="0014728A" w:rsidP="00FD030E">
      <w:pPr>
        <w:spacing w:line="240" w:lineRule="atLeast"/>
        <w:ind w:left="709" w:hanging="709"/>
      </w:pPr>
      <w:r w:rsidRPr="006C3615">
        <w:t xml:space="preserve">McKendrick, Scot, John Lowden, and Kathleen Doyle. </w:t>
      </w:r>
      <w:r w:rsidRPr="006C3615">
        <w:rPr>
          <w:i/>
          <w:iCs/>
        </w:rPr>
        <w:t>Royal Manuscripts: The Genius of Illumination</w:t>
      </w:r>
      <w:r w:rsidRPr="006C3615">
        <w:t xml:space="preserve"> [exhibition catalogue]. London: British Library, 2011 </w:t>
      </w:r>
    </w:p>
    <w:p w14:paraId="6B001BDC" w14:textId="2644137C" w:rsidR="0014728A" w:rsidRPr="006C3615" w:rsidRDefault="0014728A" w:rsidP="00FD030E">
      <w:pPr>
        <w:spacing w:line="240" w:lineRule="atLeast"/>
        <w:ind w:left="709" w:hanging="709"/>
      </w:pPr>
      <w:r w:rsidRPr="006C3615">
        <w:t xml:space="preserve">Meale, Carol M. ‘London, British Library, Harley MS 2252, John Colyns’ ‘Boke’: Structure and Content’. In </w:t>
      </w:r>
      <w:r w:rsidRPr="006C3615">
        <w:rPr>
          <w:i/>
          <w:iCs/>
        </w:rPr>
        <w:t>Tudor Manuscripts 1485-1603</w:t>
      </w:r>
      <w:r w:rsidRPr="006C3615">
        <w:t xml:space="preserve">. </w:t>
      </w:r>
      <w:r w:rsidRPr="006C3615">
        <w:rPr>
          <w:i/>
          <w:iCs/>
        </w:rPr>
        <w:t>English Manuscript Studies, 15</w:t>
      </w:r>
      <w:r w:rsidRPr="006C3615">
        <w:t xml:space="preserve">, edited by A. S. G. Edwards, 65-122. London: British Library, 2009 </w:t>
      </w:r>
    </w:p>
    <w:p w14:paraId="7E39B43D" w14:textId="77777777" w:rsidR="0014728A" w:rsidRPr="006C3615" w:rsidRDefault="0014728A" w:rsidP="00FD030E">
      <w:pPr>
        <w:spacing w:line="240" w:lineRule="atLeast"/>
        <w:ind w:left="709" w:hanging="709"/>
      </w:pPr>
      <w:r w:rsidRPr="006C3615">
        <w:t xml:space="preserve">Means, Laurel. ‘A translation of Martin of Spain’s </w:t>
      </w:r>
      <w:r w:rsidRPr="006C3615">
        <w:rPr>
          <w:i/>
          <w:iCs/>
        </w:rPr>
        <w:t>De geomancia.</w:t>
      </w:r>
      <w:r w:rsidRPr="006C3615">
        <w:t xml:space="preserve">’ In </w:t>
      </w:r>
      <w:r w:rsidRPr="006C3615">
        <w:rPr>
          <w:i/>
          <w:iCs/>
        </w:rPr>
        <w:t>Popular and Practical Science of Medieval England,</w:t>
      </w:r>
      <w:r w:rsidRPr="006C3615">
        <w:t xml:space="preserve"> edited by Lister M. Matheson, 61-121. East Lansing, Mich.: Colleagues Press, 1994 </w:t>
      </w:r>
    </w:p>
    <w:p w14:paraId="06C488F7" w14:textId="77777777" w:rsidR="0014728A" w:rsidRPr="006C3615" w:rsidRDefault="0014728A" w:rsidP="00FD030E">
      <w:pPr>
        <w:spacing w:line="240" w:lineRule="atLeast"/>
        <w:ind w:left="709" w:hanging="709"/>
        <w:rPr>
          <w:rFonts w:eastAsia="Times New Roman"/>
          <w:color w:val="222222"/>
          <w:lang w:eastAsia="it-IT"/>
        </w:rPr>
      </w:pPr>
      <w:r w:rsidRPr="006C3615">
        <w:t xml:space="preserve">Melvin-Koushki, Matthew. ‘Geomancy in the Islamic World’, in </w:t>
      </w:r>
      <w:r w:rsidRPr="006C3615">
        <w:rPr>
          <w:i/>
          <w:iCs/>
        </w:rPr>
        <w:t>Prognostication in The Medieval World, a Handbook, Vol. 2</w:t>
      </w:r>
      <w:r w:rsidRPr="006C3615">
        <w:t xml:space="preserve"> edited by Matthias Heiduk, Klaus Herbers and Hans-Christian Lehner, 789-793. Berlin: De Gruyter, 2021</w:t>
      </w:r>
    </w:p>
    <w:p w14:paraId="3CC7287F" w14:textId="77777777" w:rsidR="0014728A" w:rsidRPr="006C3615" w:rsidRDefault="0014728A" w:rsidP="00FD030E">
      <w:pPr>
        <w:spacing w:line="240" w:lineRule="atLeast"/>
        <w:ind w:left="709" w:hanging="709"/>
      </w:pPr>
      <w:r w:rsidRPr="006C3615">
        <w:t xml:space="preserve">Messier, Ronald A. ‘Quantitative Analysis of Almoravid Dinars’. In </w:t>
      </w:r>
      <w:r w:rsidRPr="006C3615">
        <w:rPr>
          <w:i/>
          <w:iCs/>
        </w:rPr>
        <w:t>Journal of the Economic and Social History of the Orient</w:t>
      </w:r>
      <w:r w:rsidRPr="006C3615">
        <w:t>, Vol. 23 No. 1\2. April 1880: Brill: 102-118</w:t>
      </w:r>
    </w:p>
    <w:p w14:paraId="3F6975E4" w14:textId="77777777" w:rsidR="0014728A" w:rsidRPr="006C3615" w:rsidRDefault="0014728A" w:rsidP="00FD030E">
      <w:pPr>
        <w:spacing w:line="240" w:lineRule="atLeast"/>
        <w:ind w:left="709" w:hanging="709"/>
      </w:pPr>
      <w:r w:rsidRPr="006C3615">
        <w:t xml:space="preserve">Meyvaert, Paul. ‘John Erghome and the Vaticinium Roberti Bridlington’. In </w:t>
      </w:r>
      <w:r w:rsidRPr="006C3615">
        <w:rPr>
          <w:i/>
          <w:iCs/>
        </w:rPr>
        <w:t>Speculum, 41</w:t>
      </w:r>
      <w:r w:rsidRPr="006C3615">
        <w:t>, 1966: 659-60</w:t>
      </w:r>
    </w:p>
    <w:p w14:paraId="4BDC78EE" w14:textId="77777777" w:rsidR="0014728A" w:rsidRPr="006C3615" w:rsidRDefault="0014728A" w:rsidP="00FD030E">
      <w:pPr>
        <w:spacing w:line="240" w:lineRule="atLeast"/>
        <w:ind w:left="709" w:hanging="709"/>
      </w:pPr>
      <w:r w:rsidRPr="006C3615">
        <w:t xml:space="preserve">Michelspacher, Steffan. </w:t>
      </w:r>
      <w:r w:rsidRPr="006C3615">
        <w:rPr>
          <w:i/>
          <w:iCs/>
        </w:rPr>
        <w:t>Cabala: Spiegel der Kunst und Natur in Alchymia (Augsburg: 1616)</w:t>
      </w:r>
      <w:r>
        <w:rPr>
          <w:i/>
          <w:iCs/>
        </w:rPr>
        <w:t>.</w:t>
      </w:r>
      <w:r w:rsidRPr="006C3615">
        <w:rPr>
          <w:i/>
          <w:iCs/>
        </w:rPr>
        <w:t xml:space="preserve"> </w:t>
      </w:r>
      <w:r>
        <w:t>I</w:t>
      </w:r>
      <w:r w:rsidRPr="00D348D7">
        <w:t>n</w:t>
      </w:r>
      <w:r w:rsidRPr="006C3615">
        <w:rPr>
          <w:i/>
          <w:iCs/>
        </w:rPr>
        <w:t xml:space="preserve"> </w:t>
      </w:r>
      <w:r w:rsidRPr="00183CE0">
        <w:t>Gareth Roberts,</w:t>
      </w:r>
      <w:r w:rsidRPr="006C3615">
        <w:rPr>
          <w:i/>
          <w:iCs/>
        </w:rPr>
        <w:t xml:space="preserve"> The Mirror of Alchemy. Alchemical Ideas and Images in Manuscripts and Books, from Antiquity to the Seventeeth-Century</w:t>
      </w:r>
      <w:r w:rsidRPr="006C3615">
        <w:t>. London: The British Library, 1994</w:t>
      </w:r>
    </w:p>
    <w:p w14:paraId="641818C7" w14:textId="77777777" w:rsidR="0014728A" w:rsidRPr="006C3615" w:rsidRDefault="0014728A" w:rsidP="00FD030E">
      <w:pPr>
        <w:spacing w:line="240" w:lineRule="atLeast"/>
        <w:ind w:left="709" w:hanging="709"/>
      </w:pPr>
      <w:r w:rsidRPr="006C3615">
        <w:t xml:space="preserve">Minio-Paluello, Lorenzo. ‘Michael Scot.’ </w:t>
      </w:r>
      <w:r>
        <w:t>I</w:t>
      </w:r>
      <w:r w:rsidRPr="006C3615">
        <w:t xml:space="preserve">n </w:t>
      </w:r>
      <w:r w:rsidRPr="006C3615">
        <w:rPr>
          <w:i/>
          <w:iCs/>
        </w:rPr>
        <w:t>The Dictionary of Scientific Biography</w:t>
      </w:r>
      <w:r w:rsidRPr="006C3615">
        <w:t>, edited by Charles Coulston Gillispie, XI, 361-65. New York: Scribner, 1974</w:t>
      </w:r>
    </w:p>
    <w:p w14:paraId="0B7B6DBA" w14:textId="77777777" w:rsidR="0014728A" w:rsidRPr="006C3615" w:rsidRDefault="0014728A" w:rsidP="00FD030E">
      <w:pPr>
        <w:spacing w:line="240" w:lineRule="atLeast"/>
        <w:ind w:left="709" w:hanging="709"/>
      </w:pPr>
      <w:r w:rsidRPr="006C3615">
        <w:t xml:space="preserve">Modrak, Deborah. ‘Internal Senses and Aristotle’s Cognitive Theory.’ In </w:t>
      </w:r>
      <w:r w:rsidRPr="006C3615">
        <w:rPr>
          <w:i/>
          <w:iCs/>
        </w:rPr>
        <w:t>The Internal Senses in the Aristotelian Tradition</w:t>
      </w:r>
      <w:r w:rsidRPr="006C3615">
        <w:t>, edited by Seyed N. Mousavian and Jakob L. Fink, 17-28. Berlin: Springer, 2020</w:t>
      </w:r>
    </w:p>
    <w:p w14:paraId="192D2D79" w14:textId="77777777" w:rsidR="0014728A" w:rsidRPr="006C3615" w:rsidRDefault="0014728A" w:rsidP="00FD030E">
      <w:pPr>
        <w:spacing w:line="240" w:lineRule="atLeast"/>
        <w:ind w:left="709" w:hanging="709"/>
      </w:pPr>
      <w:r w:rsidRPr="006C3615">
        <w:t>Mousavian, Seyed N. and Jakob L. Fink (eds.).</w:t>
      </w:r>
      <w:r w:rsidRPr="006C3615">
        <w:rPr>
          <w:i/>
          <w:iCs/>
        </w:rPr>
        <w:t xml:space="preserve"> The Internal Senses in the Aristotelian Tradition</w:t>
      </w:r>
      <w:r w:rsidRPr="006C3615">
        <w:t>. Berlin: Springer, 2020</w:t>
      </w:r>
    </w:p>
    <w:p w14:paraId="75363792" w14:textId="77777777" w:rsidR="0014728A" w:rsidRPr="006C3615" w:rsidRDefault="0014728A" w:rsidP="00FD030E">
      <w:pPr>
        <w:spacing w:line="240" w:lineRule="atLeast"/>
        <w:ind w:left="709" w:hanging="709"/>
      </w:pPr>
      <w:r w:rsidRPr="006C3615">
        <w:t xml:space="preserve">Noble, Michael-Sebastian. ‘The Avicennan </w:t>
      </w:r>
      <w:r w:rsidRPr="006C3615">
        <w:rPr>
          <w:i/>
          <w:iCs/>
        </w:rPr>
        <w:t>aestimatio</w:t>
      </w:r>
      <w:r w:rsidRPr="006C3615">
        <w:t xml:space="preserve"> (al-wahm) in Fakhr al-Din al-Razi’s Theory of Talismanic Action at distance.’ In </w:t>
      </w:r>
      <w:r w:rsidRPr="006C3615">
        <w:rPr>
          <w:i/>
          <w:iCs/>
        </w:rPr>
        <w:t>Bulletin de Philosophie Medievale,</w:t>
      </w:r>
      <w:r w:rsidRPr="006C3615">
        <w:t xml:space="preserve"> 59, 2017: 79-89</w:t>
      </w:r>
    </w:p>
    <w:p w14:paraId="3BFEDA38" w14:textId="795846B8" w:rsidR="0014728A" w:rsidRPr="006C3615" w:rsidRDefault="0014728A" w:rsidP="00FD030E">
      <w:pPr>
        <w:spacing w:line="240" w:lineRule="atLeast"/>
        <w:ind w:left="709" w:hanging="709"/>
      </w:pPr>
      <w:r w:rsidRPr="006C3615">
        <w:t xml:space="preserve">Noble, Michael-Sebastian. </w:t>
      </w:r>
      <w:r w:rsidRPr="006C3615">
        <w:rPr>
          <w:i/>
          <w:iCs/>
        </w:rPr>
        <w:t xml:space="preserve">Philosophising the occult: Avicennan psychology and </w:t>
      </w:r>
      <w:r w:rsidR="002E0188">
        <w:rPr>
          <w:i/>
          <w:iCs/>
        </w:rPr>
        <w:t>t</w:t>
      </w:r>
      <w:r w:rsidRPr="006C3615">
        <w:rPr>
          <w:i/>
          <w:iCs/>
        </w:rPr>
        <w:t xml:space="preserve">he </w:t>
      </w:r>
      <w:r w:rsidR="002E0188">
        <w:rPr>
          <w:i/>
          <w:iCs/>
        </w:rPr>
        <w:t>H</w:t>
      </w:r>
      <w:r w:rsidRPr="006C3615">
        <w:rPr>
          <w:i/>
          <w:iCs/>
        </w:rPr>
        <w:t xml:space="preserve">idden </w:t>
      </w:r>
      <w:r w:rsidR="002E0188">
        <w:rPr>
          <w:i/>
          <w:iCs/>
        </w:rPr>
        <w:t>S</w:t>
      </w:r>
      <w:r w:rsidRPr="006C3615">
        <w:rPr>
          <w:i/>
          <w:iCs/>
        </w:rPr>
        <w:t>ecret of Fakhr al-Dīn al-Rāzī</w:t>
      </w:r>
      <w:r w:rsidRPr="006C3615">
        <w:t>. Berlin: De Gruyter, 2021</w:t>
      </w:r>
    </w:p>
    <w:p w14:paraId="3B066BB0" w14:textId="77777777" w:rsidR="0014728A" w:rsidRPr="006C3615" w:rsidRDefault="0014728A" w:rsidP="00FD030E">
      <w:pPr>
        <w:spacing w:line="240" w:lineRule="atLeast"/>
        <w:ind w:left="709" w:hanging="709"/>
      </w:pPr>
      <w:r w:rsidRPr="006C3615">
        <w:t xml:space="preserve">North, John David. </w:t>
      </w:r>
      <w:r w:rsidRPr="006C3615">
        <w:rPr>
          <w:i/>
          <w:iCs/>
        </w:rPr>
        <w:t>Horoscopes and History</w:t>
      </w:r>
      <w:r w:rsidRPr="006C3615">
        <w:t>. London: The Warburg Institute, University of London, 1986</w:t>
      </w:r>
    </w:p>
    <w:p w14:paraId="005E1483" w14:textId="77777777" w:rsidR="0014728A" w:rsidRPr="006C3615" w:rsidRDefault="0014728A" w:rsidP="00FD030E">
      <w:pPr>
        <w:spacing w:line="240" w:lineRule="atLeast"/>
        <w:ind w:left="709" w:hanging="709"/>
      </w:pPr>
      <w:r w:rsidRPr="006C3615">
        <w:t xml:space="preserve">North, Joth David. </w:t>
      </w:r>
      <w:r w:rsidRPr="006C3615">
        <w:rPr>
          <w:i/>
          <w:iCs/>
        </w:rPr>
        <w:t>Chaucer’s Universe</w:t>
      </w:r>
      <w:r w:rsidRPr="006C3615">
        <w:t>, Oxford: Claredon Press, 1988</w:t>
      </w:r>
    </w:p>
    <w:bookmarkEnd w:id="159"/>
    <w:p w14:paraId="34458356" w14:textId="77777777" w:rsidR="0014728A" w:rsidRPr="006C3615" w:rsidRDefault="0014728A" w:rsidP="00FD030E">
      <w:pPr>
        <w:spacing w:line="240" w:lineRule="atLeast"/>
        <w:ind w:left="709" w:hanging="709"/>
      </w:pPr>
      <w:r w:rsidRPr="006C3615">
        <w:t xml:space="preserve">Nothaft, Carl Philip E. ‘A Fourteenth-Century Scholastic Dispute on Astrological Interrogations.’ In </w:t>
      </w:r>
      <w:r w:rsidRPr="006C3615">
        <w:rPr>
          <w:i/>
          <w:iCs/>
        </w:rPr>
        <w:t>Vivarium</w:t>
      </w:r>
      <w:r w:rsidRPr="006C3615">
        <w:t>, 59, 2021: 241-258</w:t>
      </w:r>
    </w:p>
    <w:p w14:paraId="69CC585A" w14:textId="77777777" w:rsidR="0014728A" w:rsidRPr="006C3615" w:rsidRDefault="0014728A" w:rsidP="00FD030E">
      <w:pPr>
        <w:spacing w:line="240" w:lineRule="atLeast"/>
        <w:ind w:left="709" w:hanging="709"/>
      </w:pPr>
      <w:r w:rsidRPr="006C3615">
        <w:t xml:space="preserve">Nudsen, Christian. ‘Intentions and Impositions’. In </w:t>
      </w:r>
      <w:r w:rsidRPr="006C3615">
        <w:rPr>
          <w:i/>
          <w:iCs/>
        </w:rPr>
        <w:t xml:space="preserve">The Cambridge History of Later Medieval Philosophy. From the rediscovery of Aristotle to the disintegration of Scholasticism 1100-1600, </w:t>
      </w:r>
      <w:r w:rsidRPr="006C3615">
        <w:t>edited by</w:t>
      </w:r>
      <w:r w:rsidRPr="006C3615">
        <w:rPr>
          <w:i/>
          <w:iCs/>
        </w:rPr>
        <w:t xml:space="preserve"> </w:t>
      </w:r>
      <w:r w:rsidRPr="006C3615">
        <w:t>Norman Kretzmann, Anthony Kenny and Jan Pinborg, 479-495. Cambridge: Cambridge University Press, 1982</w:t>
      </w:r>
    </w:p>
    <w:p w14:paraId="5F666250" w14:textId="77777777" w:rsidR="0014728A" w:rsidRPr="006C3615" w:rsidRDefault="0014728A" w:rsidP="00FD030E">
      <w:pPr>
        <w:spacing w:line="240" w:lineRule="atLeast"/>
        <w:ind w:left="709" w:hanging="709"/>
      </w:pPr>
      <w:r w:rsidRPr="006C3615">
        <w:t>Page, Sophie.</w:t>
      </w:r>
      <w:r w:rsidRPr="006C3615">
        <w:rPr>
          <w:i/>
          <w:iCs/>
        </w:rPr>
        <w:t xml:space="preserve"> Astrology in Medieval Manuscripts. </w:t>
      </w:r>
      <w:r w:rsidRPr="006C3615">
        <w:t>London: British Library, 2002</w:t>
      </w:r>
    </w:p>
    <w:p w14:paraId="75D68D4C" w14:textId="77777777" w:rsidR="0014728A" w:rsidRPr="006C3615" w:rsidRDefault="0014728A" w:rsidP="00FD030E">
      <w:pPr>
        <w:spacing w:line="240" w:lineRule="atLeast"/>
        <w:ind w:left="709" w:hanging="709"/>
      </w:pPr>
      <w:r w:rsidRPr="006C3615">
        <w:t>Palazzo, Alessandro. ‘Albert the Great’s Doctrine of Fate.’ In</w:t>
      </w:r>
      <w:r w:rsidRPr="006C3615">
        <w:rPr>
          <w:i/>
          <w:iCs/>
        </w:rPr>
        <w:t xml:space="preserve"> Mantik, Schicksal und Freiheit im Mittelalter,</w:t>
      </w:r>
      <w:r w:rsidRPr="006C3615">
        <w:t xml:space="preserve"> edited by Loris Sturlese Cologne, 65-95. Weimar, Wien: Böhlau Verlag, 2011</w:t>
      </w:r>
    </w:p>
    <w:p w14:paraId="42F78E93" w14:textId="77777777" w:rsidR="0014728A" w:rsidRPr="006C3615" w:rsidRDefault="0014728A" w:rsidP="00FD030E">
      <w:pPr>
        <w:spacing w:line="240" w:lineRule="atLeast"/>
        <w:ind w:left="709" w:hanging="709"/>
      </w:pPr>
      <w:r w:rsidRPr="006C3615">
        <w:rPr>
          <w:lang w:val="it-IT"/>
        </w:rPr>
        <w:t xml:space="preserve">Palazzo, Alessandro. ‘Dibattiti filosofici e scientifici sulla geomanzia nel Medioevo latino’. </w:t>
      </w:r>
      <w:r w:rsidRPr="006C3615">
        <w:rPr>
          <w:i/>
          <w:iCs/>
        </w:rPr>
        <w:t>Marília</w:t>
      </w:r>
      <w:r w:rsidRPr="006C3615">
        <w:t>, vol. 42 (2019): 31-56</w:t>
      </w:r>
    </w:p>
    <w:p w14:paraId="2E2581E2" w14:textId="77777777" w:rsidR="0014728A" w:rsidRPr="006C3615" w:rsidRDefault="0014728A" w:rsidP="00FD030E">
      <w:pPr>
        <w:spacing w:line="240" w:lineRule="atLeast"/>
        <w:ind w:left="709" w:hanging="709"/>
      </w:pPr>
      <w:r w:rsidRPr="006C3615">
        <w:t xml:space="preserve">Palazzo, Alessandro. ‘Et ego quidem nunc fabricabo circulum. Images and Diagrams in the Geomantic Treatise </w:t>
      </w:r>
      <w:r w:rsidRPr="00C06931">
        <w:rPr>
          <w:i/>
          <w:iCs/>
        </w:rPr>
        <w:t>Estimaverunt Indi</w:t>
      </w:r>
      <w:r w:rsidRPr="006C3615">
        <w:t xml:space="preserve">.’ In </w:t>
      </w:r>
      <w:r w:rsidRPr="006C3615">
        <w:rPr>
          <w:i/>
          <w:iCs/>
        </w:rPr>
        <w:t>Per cognitionem uisualem. The Visualization of Cognitive and Natural Processes in the Middle Ages. XXV Annual Colloquium of the SIEPM</w:t>
      </w:r>
      <w:r w:rsidRPr="006C3615">
        <w:t xml:space="preserve"> [Rencontres de Philosophie Médiévale, 27], edited by José Higuera Rubio, 133-172. Turnhout: Brepols, 2023</w:t>
      </w:r>
    </w:p>
    <w:p w14:paraId="6FF484D4" w14:textId="77777777" w:rsidR="0014728A" w:rsidRPr="006C3615" w:rsidRDefault="0014728A" w:rsidP="00FD030E">
      <w:pPr>
        <w:spacing w:line="240" w:lineRule="atLeast"/>
        <w:ind w:left="709" w:hanging="709"/>
      </w:pPr>
      <w:r w:rsidRPr="006C3615">
        <w:t xml:space="preserve">Palazzo, Alessandro. ‘Geomancy as a Paradigm of Operative Rationality in the Middle Ages’. </w:t>
      </w:r>
      <w:r w:rsidRPr="006C3615">
        <w:rPr>
          <w:i/>
          <w:iCs/>
        </w:rPr>
        <w:t>Archiv für Mittelalterliche Philosophie und Kultur</w:t>
      </w:r>
      <w:r w:rsidRPr="006C3615">
        <w:t xml:space="preserve">, No. 21 (2015): 55-74 </w:t>
      </w:r>
    </w:p>
    <w:p w14:paraId="1298AF08" w14:textId="77777777" w:rsidR="0014728A" w:rsidRPr="006C3615" w:rsidRDefault="0014728A" w:rsidP="00FD030E">
      <w:pPr>
        <w:spacing w:line="240" w:lineRule="atLeast"/>
        <w:ind w:left="709" w:hanging="709"/>
      </w:pPr>
      <w:r w:rsidRPr="006C3615">
        <w:t>Palazzo, Alessandro. ‘L’</w:t>
      </w:r>
      <w:r w:rsidRPr="006C3615">
        <w:rPr>
          <w:i/>
          <w:iCs/>
        </w:rPr>
        <w:t>Estimaverunt</w:t>
      </w:r>
      <w:r w:rsidRPr="006C3615">
        <w:t xml:space="preserve"> </w:t>
      </w:r>
      <w:r w:rsidRPr="006C3615">
        <w:rPr>
          <w:i/>
          <w:iCs/>
        </w:rPr>
        <w:t>Indi</w:t>
      </w:r>
      <w:r w:rsidRPr="006C3615">
        <w:t xml:space="preserve"> e la condanna del 1277’. In </w:t>
      </w:r>
      <w:r w:rsidRPr="006C3615">
        <w:rPr>
          <w:i/>
          <w:iCs/>
        </w:rPr>
        <w:t>Geomancy and other Forms of Divination,</w:t>
      </w:r>
      <w:r w:rsidRPr="006C3615">
        <w:t xml:space="preserve"> edited by Alessandro Palazzo and Irene Zavattero, 167-221. Florence: SISMEL – Edizioni del Galluzzo, 2017</w:t>
      </w:r>
    </w:p>
    <w:p w14:paraId="067F7CAF" w14:textId="77777777" w:rsidR="0014728A" w:rsidRPr="006C3615" w:rsidRDefault="0014728A" w:rsidP="00FD030E">
      <w:pPr>
        <w:spacing w:line="240" w:lineRule="atLeast"/>
        <w:ind w:left="709" w:hanging="709"/>
      </w:pPr>
      <w:r w:rsidRPr="006C3615">
        <w:t xml:space="preserve">Palazzo, Alessandro. ‘New Perspectives on Geomancy: Introductory Remarks.’ In </w:t>
      </w:r>
      <w:r w:rsidRPr="006C3615">
        <w:rPr>
          <w:i/>
          <w:iCs/>
        </w:rPr>
        <w:t xml:space="preserve">Geomancy and Other Forms of Divination </w:t>
      </w:r>
      <w:r w:rsidRPr="006C3615">
        <w:t>[Micrologus Library, 87],</w:t>
      </w:r>
      <w:r w:rsidRPr="006C3615">
        <w:rPr>
          <w:i/>
          <w:iCs/>
        </w:rPr>
        <w:t xml:space="preserve"> </w:t>
      </w:r>
      <w:r w:rsidRPr="006C3615">
        <w:t>edited by Alessandro Palazzo and Irene Zavattero, IX-XXX. Florence: Sismel-Edizioni del Galluzzo, 2017</w:t>
      </w:r>
    </w:p>
    <w:p w14:paraId="63DEF095" w14:textId="77777777" w:rsidR="0014728A" w:rsidRPr="006C3615" w:rsidRDefault="0014728A" w:rsidP="00FD030E">
      <w:pPr>
        <w:spacing w:line="240" w:lineRule="atLeast"/>
        <w:ind w:left="709" w:hanging="709"/>
      </w:pPr>
      <w:r w:rsidRPr="006C3615">
        <w:t xml:space="preserve">Palazzo, Alessandro. ‘The Scientific Significance of Fate and Celestial Influences in some Mature Works by Albert the Great: </w:t>
      </w:r>
      <w:r w:rsidRPr="006C3615">
        <w:rPr>
          <w:i/>
          <w:iCs/>
        </w:rPr>
        <w:t>De fato, De somno et vigilia, De intellectu et intelligibili, Mineralia</w:t>
      </w:r>
      <w:r w:rsidRPr="006C3615">
        <w:t xml:space="preserve">’, in </w:t>
      </w:r>
      <w:r w:rsidRPr="006C3615">
        <w:rPr>
          <w:i/>
          <w:iCs/>
        </w:rPr>
        <w:t>Per perscrutationem philosophicam, Neue Perspektiven der mittelalterilichen Forschung (Corpus Philosophorum Teutonicorum Medi Aevi</w:t>
      </w:r>
      <w:r w:rsidRPr="006C3615">
        <w:t>), edited by Alessandra Beccarisi, Ruedi Imbach and Pasquale Porro, 55-78. Hamburg: Felix Meiner Verlag, 2008</w:t>
      </w:r>
    </w:p>
    <w:p w14:paraId="7AC06801" w14:textId="77777777" w:rsidR="0014728A" w:rsidRPr="006C3615" w:rsidRDefault="0014728A" w:rsidP="00FD030E">
      <w:pPr>
        <w:spacing w:line="240" w:lineRule="atLeast"/>
        <w:ind w:left="709" w:hanging="709"/>
      </w:pPr>
      <w:r w:rsidRPr="006C3615">
        <w:t>Paravicini Bagliani, Agostino.</w:t>
      </w:r>
      <w:r w:rsidRPr="006C3615">
        <w:rPr>
          <w:i/>
          <w:iCs/>
        </w:rPr>
        <w:t xml:space="preserve"> Le Speculum Astronomiae, une énigme?: enquête sur les manuscrits. </w:t>
      </w:r>
      <w:r w:rsidRPr="006C3615">
        <w:t xml:space="preserve">Florence: SISMEL-Edizioni del Galluzzo, 2001 </w:t>
      </w:r>
    </w:p>
    <w:p w14:paraId="4262F370" w14:textId="77777777" w:rsidR="0014728A" w:rsidRPr="006C3615" w:rsidRDefault="0014728A" w:rsidP="00FD030E">
      <w:pPr>
        <w:spacing w:line="240" w:lineRule="atLeast"/>
        <w:ind w:left="709" w:hanging="709"/>
      </w:pPr>
      <w:r w:rsidRPr="006C3615">
        <w:t xml:space="preserve"> Pattie, T. S. </w:t>
      </w:r>
      <w:r w:rsidRPr="006C3615">
        <w:rPr>
          <w:i/>
          <w:iCs/>
        </w:rPr>
        <w:t>Astrology as Illustrated in the Collections of the British Library and the British Museum</w:t>
      </w:r>
      <w:r w:rsidRPr="006C3615">
        <w:t xml:space="preserve">. London: British Library, 1980 </w:t>
      </w:r>
    </w:p>
    <w:p w14:paraId="6921D9F0" w14:textId="77777777" w:rsidR="0014728A" w:rsidRPr="006C3615" w:rsidRDefault="0014728A" w:rsidP="00FD030E">
      <w:pPr>
        <w:spacing w:line="240" w:lineRule="atLeast"/>
        <w:ind w:left="709" w:hanging="709"/>
        <w:rPr>
          <w:lang w:val="it-IT"/>
        </w:rPr>
      </w:pPr>
      <w:r w:rsidRPr="006C3615">
        <w:rPr>
          <w:lang w:val="it-IT"/>
        </w:rPr>
        <w:t xml:space="preserve">Pecoraro, Paolo. </w:t>
      </w:r>
      <w:r w:rsidRPr="006C3615">
        <w:rPr>
          <w:i/>
          <w:iCs/>
          <w:lang w:val="it-IT"/>
        </w:rPr>
        <w:t>Le stelle di Dante. Saggio d’interpretazione di riferimenti astronomici e cosmografici della Divina Commedia</w:t>
      </w:r>
      <w:r w:rsidRPr="006C3615">
        <w:rPr>
          <w:lang w:val="it-IT"/>
        </w:rPr>
        <w:t>, Rome: Bulzoni Editore, 1987</w:t>
      </w:r>
    </w:p>
    <w:p w14:paraId="52B2CC9D" w14:textId="77777777" w:rsidR="0014728A" w:rsidRPr="006C3615" w:rsidRDefault="0014728A" w:rsidP="00FD030E">
      <w:pPr>
        <w:spacing w:line="240" w:lineRule="atLeast"/>
        <w:ind w:left="709" w:hanging="709"/>
        <w:rPr>
          <w:lang w:val="it-IT"/>
        </w:rPr>
      </w:pPr>
      <w:r w:rsidRPr="006C3615">
        <w:rPr>
          <w:lang w:val="it-IT"/>
        </w:rPr>
        <w:t xml:space="preserve">Pedrazzi, Maino. ‘Le figure della geomanzia: un gruppo finito abeliano’. </w:t>
      </w:r>
      <w:r w:rsidRPr="006C3615">
        <w:rPr>
          <w:i/>
          <w:iCs/>
          <w:lang w:val="it-IT"/>
        </w:rPr>
        <w:t>Physis. Rivista internazionale di storia della scienza</w:t>
      </w:r>
      <w:r w:rsidRPr="006C3615">
        <w:rPr>
          <w:lang w:val="it-IT"/>
        </w:rPr>
        <w:t>, 14, fasc. 2 (1972): 146-161</w:t>
      </w:r>
    </w:p>
    <w:p w14:paraId="3060899D" w14:textId="77777777" w:rsidR="0014728A" w:rsidRPr="006C3615" w:rsidRDefault="0014728A" w:rsidP="00FD030E">
      <w:pPr>
        <w:spacing w:line="240" w:lineRule="atLeast"/>
        <w:ind w:left="709" w:hanging="709"/>
        <w:rPr>
          <w:lang w:val="it-IT"/>
        </w:rPr>
      </w:pPr>
      <w:r w:rsidRPr="006C3615">
        <w:rPr>
          <w:lang w:val="it-IT"/>
        </w:rPr>
        <w:t xml:space="preserve">Pergola, Ruggiero. </w:t>
      </w:r>
      <w:r w:rsidRPr="006C3615">
        <w:rPr>
          <w:i/>
          <w:iCs/>
          <w:lang w:val="it-IT"/>
        </w:rPr>
        <w:t>I luoghi del tradurre nel Medioevo. La trasmissione della scienza greca e araba nel mondo latino.</w:t>
      </w:r>
      <w:r w:rsidRPr="006C3615">
        <w:rPr>
          <w:lang w:val="it-IT"/>
        </w:rPr>
        <w:t xml:space="preserve"> Lecce: Pensa MultiMedia, 2006</w:t>
      </w:r>
    </w:p>
    <w:p w14:paraId="028C1911" w14:textId="77777777" w:rsidR="0014728A" w:rsidRPr="006C3615" w:rsidRDefault="0014728A" w:rsidP="00FD030E">
      <w:pPr>
        <w:spacing w:line="240" w:lineRule="atLeast"/>
        <w:ind w:left="709" w:hanging="709"/>
      </w:pPr>
      <w:r w:rsidRPr="006C3615">
        <w:t xml:space="preserve">Perler, Dominik (ed.). </w:t>
      </w:r>
      <w:r w:rsidRPr="006C3615">
        <w:rPr>
          <w:i/>
          <w:iCs/>
        </w:rPr>
        <w:t xml:space="preserve">Ancient and Medieval Theories of Intentionality. </w:t>
      </w:r>
      <w:r w:rsidRPr="006C3615">
        <w:t>Leiden: Brill, 2010</w:t>
      </w:r>
    </w:p>
    <w:p w14:paraId="53AA4A29" w14:textId="77777777" w:rsidR="0014728A" w:rsidRPr="006C3615" w:rsidRDefault="0014728A" w:rsidP="00FD030E">
      <w:pPr>
        <w:spacing w:line="240" w:lineRule="atLeast"/>
        <w:ind w:left="851" w:hanging="851"/>
        <w:rPr>
          <w:lang w:val="fr-FR"/>
        </w:rPr>
      </w:pPr>
      <w:r w:rsidRPr="006C3615">
        <w:rPr>
          <w:lang w:val="fr-FR"/>
        </w:rPr>
        <w:t xml:space="preserve">Piché, David (ed.). </w:t>
      </w:r>
      <w:r w:rsidRPr="006C3615">
        <w:rPr>
          <w:i/>
          <w:iCs/>
          <w:lang w:val="fr-FR"/>
        </w:rPr>
        <w:t>La condamnation parisienne de 1277</w:t>
      </w:r>
      <w:r w:rsidRPr="006C3615">
        <w:rPr>
          <w:lang w:val="fr-FR"/>
        </w:rPr>
        <w:t>. Paris: Vrin, 1999</w:t>
      </w:r>
    </w:p>
    <w:p w14:paraId="46EBEE73" w14:textId="77777777" w:rsidR="0014728A" w:rsidRPr="006C3615" w:rsidRDefault="0014728A" w:rsidP="00FD030E">
      <w:pPr>
        <w:spacing w:line="240" w:lineRule="atLeast"/>
        <w:ind w:left="709" w:hanging="709"/>
      </w:pPr>
      <w:r w:rsidRPr="006C3615">
        <w:t xml:space="preserve"> Pompeo Faracovi, Ornella. ‘Le mansioni lunari’, in </w:t>
      </w:r>
      <w:r w:rsidRPr="006C3615">
        <w:rPr>
          <w:i/>
          <w:iCs/>
        </w:rPr>
        <w:t>Bruniana&amp;Campanelliana</w:t>
      </w:r>
      <w:r w:rsidRPr="006C3615">
        <w:t>, vol. 13, no. 2, 2007: 703-709</w:t>
      </w:r>
    </w:p>
    <w:p w14:paraId="64277D4E" w14:textId="77777777" w:rsidR="0014728A" w:rsidRPr="006C3615" w:rsidRDefault="0014728A" w:rsidP="00FD030E">
      <w:pPr>
        <w:spacing w:line="240" w:lineRule="atLeast"/>
        <w:ind w:left="709" w:hanging="709"/>
      </w:pPr>
      <w:bookmarkStart w:id="168" w:name="_Hlk52271339"/>
      <w:r w:rsidRPr="006C3615">
        <w:rPr>
          <w:lang w:val="it-IT"/>
        </w:rPr>
        <w:t xml:space="preserve">Porro, Pasquale. ‘Divinazione e geomanzia in Tommaso d’Aquino: qualche osservazione sul </w:t>
      </w:r>
      <w:r w:rsidRPr="006C3615">
        <w:rPr>
          <w:i/>
          <w:iCs/>
          <w:lang w:val="it-IT"/>
        </w:rPr>
        <w:t>De sortibus</w:t>
      </w:r>
      <w:r w:rsidRPr="006C3615">
        <w:rPr>
          <w:lang w:val="it-IT"/>
        </w:rPr>
        <w:t xml:space="preserve">’. </w:t>
      </w:r>
      <w:r w:rsidRPr="006C3615">
        <w:t xml:space="preserve">In </w:t>
      </w:r>
      <w:r w:rsidRPr="006C3615">
        <w:rPr>
          <w:i/>
          <w:iCs/>
        </w:rPr>
        <w:t>Geomancy and other Forms of Divination,</w:t>
      </w:r>
      <w:r w:rsidRPr="006C3615">
        <w:t xml:space="preserve"> edited by Alessandro Palazzo and Irene Zavattero, 143-166. Florence: SISMEL – Edizioni del Galluzzo, 2017</w:t>
      </w:r>
    </w:p>
    <w:bookmarkEnd w:id="168"/>
    <w:p w14:paraId="59FEF6C5" w14:textId="57C53B94" w:rsidR="0014728A" w:rsidRPr="006C3615" w:rsidRDefault="0014728A" w:rsidP="00FD030E">
      <w:pPr>
        <w:spacing w:line="240" w:lineRule="atLeast"/>
        <w:ind w:left="709" w:hanging="709"/>
      </w:pPr>
      <w:r w:rsidRPr="006C3615">
        <w:t xml:space="preserve">Porro, Pasquale. ‘Trasformazioni medievali della libertà. Alla ricerca di una definizione del libero arbitrio’. In </w:t>
      </w:r>
      <w:r w:rsidRPr="006C3615">
        <w:rPr>
          <w:i/>
          <w:iCs/>
        </w:rPr>
        <w:t>Libero arbitrio. Storia di una controversia filosofica,</w:t>
      </w:r>
      <w:r w:rsidRPr="006C3615">
        <w:t xml:space="preserve"> edited by Mario De Caro, Massimo Mori and Emilio Spinelli, 171-190. Rome: Carocci Editore, 2014</w:t>
      </w:r>
    </w:p>
    <w:p w14:paraId="254DD0D0" w14:textId="77777777" w:rsidR="0014728A" w:rsidRPr="006C3615" w:rsidRDefault="0014728A" w:rsidP="00FD030E">
      <w:pPr>
        <w:spacing w:line="240" w:lineRule="atLeast"/>
        <w:ind w:left="851" w:hanging="851"/>
        <w:rPr>
          <w:lang w:val="it-IT"/>
        </w:rPr>
      </w:pPr>
      <w:r w:rsidRPr="006C3615">
        <w:rPr>
          <w:lang w:val="it-IT"/>
        </w:rPr>
        <w:t xml:space="preserve">Radovic, Filip. ‘Aristotle on Signs in Sleep: Natural Signification and Dream Interpretation.’ In </w:t>
      </w:r>
      <w:r w:rsidRPr="006C3615">
        <w:rPr>
          <w:i/>
          <w:iCs/>
          <w:lang w:val="it-IT"/>
        </w:rPr>
        <w:t>Forms of Representation in the Aristotelian Tradition</w:t>
      </w:r>
      <w:r w:rsidRPr="006C3615">
        <w:rPr>
          <w:lang w:val="it-IT"/>
        </w:rPr>
        <w:t>. Vol. II, edited by Christina Thomsen Thörnqvist and Juhana Toivanen, 61-87. Leiden: Brill, 2022</w:t>
      </w:r>
    </w:p>
    <w:p w14:paraId="35508EF5" w14:textId="77777777" w:rsidR="0014728A" w:rsidRPr="006C3615" w:rsidRDefault="0014728A" w:rsidP="00FD030E">
      <w:pPr>
        <w:spacing w:line="240" w:lineRule="atLeast"/>
        <w:ind w:left="709" w:hanging="709"/>
      </w:pPr>
      <w:r w:rsidRPr="006C3615">
        <w:t xml:space="preserve">Ramínez-Weaver, Eric M. </w:t>
      </w:r>
      <w:r w:rsidRPr="006C3615">
        <w:rPr>
          <w:i/>
          <w:iCs/>
        </w:rPr>
        <w:t>A Saving Science. Capturing the Heavens in Carolingian Manuscripts</w:t>
      </w:r>
      <w:r w:rsidRPr="006C3615">
        <w:t>. University Park, Pa.: Pennsylvania State University Press, 2017</w:t>
      </w:r>
    </w:p>
    <w:p w14:paraId="6E892D36" w14:textId="77777777" w:rsidR="0014728A" w:rsidRPr="006C3615" w:rsidRDefault="0014728A" w:rsidP="00FD030E">
      <w:pPr>
        <w:spacing w:line="240" w:lineRule="atLeast"/>
        <w:ind w:left="709" w:hanging="709"/>
      </w:pPr>
      <w:r w:rsidRPr="006C3615">
        <w:t xml:space="preserve">Rapisarda, Stefano (ed.). </w:t>
      </w:r>
      <w:r w:rsidRPr="006C3615">
        <w:rPr>
          <w:i/>
          <w:iCs/>
        </w:rPr>
        <w:t>Textes médiévaux de scapulomancie</w:t>
      </w:r>
      <w:r w:rsidRPr="006C3615">
        <w:t>. Paris: Classiques Garnier, 2017</w:t>
      </w:r>
    </w:p>
    <w:p w14:paraId="1F985326" w14:textId="77777777" w:rsidR="0014728A" w:rsidRPr="006C3615" w:rsidRDefault="0014728A" w:rsidP="00FD030E">
      <w:pPr>
        <w:spacing w:line="240" w:lineRule="atLeast"/>
        <w:ind w:left="709" w:hanging="709"/>
      </w:pPr>
      <w:r w:rsidRPr="006C3615">
        <w:t xml:space="preserve">Rashed, Roshdi (ed.). </w:t>
      </w:r>
      <w:r w:rsidRPr="006C3615">
        <w:rPr>
          <w:i/>
          <w:iCs/>
        </w:rPr>
        <w:t>Thābit ibn Qurra: Science and Philosophy in Ninth-Century Baghdad</w:t>
      </w:r>
      <w:r w:rsidRPr="006C3615">
        <w:t xml:space="preserve">. Berlin: Walter de Gruyter, 2009 </w:t>
      </w:r>
    </w:p>
    <w:p w14:paraId="31BAAD40" w14:textId="77777777" w:rsidR="0014728A" w:rsidRPr="006C3615" w:rsidRDefault="0014728A" w:rsidP="00FD030E">
      <w:pPr>
        <w:spacing w:line="240" w:lineRule="atLeast"/>
        <w:ind w:left="709" w:hanging="709"/>
      </w:pPr>
      <w:r w:rsidRPr="006C3615">
        <w:t xml:space="preserve">Regourd, Anna. ‘Pratiques de géomancie au Yémen’, in </w:t>
      </w:r>
      <w:r w:rsidRPr="006C3615">
        <w:rPr>
          <w:i/>
          <w:iCs/>
        </w:rPr>
        <w:t xml:space="preserve">Religion et pratiques de puissance, </w:t>
      </w:r>
      <w:r w:rsidRPr="006C3615">
        <w:t>edited by A. de Surgy, 105-128. Paris: L’Harmattan, coll. ‘Anthropologie, connaissance des hommes’, 1997</w:t>
      </w:r>
    </w:p>
    <w:p w14:paraId="61953EEC" w14:textId="4A9E0504" w:rsidR="0014728A" w:rsidRPr="006C3615" w:rsidRDefault="0014728A" w:rsidP="00FD030E">
      <w:pPr>
        <w:spacing w:line="240" w:lineRule="atLeast"/>
        <w:ind w:left="709" w:hanging="709"/>
      </w:pPr>
      <w:r w:rsidRPr="006C3615">
        <w:t xml:space="preserve">Regourd, Anna. ‘Traditions and Practices of Prognostication in the Middle Ages: Mantik Arts’. In </w:t>
      </w:r>
      <w:r w:rsidRPr="006C3615">
        <w:rPr>
          <w:i/>
          <w:iCs/>
        </w:rPr>
        <w:t>Prognostication in the Medieval World, a Handbook, Vol. 1</w:t>
      </w:r>
      <w:r w:rsidRPr="006C3615">
        <w:t xml:space="preserve">, edited by Matthias Heiduk, Klaus Herbers and Hans-Christian Lehner, 468-484. Berlin: De Gruyter, 2021 </w:t>
      </w:r>
    </w:p>
    <w:p w14:paraId="359BD94C" w14:textId="77777777" w:rsidR="0014728A" w:rsidRPr="006C3615" w:rsidRDefault="0014728A" w:rsidP="00FD030E">
      <w:pPr>
        <w:spacing w:line="240" w:lineRule="atLeast"/>
        <w:ind w:left="709" w:hanging="709"/>
      </w:pPr>
      <w:r w:rsidRPr="006C3615">
        <w:t xml:space="preserve">Rinaldi, Michele. </w:t>
      </w:r>
      <w:r w:rsidRPr="006C3615">
        <w:rPr>
          <w:i/>
          <w:iCs/>
        </w:rPr>
        <w:t>El libro delle cento parole di Ptholommeo: volgarizzamento inedito del Centiloquium pseudo-tolemaico</w:t>
      </w:r>
      <w:r w:rsidRPr="006C3615">
        <w:t>. Rome: Salerno editrice, 2021</w:t>
      </w:r>
    </w:p>
    <w:p w14:paraId="36EC1239" w14:textId="77777777" w:rsidR="0014728A" w:rsidRPr="006C3615" w:rsidRDefault="0014728A" w:rsidP="00FD030E">
      <w:pPr>
        <w:spacing w:line="240" w:lineRule="atLeast"/>
        <w:ind w:left="709" w:hanging="709"/>
      </w:pPr>
      <w:r w:rsidRPr="006C3615">
        <w:t>Rodríguez-Arribas,</w:t>
      </w:r>
      <w:r w:rsidRPr="006C3615">
        <w:rPr>
          <w:lang w:val="es-ES"/>
        </w:rPr>
        <w:t xml:space="preserve"> Josefina,</w:t>
      </w:r>
      <w:r w:rsidRPr="006C3615">
        <w:t xml:space="preserve"> Charles Burnett, Silke Ackermann and Ryan Szpiech (eds.). </w:t>
      </w:r>
      <w:r w:rsidRPr="006C3615">
        <w:rPr>
          <w:i/>
          <w:iCs/>
        </w:rPr>
        <w:t>Astrolabes in Medieval Culture.</w:t>
      </w:r>
      <w:r w:rsidRPr="006C3615">
        <w:t xml:space="preserve"> Leiden: Brill, 2019</w:t>
      </w:r>
    </w:p>
    <w:p w14:paraId="1983F7D7" w14:textId="77777777" w:rsidR="0014728A" w:rsidRPr="006C3615" w:rsidRDefault="0014728A" w:rsidP="00FD030E">
      <w:pPr>
        <w:spacing w:line="240" w:lineRule="atLeast"/>
        <w:ind w:left="709" w:hanging="709"/>
      </w:pPr>
      <w:r w:rsidRPr="006C3615">
        <w:rPr>
          <w:lang w:val="es-ES"/>
        </w:rPr>
        <w:t xml:space="preserve">Rodríguez-Arribas, Josefina. </w:t>
      </w:r>
      <w:r w:rsidRPr="006C3615">
        <w:t xml:space="preserve">‘Divination According to </w:t>
      </w:r>
      <w:r w:rsidRPr="006C3615">
        <w:rPr>
          <w:i/>
          <w:iCs/>
        </w:rPr>
        <w:t>Goralot</w:t>
      </w:r>
      <w:r w:rsidRPr="006C3615">
        <w:t xml:space="preserve">: Lots and geomancy in Hebrew Manuscripts’. In </w:t>
      </w:r>
      <w:r w:rsidRPr="006C3615">
        <w:rPr>
          <w:i/>
          <w:iCs/>
        </w:rPr>
        <w:t>Geomancy and Other Forms of Divination</w:t>
      </w:r>
      <w:r w:rsidRPr="006C3615">
        <w:t>, edited by Alessandro Palazzo and Irene Zavattero, 243-270. Florence: SISMEL- Edizioni del Galluzzo, 2017</w:t>
      </w:r>
    </w:p>
    <w:p w14:paraId="76C7B27E" w14:textId="77777777" w:rsidR="0014728A" w:rsidRPr="006C3615" w:rsidRDefault="0014728A" w:rsidP="00FD030E">
      <w:pPr>
        <w:spacing w:line="240" w:lineRule="atLeast"/>
        <w:ind w:left="709" w:hanging="709"/>
      </w:pPr>
      <w:r w:rsidRPr="006C3615">
        <w:t xml:space="preserve">Rubino, Elisa. ‘An Italian Translation of William of Moerbeke’s </w:t>
      </w:r>
      <w:r w:rsidRPr="006C3615">
        <w:rPr>
          <w:i/>
          <w:iCs/>
        </w:rPr>
        <w:t>Geomancy</w:t>
      </w:r>
      <w:r w:rsidRPr="006C3615">
        <w:t xml:space="preserve">’. </w:t>
      </w:r>
      <w:r w:rsidRPr="006C3615">
        <w:rPr>
          <w:i/>
          <w:iCs/>
          <w:lang w:val="it-IT"/>
        </w:rPr>
        <w:t xml:space="preserve">Medioevo. Rivista di storia della filosofia medievale, </w:t>
      </w:r>
      <w:r w:rsidRPr="006C3615">
        <w:rPr>
          <w:lang w:val="it-IT"/>
        </w:rPr>
        <w:t xml:space="preserve">vol. XLII, edited by Alessandra Beccarisi and Fiorella Retucci, </w:t>
      </w:r>
      <w:r w:rsidRPr="006C3615">
        <w:t>81-98</w:t>
      </w:r>
      <w:r w:rsidRPr="006C3615">
        <w:rPr>
          <w:lang w:val="it-IT"/>
        </w:rPr>
        <w:t xml:space="preserve">. </w:t>
      </w:r>
      <w:r w:rsidRPr="006C3615">
        <w:t>Padua: Il Poligrafo, 2017</w:t>
      </w:r>
    </w:p>
    <w:p w14:paraId="66177F3C" w14:textId="77777777" w:rsidR="0014728A" w:rsidRPr="006C3615" w:rsidRDefault="0014728A" w:rsidP="00FD030E">
      <w:pPr>
        <w:spacing w:line="240" w:lineRule="atLeast"/>
        <w:ind w:left="709" w:hanging="709"/>
        <w:rPr>
          <w:lang w:val="es-ES"/>
        </w:rPr>
      </w:pPr>
      <w:r w:rsidRPr="006C3615">
        <w:t xml:space="preserve">Rubino, Elisa. ‘An Italian Translation of William of Moerbeke’s Geomancy.’ In </w:t>
      </w:r>
      <w:r w:rsidRPr="006C3615">
        <w:rPr>
          <w:i/>
          <w:iCs/>
        </w:rPr>
        <w:t>Medioevo. Rivista di storia della filosofia medievale</w:t>
      </w:r>
      <w:r w:rsidRPr="006C3615">
        <w:t>, 42 (2019): 81-98</w:t>
      </w:r>
    </w:p>
    <w:p w14:paraId="2E791D8E" w14:textId="77777777" w:rsidR="0014728A" w:rsidRPr="006C3615" w:rsidRDefault="0014728A" w:rsidP="00FD030E">
      <w:pPr>
        <w:spacing w:line="240" w:lineRule="atLeast"/>
        <w:ind w:left="709" w:hanging="709"/>
      </w:pPr>
      <w:r w:rsidRPr="006C3615">
        <w:t xml:space="preserve">Rubino, Elisa. ‘Irrtum in geomantischen Wissenschaften. Die </w:t>
      </w:r>
      <w:r w:rsidRPr="006C3615">
        <w:rPr>
          <w:i/>
          <w:iCs/>
        </w:rPr>
        <w:t>Geomantia</w:t>
      </w:r>
      <w:r w:rsidRPr="006C3615">
        <w:t xml:space="preserve"> des Wilhelm von Moerbeke.’ In </w:t>
      </w:r>
      <w:r w:rsidRPr="006C3615">
        <w:rPr>
          <w:i/>
          <w:iCs/>
        </w:rPr>
        <w:t>Miscellanea Mediaevalia</w:t>
      </w:r>
      <w:r w:rsidRPr="006C3615">
        <w:t xml:space="preserve">, 40 (2018): 83-93 </w:t>
      </w:r>
    </w:p>
    <w:p w14:paraId="776F949E" w14:textId="77777777" w:rsidR="0014728A" w:rsidRPr="006C3615" w:rsidRDefault="0014728A" w:rsidP="00FD030E">
      <w:pPr>
        <w:spacing w:line="240" w:lineRule="atLeast"/>
        <w:ind w:left="709" w:hanging="709"/>
        <w:rPr>
          <w:lang w:val="es-ES"/>
        </w:rPr>
      </w:pPr>
      <w:r w:rsidRPr="006C3615">
        <w:rPr>
          <w:lang w:val="it-IT"/>
        </w:rPr>
        <w:t xml:space="preserve">Rubino, Elisa. ‘Per una edizione della </w:t>
      </w:r>
      <w:r w:rsidRPr="006C3615">
        <w:rPr>
          <w:i/>
          <w:iCs/>
          <w:lang w:val="it-IT"/>
        </w:rPr>
        <w:t>Geomantia</w:t>
      </w:r>
      <w:r w:rsidRPr="006C3615">
        <w:rPr>
          <w:lang w:val="it-IT"/>
        </w:rPr>
        <w:t xml:space="preserve"> di Guglielmo di Moerbeke: il testo del proemio e della prima distinzione della prima parte’. </w:t>
      </w:r>
      <w:r w:rsidRPr="006C3615">
        <w:t xml:space="preserve">In </w:t>
      </w:r>
      <w:r w:rsidRPr="006C3615">
        <w:rPr>
          <w:i/>
          <w:iCs/>
        </w:rPr>
        <w:t>Geomancy and other Forms of Divination,</w:t>
      </w:r>
      <w:r w:rsidRPr="006C3615">
        <w:t xml:space="preserve"> edited by Alessandro Palazzo and Irene Zavattero, 93-134. </w:t>
      </w:r>
      <w:r w:rsidRPr="006C3615">
        <w:rPr>
          <w:lang w:val="es-ES"/>
        </w:rPr>
        <w:t>Florence: SISMEL – Edizioni del Galluzzo, 2017</w:t>
      </w:r>
    </w:p>
    <w:p w14:paraId="0EA56EE8" w14:textId="77777777" w:rsidR="0014728A" w:rsidRPr="006C3615" w:rsidRDefault="0014728A" w:rsidP="00FD030E">
      <w:pPr>
        <w:spacing w:line="240" w:lineRule="atLeast"/>
        <w:ind w:left="709" w:hanging="709"/>
      </w:pPr>
      <w:r w:rsidRPr="006C3615">
        <w:t xml:space="preserve">Rutkin, H. Darrel. ‘Astrology and Magic’, In </w:t>
      </w:r>
      <w:r w:rsidRPr="006C3615">
        <w:rPr>
          <w:i/>
          <w:iCs/>
        </w:rPr>
        <w:t>A Companion to Albert the Great. Theology, Philosophy and Science</w:t>
      </w:r>
      <w:r w:rsidRPr="006C3615">
        <w:t>, edited by Irven M. Resnick, 451-505. Leiden: Brill, 2013</w:t>
      </w:r>
    </w:p>
    <w:p w14:paraId="7B9C7758" w14:textId="77777777" w:rsidR="0014728A" w:rsidRPr="006C3615" w:rsidRDefault="0014728A" w:rsidP="00FD030E">
      <w:pPr>
        <w:spacing w:line="240" w:lineRule="atLeast"/>
        <w:ind w:left="709" w:hanging="709"/>
      </w:pPr>
      <w:r w:rsidRPr="006C3615">
        <w:t xml:space="preserve">Rutkin, H. Darrel. ‘Is Astrology a Type of Divination? Thomas Aquinas, the Index of Prohibited Books, and the Construction of a Legitimate Astrology in the Middle Ages and the Renaissance.’ In </w:t>
      </w:r>
      <w:r w:rsidRPr="006C3615">
        <w:rPr>
          <w:i/>
          <w:iCs/>
        </w:rPr>
        <w:t>International Journal of Divination and Prognostication</w:t>
      </w:r>
      <w:r w:rsidRPr="006C3615">
        <w:t>, 1, 2019: 36-74</w:t>
      </w:r>
    </w:p>
    <w:p w14:paraId="3C9B6C98" w14:textId="77777777" w:rsidR="0014728A" w:rsidRPr="006C3615" w:rsidRDefault="0014728A" w:rsidP="00FD030E">
      <w:pPr>
        <w:spacing w:line="240" w:lineRule="atLeast"/>
        <w:ind w:left="709" w:hanging="709"/>
      </w:pPr>
      <w:r w:rsidRPr="006C3615">
        <w:t xml:space="preserve">Sabattini, Gino. </w:t>
      </w:r>
      <w:r w:rsidRPr="006C3615">
        <w:rPr>
          <w:i/>
          <w:iCs/>
        </w:rPr>
        <w:t>Bibliografia di opere antiche e moderne di chiromanzia e sulla chiromanzia con notizie biografiche sui principali autori</w:t>
      </w:r>
      <w:r w:rsidRPr="006C3615">
        <w:t>. Reggio Emilia: Nironi&amp;Prandi, 1946</w:t>
      </w:r>
    </w:p>
    <w:p w14:paraId="31A1E65A" w14:textId="77777777" w:rsidR="0014728A" w:rsidRPr="006C3615" w:rsidRDefault="0014728A" w:rsidP="00FD030E">
      <w:pPr>
        <w:spacing w:line="240" w:lineRule="atLeast"/>
        <w:ind w:left="709" w:hanging="709"/>
      </w:pPr>
      <w:r w:rsidRPr="006C3615">
        <w:t xml:space="preserve">Saif, Liana. ‘Magic and Divination Lost in Translation: A Cairene in a Maltese Inquisition’ in </w:t>
      </w:r>
      <w:r w:rsidRPr="006C3615">
        <w:rPr>
          <w:i/>
          <w:iCs/>
        </w:rPr>
        <w:t>Magic in Malta: Sellem Bin Al-Sheikh Mansur and the Roman Inquisition 1605</w:t>
      </w:r>
      <w:r w:rsidRPr="006C3615">
        <w:t>, edited by Dionisius A. Agius, Alexander Mallett and Catherine Rider, 419-451. Leiden: Brill, 2022</w:t>
      </w:r>
    </w:p>
    <w:p w14:paraId="2B0ECA16" w14:textId="77777777" w:rsidR="0014728A" w:rsidRPr="006C3615" w:rsidRDefault="0014728A" w:rsidP="00FD030E">
      <w:pPr>
        <w:spacing w:line="240" w:lineRule="atLeast"/>
        <w:ind w:left="709" w:hanging="709"/>
      </w:pPr>
      <w:r w:rsidRPr="006C3615">
        <w:t xml:space="preserve">Saif, Liana. </w:t>
      </w:r>
      <w:r w:rsidRPr="006C3615">
        <w:rPr>
          <w:i/>
          <w:iCs/>
        </w:rPr>
        <w:t>The Arabic Influences on Early Modern Occult Philosophy</w:t>
      </w:r>
      <w:r w:rsidRPr="006C3615">
        <w:t xml:space="preserve"> [Palgrave Historical Studies in Witchcraft and Magic]. New York: Palgrave Macmillan, 2015</w:t>
      </w:r>
    </w:p>
    <w:p w14:paraId="716B7B17" w14:textId="77777777" w:rsidR="0014728A" w:rsidRPr="006C3615" w:rsidRDefault="0014728A" w:rsidP="00FD030E">
      <w:pPr>
        <w:spacing w:line="240" w:lineRule="atLeast"/>
        <w:ind w:left="709" w:hanging="709"/>
        <w:rPr>
          <w:rFonts w:eastAsia="Times New Roman"/>
          <w:color w:val="222222"/>
          <w:lang w:val="es-ES" w:eastAsia="it-IT"/>
        </w:rPr>
      </w:pPr>
      <w:r w:rsidRPr="006C3615">
        <w:rPr>
          <w:rFonts w:eastAsia="Times New Roman"/>
          <w:color w:val="222222"/>
          <w:lang w:val="es-ES" w:eastAsia="it-IT"/>
        </w:rPr>
        <w:t xml:space="preserve">Samsó, Julio. ‘El procés de la transmissió científica al nord-est de la península Ibèrica al segle XII: els textos llatins’. In </w:t>
      </w:r>
      <w:r w:rsidRPr="006C3615">
        <w:rPr>
          <w:rFonts w:eastAsia="Times New Roman"/>
          <w:i/>
          <w:iCs/>
          <w:color w:val="222222"/>
          <w:lang w:val="es-ES" w:eastAsia="it-IT"/>
        </w:rPr>
        <w:t>La ciència en la història dels països catalans</w:t>
      </w:r>
      <w:r w:rsidRPr="006C3615">
        <w:rPr>
          <w:rFonts w:eastAsia="Times New Roman"/>
          <w:color w:val="222222"/>
          <w:lang w:val="es-ES" w:eastAsia="it-IT"/>
        </w:rPr>
        <w:t>, edited by Joan Vernet and Ramon Parés, 269-296. Valencia: Institut d’Estudis Catalans, Universitat de València, 2004</w:t>
      </w:r>
    </w:p>
    <w:p w14:paraId="435E1E09" w14:textId="77777777" w:rsidR="0014728A" w:rsidRPr="006C3615" w:rsidRDefault="0014728A" w:rsidP="00FD030E">
      <w:pPr>
        <w:spacing w:line="240" w:lineRule="atLeast"/>
        <w:ind w:left="709" w:hanging="709"/>
      </w:pPr>
      <w:r w:rsidRPr="006C3615">
        <w:t xml:space="preserve">Samsó, Julio. </w:t>
      </w:r>
      <w:r w:rsidRPr="006C3615">
        <w:rPr>
          <w:i/>
          <w:iCs/>
        </w:rPr>
        <w:t>On both sides of the Strait of Gibraltar: studies in the history of medieval astronomy in the Iberian Peninsula and the Maghrib.</w:t>
      </w:r>
      <w:r w:rsidRPr="006C3615">
        <w:t xml:space="preserve"> Leiden: Brill, 2020</w:t>
      </w:r>
    </w:p>
    <w:p w14:paraId="0CB322B4" w14:textId="77777777" w:rsidR="0014728A" w:rsidRPr="006C3615" w:rsidRDefault="0014728A" w:rsidP="00FD030E">
      <w:pPr>
        <w:spacing w:line="240" w:lineRule="atLeast"/>
        <w:ind w:left="709" w:hanging="709"/>
        <w:rPr>
          <w:rFonts w:eastAsia="Times New Roman"/>
          <w:color w:val="222222"/>
          <w:lang w:val="es-ES" w:eastAsia="it-IT"/>
        </w:rPr>
      </w:pPr>
      <w:r w:rsidRPr="006C3615">
        <w:rPr>
          <w:rFonts w:eastAsia="Times New Roman"/>
          <w:color w:val="222222"/>
          <w:lang w:val="es-ES" w:eastAsia="it-IT"/>
        </w:rPr>
        <w:t xml:space="preserve">Savage-Smith, Emilie and Marion B. Smith. ‘Islamic Geomancy and a Thirteenth-Century Divinatory device.’ In  </w:t>
      </w:r>
      <w:r w:rsidRPr="006C3615">
        <w:rPr>
          <w:rFonts w:eastAsia="Times New Roman"/>
          <w:i/>
          <w:iCs/>
          <w:color w:val="222222"/>
          <w:lang w:val="es-ES" w:eastAsia="it-IT"/>
        </w:rPr>
        <w:t xml:space="preserve">Magic and Divination in Early Islam </w:t>
      </w:r>
      <w:r w:rsidRPr="006C3615">
        <w:rPr>
          <w:rFonts w:eastAsia="Times New Roman"/>
          <w:color w:val="222222"/>
          <w:lang w:val="es-ES" w:eastAsia="it-IT"/>
        </w:rPr>
        <w:t>[The Formation of the Classical Islamic World, vol. 42], edited by Emilie Savage-Smith, 211−276. Aldershot: Ashgate, 2004</w:t>
      </w:r>
    </w:p>
    <w:p w14:paraId="4F47084A" w14:textId="77777777" w:rsidR="0014728A" w:rsidRPr="006C3615" w:rsidRDefault="0014728A" w:rsidP="00FD030E">
      <w:pPr>
        <w:spacing w:line="240" w:lineRule="atLeast"/>
        <w:ind w:left="709" w:hanging="709"/>
        <w:rPr>
          <w:rFonts w:eastAsia="Times New Roman"/>
          <w:color w:val="222222"/>
          <w:lang w:val="es-ES" w:eastAsia="it-IT"/>
        </w:rPr>
      </w:pPr>
      <w:r w:rsidRPr="006C3615">
        <w:rPr>
          <w:rFonts w:eastAsia="Times New Roman"/>
          <w:color w:val="222222"/>
          <w:lang w:val="es-ES" w:eastAsia="it-IT"/>
        </w:rPr>
        <w:t xml:space="preserve">Savage-Smith, Emilie. </w:t>
      </w:r>
      <w:r w:rsidRPr="006C3615">
        <w:rPr>
          <w:rFonts w:eastAsia="Times New Roman"/>
          <w:i/>
          <w:iCs/>
          <w:color w:val="222222"/>
          <w:lang w:val="es-ES" w:eastAsia="it-IT"/>
        </w:rPr>
        <w:t>Islamicate Celestial Globes. Their History, Construction and Use</w:t>
      </w:r>
      <w:r w:rsidRPr="006C3615">
        <w:rPr>
          <w:rFonts w:eastAsia="Times New Roman"/>
          <w:color w:val="222222"/>
          <w:lang w:val="es-ES" w:eastAsia="it-IT"/>
        </w:rPr>
        <w:t xml:space="preserve"> [Smithsonian Studies in History and Technology 46]. Washington D.C.: Smithsonian Institution Press, 1985</w:t>
      </w:r>
    </w:p>
    <w:p w14:paraId="7315E1DC" w14:textId="77777777" w:rsidR="0014728A" w:rsidRPr="006C3615" w:rsidRDefault="0014728A" w:rsidP="00FD030E">
      <w:pPr>
        <w:spacing w:line="240" w:lineRule="atLeast"/>
        <w:ind w:left="709" w:hanging="709"/>
      </w:pPr>
      <w:r w:rsidRPr="006C3615">
        <w:t xml:space="preserve">Saxl, Fritz and Hans Meier. </w:t>
      </w:r>
      <w:r w:rsidRPr="006C3615">
        <w:rPr>
          <w:i/>
          <w:iCs/>
        </w:rPr>
        <w:t xml:space="preserve">Verzeichnis astrologischer und mythologischer illustrierter Handschriften des lateinischen Mittelalters, </w:t>
      </w:r>
      <w:r w:rsidRPr="006C3615">
        <w:t xml:space="preserve">edited by Harry Bober, 4 vols. London: Warburg Institute, 1916-1966 </w:t>
      </w:r>
    </w:p>
    <w:p w14:paraId="2986B31A" w14:textId="77777777" w:rsidR="0014728A" w:rsidRPr="006C3615" w:rsidRDefault="0014728A" w:rsidP="00FD030E">
      <w:pPr>
        <w:spacing w:line="240" w:lineRule="atLeast"/>
        <w:ind w:left="709" w:hanging="709"/>
        <w:rPr>
          <w:lang w:val="it-IT"/>
        </w:rPr>
      </w:pPr>
      <w:r w:rsidRPr="006C3615">
        <w:rPr>
          <w:lang w:val="it-IT"/>
        </w:rPr>
        <w:t xml:space="preserve">Schlimpen, Hannah. </w:t>
      </w:r>
      <w:r w:rsidRPr="006C3615">
        <w:rPr>
          <w:i/>
          <w:iCs/>
          <w:lang w:val="it-IT"/>
        </w:rPr>
        <w:t>Artes manticae y geomancia en las literaturas francesa y española altomodernas. François Rabelais y Francisco de Quevedo.</w:t>
      </w:r>
      <w:r w:rsidRPr="006C3615">
        <w:rPr>
          <w:lang w:val="it-IT"/>
        </w:rPr>
        <w:t xml:space="preserve"> Berlin: Peter Lang, 2020</w:t>
      </w:r>
    </w:p>
    <w:p w14:paraId="2F91C1CA" w14:textId="77777777" w:rsidR="0014728A" w:rsidRPr="006C3615" w:rsidRDefault="0014728A" w:rsidP="00FD030E">
      <w:pPr>
        <w:spacing w:line="240" w:lineRule="atLeast"/>
        <w:ind w:left="709" w:hanging="709"/>
      </w:pPr>
      <w:r w:rsidRPr="006C3615">
        <w:t xml:space="preserve">Schmidl, Petra G. ‘Traditions and Practices of Prognostication in the Middle Ages: Astral sciences’, in </w:t>
      </w:r>
      <w:r w:rsidRPr="006C3615">
        <w:rPr>
          <w:i/>
          <w:iCs/>
        </w:rPr>
        <w:t>Prognostication in the Medieval World, a Handbook</w:t>
      </w:r>
      <w:r w:rsidRPr="006C3615">
        <w:t>, , Vol. I.  edited by Matthias Heiduk, Klaus Herbers and Hans-Christian Lehner, 532-550. Berlin: De Gruyter, 2021.</w:t>
      </w:r>
    </w:p>
    <w:p w14:paraId="05C437F4" w14:textId="77777777" w:rsidR="0014728A" w:rsidRPr="006C3615" w:rsidRDefault="0014728A" w:rsidP="00FD030E">
      <w:pPr>
        <w:spacing w:line="240" w:lineRule="atLeast"/>
        <w:ind w:left="709" w:hanging="709"/>
      </w:pPr>
      <w:r w:rsidRPr="006C3615">
        <w:t xml:space="preserve">Schmitt, Charles B. and Dilwyn Knox, </w:t>
      </w:r>
      <w:r w:rsidRPr="006C3615">
        <w:rPr>
          <w:i/>
          <w:iCs/>
        </w:rPr>
        <w:t>Pseudo-Aristoteles Latinus. A Guide to Latin Works Falsely Attributed to Aristotle Before 1500</w:t>
      </w:r>
      <w:r w:rsidRPr="006C3615">
        <w:t>. London: The Warburg Institute Press, 1985</w:t>
      </w:r>
    </w:p>
    <w:p w14:paraId="53A34FC0" w14:textId="77777777" w:rsidR="0014728A" w:rsidRPr="006C3615" w:rsidRDefault="0014728A" w:rsidP="00FD030E">
      <w:pPr>
        <w:spacing w:line="240" w:lineRule="atLeast"/>
        <w:ind w:left="709" w:hanging="709"/>
      </w:pPr>
      <w:r w:rsidRPr="006C3615">
        <w:t xml:space="preserve">Scott, Kathleen L. ‘The Decorated Letters of Two Cotton Manuscripts’. In </w:t>
      </w:r>
      <w:r w:rsidRPr="006C3615">
        <w:rPr>
          <w:i/>
          <w:iCs/>
        </w:rPr>
        <w:t xml:space="preserve">Tributes to Jonathan J. G. Alexander: The Making and Meaning of Illuminated Medieval &amp; Renaissance Manuscripts, Art &amp; Architecture, </w:t>
      </w:r>
      <w:r w:rsidRPr="006C3615">
        <w:t>edited by Susan L’Engle and Gerald B. Guest, 99-110. London: Harvey Miller, 2006</w:t>
      </w:r>
    </w:p>
    <w:p w14:paraId="3B3756DC" w14:textId="77777777" w:rsidR="0014728A" w:rsidRPr="006C3615" w:rsidRDefault="0014728A" w:rsidP="00FD030E">
      <w:pPr>
        <w:spacing w:line="240" w:lineRule="atLeast"/>
        <w:ind w:left="709" w:hanging="709"/>
      </w:pPr>
      <w:r w:rsidRPr="006C3615">
        <w:t xml:space="preserve">Scott, Kathleen L. </w:t>
      </w:r>
      <w:r w:rsidRPr="006C3615">
        <w:rPr>
          <w:i/>
          <w:iCs/>
        </w:rPr>
        <w:t>Dated &amp; Datable English Manuscript Borders c. 1395-1499</w:t>
      </w:r>
      <w:r w:rsidRPr="006C3615">
        <w:t xml:space="preserve">. London: Bibliographical Society, 2002 </w:t>
      </w:r>
    </w:p>
    <w:p w14:paraId="550C1528" w14:textId="77777777" w:rsidR="0014728A" w:rsidRPr="006C3615" w:rsidRDefault="0014728A" w:rsidP="00FD030E">
      <w:pPr>
        <w:spacing w:line="240" w:lineRule="atLeast"/>
        <w:ind w:left="709" w:hanging="709"/>
      </w:pPr>
      <w:r w:rsidRPr="006C3615">
        <w:t xml:space="preserve">Scott, Kathleen L. </w:t>
      </w:r>
      <w:r w:rsidRPr="006C3615">
        <w:rPr>
          <w:i/>
          <w:iCs/>
        </w:rPr>
        <w:t xml:space="preserve">Later Gothic Manuscripts 1390-1490, A Survey of Manuscripts Illuminated in the British Isles, </w:t>
      </w:r>
      <w:r w:rsidRPr="006C3615">
        <w:t xml:space="preserve">2 vols. London: Harvey Miller, 1996 </w:t>
      </w:r>
    </w:p>
    <w:p w14:paraId="4B947433" w14:textId="77777777" w:rsidR="0014728A" w:rsidRPr="006C3615" w:rsidRDefault="0014728A" w:rsidP="00FD030E">
      <w:pPr>
        <w:spacing w:line="240" w:lineRule="atLeast"/>
        <w:ind w:left="709" w:hanging="709"/>
      </w:pPr>
      <w:r w:rsidRPr="006C3615">
        <w:t>Sela, Shlomo</w:t>
      </w:r>
      <w:r w:rsidRPr="006C3615">
        <w:rPr>
          <w:i/>
          <w:iCs/>
        </w:rPr>
        <w:t>. Abraham Ibn Ezra Latinus on Elections and Interrogations. A Parallel Latin-English Critical Edition of Liber Electionum, Liber Interrogationum, and Tractatus Particulares.</w:t>
      </w:r>
      <w:r w:rsidRPr="006C3615">
        <w:t xml:space="preserve"> Leiden: Brill, 2020</w:t>
      </w:r>
    </w:p>
    <w:p w14:paraId="193AAC1C" w14:textId="77777777" w:rsidR="0014728A" w:rsidRPr="006C3615" w:rsidRDefault="0014728A" w:rsidP="00FD030E">
      <w:pPr>
        <w:spacing w:line="240" w:lineRule="atLeast"/>
        <w:ind w:left="709" w:hanging="709"/>
      </w:pPr>
      <w:r w:rsidRPr="006C3615">
        <w:t xml:space="preserve">Sela, Sholmo. </w:t>
      </w:r>
      <w:r w:rsidRPr="006C3615">
        <w:rPr>
          <w:i/>
          <w:iCs/>
        </w:rPr>
        <w:t>Abraham Ibn Ezra on Elections, Interrogations and Medical Astrology. A Parallel Hebrew-English Critical Edition of the Book of Elections (3 Versions), the Book of Interrogations (3 Versions) and the Book of the Luminaries,</w:t>
      </w:r>
      <w:r w:rsidRPr="006C3615">
        <w:t xml:space="preserve"> </w:t>
      </w:r>
      <w:r w:rsidRPr="006C3615">
        <w:rPr>
          <w:i/>
          <w:iCs/>
        </w:rPr>
        <w:t>Vol. 3</w:t>
      </w:r>
      <w:r w:rsidRPr="006C3615">
        <w:t>. Leiden: Brill, 2011</w:t>
      </w:r>
    </w:p>
    <w:p w14:paraId="7AE97101" w14:textId="77777777" w:rsidR="0014728A" w:rsidRPr="006C3615" w:rsidRDefault="0014728A" w:rsidP="00FD030E">
      <w:pPr>
        <w:spacing w:line="240" w:lineRule="atLeast"/>
        <w:ind w:left="709" w:hanging="709"/>
      </w:pPr>
      <w:r w:rsidRPr="006C3615">
        <w:t xml:space="preserve">Semerano, Martino. </w:t>
      </w:r>
      <w:r w:rsidRPr="006C3615">
        <w:rPr>
          <w:i/>
          <w:iCs/>
        </w:rPr>
        <w:t>Il ‘Libro dei sogni di Daniele’. Storia di un testo “proibito” nel Medioevo.</w:t>
      </w:r>
      <w:r w:rsidRPr="006C3615">
        <w:t xml:space="preserve"> Rome: Viella, 2002</w:t>
      </w:r>
    </w:p>
    <w:p w14:paraId="68A13476" w14:textId="77777777" w:rsidR="0014728A" w:rsidRPr="006C3615" w:rsidRDefault="0014728A" w:rsidP="00FD030E">
      <w:pPr>
        <w:spacing w:line="240" w:lineRule="atLeast"/>
        <w:ind w:left="709" w:hanging="709"/>
      </w:pPr>
      <w:r w:rsidRPr="006C3615">
        <w:t>Silva, José Filipe. ‘Stop Making Sense(es): Some Late Medieval and Very Late Medieval Views of the Faculty Psychology.’ edited by Seyed N. Mousavian and Jakob L. Fink, 45-67. Berlin: Springer, 2020</w:t>
      </w:r>
    </w:p>
    <w:p w14:paraId="0B6691E0" w14:textId="77777777" w:rsidR="0014728A" w:rsidRPr="006C3615" w:rsidRDefault="0014728A" w:rsidP="00FD030E">
      <w:pPr>
        <w:spacing w:line="240" w:lineRule="atLeast"/>
        <w:ind w:left="851" w:hanging="851"/>
      </w:pPr>
      <w:r w:rsidRPr="006C3615">
        <w:t xml:space="preserve">Singer, Charles Joseph. ‘A legend of Salerno: how Constantine the African brought the art of medicine to the Christians.’ In </w:t>
      </w:r>
      <w:r w:rsidRPr="006C3615">
        <w:rPr>
          <w:i/>
          <w:iCs/>
        </w:rPr>
        <w:t>Johns Hopkins Hospital bulletin</w:t>
      </w:r>
      <w:r w:rsidRPr="006C3615">
        <w:t>, 28, 1917: 64-69</w:t>
      </w:r>
    </w:p>
    <w:p w14:paraId="78F6ED47" w14:textId="77777777" w:rsidR="0014728A" w:rsidRPr="006C3615" w:rsidRDefault="0014728A" w:rsidP="00FD030E">
      <w:pPr>
        <w:spacing w:line="240" w:lineRule="atLeast"/>
        <w:ind w:left="709" w:hanging="709"/>
        <w:rPr>
          <w:lang w:val="nb-NO"/>
        </w:rPr>
      </w:pPr>
      <w:r w:rsidRPr="006C3615">
        <w:t xml:space="preserve">Skinner, Stephen. </w:t>
      </w:r>
      <w:r w:rsidRPr="006C3615">
        <w:rPr>
          <w:i/>
          <w:iCs/>
        </w:rPr>
        <w:t>Geomancy in Theory and Practice.</w:t>
      </w:r>
      <w:r w:rsidRPr="006C3615">
        <w:t xml:space="preserve"> </w:t>
      </w:r>
      <w:r w:rsidRPr="006C3615">
        <w:rPr>
          <w:lang w:val="nb-NO"/>
        </w:rPr>
        <w:t>Singapore: Golden Hoard Press, 2011</w:t>
      </w:r>
    </w:p>
    <w:p w14:paraId="33F9B1C2" w14:textId="77777777" w:rsidR="0014728A" w:rsidRPr="006C3615" w:rsidRDefault="0014728A" w:rsidP="00FD030E">
      <w:pPr>
        <w:spacing w:line="240" w:lineRule="atLeast"/>
        <w:ind w:left="851" w:hanging="851"/>
      </w:pPr>
      <w:r w:rsidRPr="006C3615">
        <w:t xml:space="preserve">Skinner, Stephen. </w:t>
      </w:r>
      <w:r w:rsidRPr="006C3615">
        <w:rPr>
          <w:i/>
          <w:iCs/>
        </w:rPr>
        <w:t>Geomancy in Theory and Practice</w:t>
      </w:r>
      <w:r w:rsidRPr="006C3615">
        <w:t>. Singapore: Golden Hoard Press, 2011</w:t>
      </w:r>
    </w:p>
    <w:p w14:paraId="0D2527C9" w14:textId="77777777" w:rsidR="0014728A" w:rsidRPr="006C3615" w:rsidRDefault="0014728A" w:rsidP="00FD030E">
      <w:pPr>
        <w:spacing w:line="240" w:lineRule="atLeast"/>
        <w:ind w:left="851" w:hanging="851"/>
      </w:pPr>
      <w:r w:rsidRPr="006C3615">
        <w:rPr>
          <w:lang w:val="nb-NO"/>
        </w:rPr>
        <w:t xml:space="preserve">Skinner, Stephen. </w:t>
      </w:r>
      <w:r w:rsidRPr="006C3615">
        <w:rPr>
          <w:i/>
          <w:iCs/>
        </w:rPr>
        <w:t>Terrestrial Astrology, Divination by Geomancy</w:t>
      </w:r>
      <w:r w:rsidRPr="006C3615">
        <w:t>. London: Routledge &amp; Kegan Paul, 1980</w:t>
      </w:r>
    </w:p>
    <w:p w14:paraId="6574085C" w14:textId="77777777" w:rsidR="0014728A" w:rsidRPr="006C3615" w:rsidRDefault="0014728A" w:rsidP="00FD030E">
      <w:pPr>
        <w:spacing w:line="240" w:lineRule="atLeast"/>
        <w:ind w:left="709" w:hanging="709"/>
      </w:pPr>
      <w:r w:rsidRPr="006C3615">
        <w:t xml:space="preserve">Spilling, Herrard. </w:t>
      </w:r>
      <w:r w:rsidRPr="006C3615">
        <w:rPr>
          <w:i/>
          <w:iCs/>
        </w:rPr>
        <w:t xml:space="preserve">The Manuscripts of the State and City Library Augsburg 2o Cod 101-250 (Manuscript catalogues of the State and City Library Augsburg Vol. 3. </w:t>
      </w:r>
      <w:r w:rsidRPr="006C3615">
        <w:t xml:space="preserve">Wiesbaden: Harrassowitz, 1984 </w:t>
      </w:r>
    </w:p>
    <w:p w14:paraId="2F71900F" w14:textId="77777777" w:rsidR="0014728A" w:rsidRPr="006C3615" w:rsidRDefault="0014728A" w:rsidP="00FD030E">
      <w:pPr>
        <w:spacing w:line="240" w:lineRule="atLeast"/>
        <w:ind w:left="709" w:hanging="709"/>
      </w:pPr>
      <w:r w:rsidRPr="006C3615">
        <w:t xml:space="preserve">Szulakowska, Urszula. </w:t>
      </w:r>
      <w:r w:rsidRPr="006C3615">
        <w:rPr>
          <w:i/>
          <w:iCs/>
        </w:rPr>
        <w:t>The Alchemy of Light: Geometry and Optics in Late Renaissance Alchemical Illustration.</w:t>
      </w:r>
      <w:r w:rsidRPr="006C3615">
        <w:t xml:space="preserve"> Leiden: Brill, 2000</w:t>
      </w:r>
    </w:p>
    <w:p w14:paraId="32B052BC" w14:textId="77777777" w:rsidR="0014728A" w:rsidRPr="006C3615" w:rsidRDefault="0014728A" w:rsidP="00FD030E">
      <w:pPr>
        <w:spacing w:line="240" w:lineRule="atLeast"/>
        <w:ind w:left="709" w:hanging="709"/>
      </w:pPr>
      <w:r w:rsidRPr="006C3615">
        <w:t xml:space="preserve">Talbot, Charles Hugh and Eugene Ashby Hammond. </w:t>
      </w:r>
      <w:r w:rsidRPr="006C3615">
        <w:rPr>
          <w:i/>
          <w:iCs/>
        </w:rPr>
        <w:t>The Medical Practitioners in Medieval England: A Biographical Register, Publications of the Wellcome Historical Medical Librar</w:t>
      </w:r>
      <w:r w:rsidRPr="006C3615">
        <w:t>y, New Series 8. London: 1965</w:t>
      </w:r>
    </w:p>
    <w:p w14:paraId="3162D47C" w14:textId="77777777" w:rsidR="0014728A" w:rsidRPr="006C3615" w:rsidRDefault="0014728A" w:rsidP="00FD030E">
      <w:pPr>
        <w:spacing w:line="240" w:lineRule="atLeast"/>
        <w:ind w:left="851" w:hanging="851"/>
      </w:pPr>
      <w:r w:rsidRPr="006C3615">
        <w:rPr>
          <w:lang w:val="fr-FR"/>
        </w:rPr>
        <w:t xml:space="preserve">Tannery, Paul. </w:t>
      </w:r>
      <w:r w:rsidRPr="006C3615">
        <w:rPr>
          <w:i/>
          <w:iCs/>
        </w:rPr>
        <w:t xml:space="preserve">Le Rabolion, Mémoires Scientifiques, </w:t>
      </w:r>
      <w:r w:rsidRPr="006C3615">
        <w:t>vol. IV, edited by J.L. Heiberg. Toulouse–Paris: Édouard Privat–Gauthier-Villars, 1920</w:t>
      </w:r>
    </w:p>
    <w:p w14:paraId="377E58E3" w14:textId="77777777" w:rsidR="0014728A" w:rsidRPr="006C3615" w:rsidRDefault="0014728A" w:rsidP="00FD030E">
      <w:pPr>
        <w:spacing w:line="240" w:lineRule="atLeast"/>
        <w:ind w:left="709" w:hanging="709"/>
      </w:pPr>
      <w:r w:rsidRPr="006C3615">
        <w:t xml:space="preserve">Thorndike, Lynn and Pearl Kibre. </w:t>
      </w:r>
      <w:r w:rsidRPr="006C3615">
        <w:rPr>
          <w:i/>
          <w:iCs/>
        </w:rPr>
        <w:t>A Catalogue of Medieval Scientific Writings in Latin, Revised and Augmented Edition</w:t>
      </w:r>
      <w:r w:rsidRPr="006C3615">
        <w:t>. Cambridge, Mass.: The Medieval Academy of America, 1963</w:t>
      </w:r>
    </w:p>
    <w:p w14:paraId="0524CD04" w14:textId="6B312780" w:rsidR="0014728A" w:rsidRPr="006C3615" w:rsidRDefault="0014728A" w:rsidP="00FD030E">
      <w:pPr>
        <w:spacing w:line="240" w:lineRule="atLeast"/>
        <w:ind w:left="851" w:hanging="851"/>
        <w:rPr>
          <w:lang w:val="fr-FR"/>
        </w:rPr>
      </w:pPr>
      <w:r w:rsidRPr="006C3615">
        <w:t xml:space="preserve">Thorndike, Lynn. </w:t>
      </w:r>
      <w:r w:rsidRPr="006C3615">
        <w:rPr>
          <w:i/>
          <w:iCs/>
        </w:rPr>
        <w:t>A history of magic and experimental science</w:t>
      </w:r>
      <w:r w:rsidRPr="006C3615">
        <w:t>. New York: Columbia University Press, 1958.</w:t>
      </w:r>
    </w:p>
    <w:p w14:paraId="6FD9D00B" w14:textId="77777777" w:rsidR="0014728A" w:rsidRPr="006C3615" w:rsidRDefault="0014728A" w:rsidP="00FD030E">
      <w:pPr>
        <w:spacing w:line="240" w:lineRule="atLeast"/>
        <w:ind w:left="709" w:hanging="709"/>
      </w:pPr>
      <w:r w:rsidRPr="006C3615">
        <w:t xml:space="preserve">Thorndike, Lynn. </w:t>
      </w:r>
      <w:r w:rsidRPr="006C3615">
        <w:rPr>
          <w:i/>
          <w:iCs/>
        </w:rPr>
        <w:t>Michael Scot</w:t>
      </w:r>
      <w:r w:rsidRPr="006C3615">
        <w:t xml:space="preserve">. London: Nelson, 1965 </w:t>
      </w:r>
    </w:p>
    <w:p w14:paraId="120F1BAD" w14:textId="77777777" w:rsidR="0014728A" w:rsidRPr="006C3615" w:rsidRDefault="0014728A" w:rsidP="00FD030E">
      <w:pPr>
        <w:spacing w:line="240" w:lineRule="atLeast"/>
        <w:ind w:left="709" w:hanging="709"/>
      </w:pPr>
      <w:r w:rsidRPr="006C3615">
        <w:t xml:space="preserve">Travaglia, Pinella. </w:t>
      </w:r>
      <w:r w:rsidRPr="006C3615">
        <w:rPr>
          <w:i/>
          <w:iCs/>
        </w:rPr>
        <w:t>Magic, causality and intentionality. The doctrine of rays in al-Kindī.</w:t>
      </w:r>
      <w:r w:rsidRPr="006C3615">
        <w:t xml:space="preserve"> Florence: SISMEL – Edizioni del Galluzzo, 1999</w:t>
      </w:r>
    </w:p>
    <w:p w14:paraId="68A5820E" w14:textId="77777777" w:rsidR="0014728A" w:rsidRPr="006C3615" w:rsidRDefault="0014728A" w:rsidP="00FD030E">
      <w:pPr>
        <w:spacing w:line="240" w:lineRule="atLeast"/>
        <w:ind w:left="709" w:hanging="709"/>
      </w:pPr>
      <w:bookmarkStart w:id="169" w:name="_Hlk52271397"/>
      <w:r w:rsidRPr="006C3615">
        <w:t xml:space="preserve">Van Binsbergen, Wim. ‘The Astrological Origin of Islamic Geomancy’. </w:t>
      </w:r>
      <w:r w:rsidRPr="006C3615">
        <w:rPr>
          <w:i/>
          <w:iCs/>
        </w:rPr>
        <w:t>The SSIPS/ SAGP 1996, 15th Annual Conference: ‘Global and Multicultural Dimensions of Ancient and Medieval Philosophy and Social Thought: Africana, Christian, Greek, Islamic, Jewish, Indigenous and Asian Traditions’</w:t>
      </w:r>
      <w:r w:rsidRPr="006C3615">
        <w:t>, Binghamton University, Department of Philosophy/Center for Medieval and Renaissance studies (CEMERS) (October 1996)</w:t>
      </w:r>
    </w:p>
    <w:bookmarkEnd w:id="169"/>
    <w:p w14:paraId="307B347E" w14:textId="77777777" w:rsidR="0014728A" w:rsidRPr="006C3615" w:rsidRDefault="0014728A" w:rsidP="00FD030E">
      <w:pPr>
        <w:spacing w:line="240" w:lineRule="atLeast"/>
        <w:ind w:left="709" w:hanging="709"/>
      </w:pPr>
      <w:r w:rsidRPr="006C3615">
        <w:t xml:space="preserve">van Bladel, Kevin. </w:t>
      </w:r>
      <w:r w:rsidRPr="006C3615">
        <w:rPr>
          <w:i/>
          <w:iCs/>
        </w:rPr>
        <w:t>The Arabic Hermes. From Pagan Sage to Prophet of Science</w:t>
      </w:r>
      <w:r w:rsidRPr="006C3615">
        <w:t>. Oxford: Oxford University Press, 2009</w:t>
      </w:r>
    </w:p>
    <w:p w14:paraId="0199A4B6" w14:textId="77777777" w:rsidR="0014728A" w:rsidRPr="006C3615" w:rsidRDefault="0014728A" w:rsidP="00FD030E">
      <w:pPr>
        <w:spacing w:line="240" w:lineRule="atLeast"/>
        <w:ind w:left="709" w:hanging="709"/>
      </w:pPr>
      <w:r w:rsidRPr="006C3615">
        <w:t xml:space="preserve">Varisco, Daniel Martin. ‘The Magical Significance of the Lunar Stations in the 13th Century Yemeni ‘kitāb al-tabṣira fī ‘ilm al-nujūm’ of al-malik alashraf.’ In </w:t>
      </w:r>
      <w:r w:rsidRPr="006C3615">
        <w:rPr>
          <w:i/>
          <w:iCs/>
        </w:rPr>
        <w:t>Quaderni di Studi Arabi</w:t>
      </w:r>
      <w:r w:rsidRPr="006C3615">
        <w:t xml:space="preserve"> 13, 1995: 19-40</w:t>
      </w:r>
    </w:p>
    <w:p w14:paraId="7E5092E9" w14:textId="77777777" w:rsidR="0014728A" w:rsidRPr="006C3615" w:rsidRDefault="0014728A" w:rsidP="00FD030E">
      <w:pPr>
        <w:spacing w:line="240" w:lineRule="atLeast"/>
        <w:ind w:left="709" w:hanging="709"/>
      </w:pPr>
      <w:r w:rsidRPr="006C3615">
        <w:t xml:space="preserve">Varisco, Daniel Martin. ‘The Origin of the anwā in the Arabic Tradition.’ In </w:t>
      </w:r>
      <w:r w:rsidRPr="006C3615">
        <w:rPr>
          <w:i/>
          <w:iCs/>
        </w:rPr>
        <w:t xml:space="preserve">Studia Islamica, </w:t>
      </w:r>
      <w:r w:rsidRPr="006C3615">
        <w:t>74, 1991: 5-28.</w:t>
      </w:r>
    </w:p>
    <w:p w14:paraId="7420E8B5" w14:textId="77777777" w:rsidR="0014728A" w:rsidRPr="006C3615" w:rsidRDefault="0014728A" w:rsidP="00FD030E">
      <w:pPr>
        <w:spacing w:line="240" w:lineRule="atLeast"/>
        <w:ind w:left="709" w:hanging="709"/>
      </w:pPr>
      <w:r w:rsidRPr="006C3615">
        <w:t xml:space="preserve">Vernet, Juan. </w:t>
      </w:r>
      <w:r w:rsidRPr="006C3615">
        <w:rPr>
          <w:i/>
          <w:iCs/>
        </w:rPr>
        <w:t>Ce que la culture doit aux Arabes d’Espagne.</w:t>
      </w:r>
      <w:r w:rsidRPr="006C3615">
        <w:t xml:space="preserve"> Paris: Sinbad, 2000</w:t>
      </w:r>
    </w:p>
    <w:p w14:paraId="2D8C5B12" w14:textId="77777777" w:rsidR="0014728A" w:rsidRPr="006C3615" w:rsidRDefault="0014728A" w:rsidP="00FD030E">
      <w:pPr>
        <w:spacing w:line="240" w:lineRule="atLeast"/>
        <w:ind w:left="709" w:hanging="709"/>
        <w:rPr>
          <w:lang w:val="es-ES"/>
        </w:rPr>
      </w:pPr>
      <w:r w:rsidRPr="006C3615">
        <w:rPr>
          <w:lang w:val="es-ES"/>
        </w:rPr>
        <w:t xml:space="preserve">Villuenda Sabaté, Blanca. </w:t>
      </w:r>
      <w:r w:rsidRPr="006C3615">
        <w:rPr>
          <w:i/>
          <w:iCs/>
          <w:lang w:val="es-ES"/>
        </w:rPr>
        <w:t>La geomancia en los manuscritos judeo-árabes de la Gueniza de El Cairo</w:t>
      </w:r>
      <w:r w:rsidRPr="006C3615">
        <w:rPr>
          <w:lang w:val="es-ES"/>
        </w:rPr>
        <w:t>, Córdoba: Oriens Academics- CNERU-CSIC, 2012</w:t>
      </w:r>
    </w:p>
    <w:p w14:paraId="7C8E89FE" w14:textId="77777777" w:rsidR="0014728A" w:rsidRPr="006C3615" w:rsidRDefault="0014728A" w:rsidP="00FD030E">
      <w:pPr>
        <w:spacing w:line="240" w:lineRule="atLeast"/>
        <w:ind w:left="709" w:hanging="709"/>
        <w:rPr>
          <w:lang w:val="fr-FR"/>
        </w:rPr>
      </w:pPr>
      <w:r w:rsidRPr="006C3615">
        <w:rPr>
          <w:lang w:val="es-ES"/>
        </w:rPr>
        <w:t xml:space="preserve">Villuendas Sabaté, Blanca. ‘Arabic Geomancy in Jewish Hands: Specimens from the Cairo Genizah’. </w:t>
      </w:r>
      <w:r w:rsidRPr="006C3615">
        <w:t xml:space="preserve">In </w:t>
      </w:r>
      <w:r w:rsidRPr="006C3615">
        <w:rPr>
          <w:i/>
          <w:iCs/>
        </w:rPr>
        <w:t>Geomancy and other Forms of Divination,</w:t>
      </w:r>
      <w:r w:rsidRPr="006C3615">
        <w:t xml:space="preserve"> edited by Alessandro Palazzo and Irene Zavattero, 271-288. </w:t>
      </w:r>
      <w:r w:rsidRPr="006C3615">
        <w:rPr>
          <w:lang w:val="fr-FR"/>
        </w:rPr>
        <w:t>Florence: SISMEL – Edizioni del Galluzzo, 2017</w:t>
      </w:r>
    </w:p>
    <w:p w14:paraId="0350C7EB" w14:textId="77777777" w:rsidR="0014728A" w:rsidRPr="006C3615" w:rsidRDefault="0014728A" w:rsidP="00FD030E">
      <w:pPr>
        <w:spacing w:line="240" w:lineRule="atLeast"/>
        <w:ind w:left="709" w:hanging="709"/>
      </w:pPr>
      <w:r w:rsidRPr="006C3615">
        <w:t xml:space="preserve">Waite, Arthur Edward. </w:t>
      </w:r>
      <w:r w:rsidRPr="006C3615">
        <w:rPr>
          <w:i/>
          <w:iCs/>
        </w:rPr>
        <w:t>The Real History of the Rosicrucians: founded on their own manifestoes, and on facts and documents collected from the writings of initiated brethren</w:t>
      </w:r>
      <w:r w:rsidRPr="006C3615">
        <w:t>. London: G. Redway, 1887</w:t>
      </w:r>
    </w:p>
    <w:p w14:paraId="4D12328D" w14:textId="77777777" w:rsidR="0014728A" w:rsidRPr="006C3615" w:rsidRDefault="0014728A" w:rsidP="00FD030E">
      <w:pPr>
        <w:spacing w:line="240" w:lineRule="atLeast"/>
        <w:ind w:left="709" w:hanging="709"/>
      </w:pPr>
      <w:r w:rsidRPr="006C3615">
        <w:t xml:space="preserve">Ward, H. L. D.  and J. A. Herbert. </w:t>
      </w:r>
      <w:r w:rsidRPr="006C3615">
        <w:rPr>
          <w:i/>
          <w:iCs/>
        </w:rPr>
        <w:t>Catalogue of Romances in the Department of Manuscripts in the British Museum, 3 vols</w:t>
      </w:r>
      <w:r w:rsidRPr="006C3615">
        <w:t xml:space="preserve">. London: British Museum, 1883-1910 </w:t>
      </w:r>
    </w:p>
    <w:p w14:paraId="4E2A1D32" w14:textId="77777777" w:rsidR="0014728A" w:rsidRPr="006C3615" w:rsidRDefault="0014728A" w:rsidP="00FD030E">
      <w:pPr>
        <w:spacing w:line="240" w:lineRule="atLeast"/>
        <w:ind w:left="709" w:hanging="709"/>
      </w:pPr>
      <w:r w:rsidRPr="006C3615">
        <w:t xml:space="preserve">Watson, Andrew G. </w:t>
      </w:r>
      <w:r w:rsidRPr="006C3615">
        <w:rPr>
          <w:i/>
          <w:iCs/>
        </w:rPr>
        <w:t>Medieval Manuscripts in Post-Medieval England</w:t>
      </w:r>
      <w:r w:rsidRPr="006C3615">
        <w:t xml:space="preserve">. Aldershot: Ashgate/Variorum, XIII, 2004 </w:t>
      </w:r>
    </w:p>
    <w:p w14:paraId="40AEED11" w14:textId="77777777" w:rsidR="0014728A" w:rsidRPr="006C3615" w:rsidRDefault="0014728A" w:rsidP="00FD030E">
      <w:pPr>
        <w:spacing w:line="240" w:lineRule="atLeast"/>
        <w:ind w:left="709" w:hanging="709"/>
      </w:pPr>
      <w:r w:rsidRPr="006C3615">
        <w:t xml:space="preserve">Weinstock, Stefan. ‘Lunar Mansions and Early Calendars.’ In </w:t>
      </w:r>
      <w:r w:rsidRPr="006C3615">
        <w:rPr>
          <w:i/>
          <w:iCs/>
        </w:rPr>
        <w:t>Journal of Hellenic Studies</w:t>
      </w:r>
      <w:r w:rsidRPr="006C3615">
        <w:t xml:space="preserve"> 49, 1949: 48-69</w:t>
      </w:r>
    </w:p>
    <w:p w14:paraId="11C98038" w14:textId="77777777" w:rsidR="0014728A" w:rsidRPr="006C3615" w:rsidRDefault="0014728A" w:rsidP="00FD030E">
      <w:pPr>
        <w:spacing w:line="240" w:lineRule="atLeast"/>
        <w:ind w:left="709" w:hanging="709"/>
      </w:pPr>
      <w:r w:rsidRPr="006C3615">
        <w:t xml:space="preserve">Wickersheimer, Ernest. </w:t>
      </w:r>
      <w:r w:rsidRPr="006C3615">
        <w:rPr>
          <w:i/>
          <w:iCs/>
        </w:rPr>
        <w:t>Dictionnaire biographique des médecins en France au Moyen Âge</w:t>
      </w:r>
      <w:r w:rsidRPr="006C3615">
        <w:t>, II. Genève: Droz, 1979</w:t>
      </w:r>
    </w:p>
    <w:p w14:paraId="7A488C0D" w14:textId="77777777" w:rsidR="0014728A" w:rsidRPr="006C3615" w:rsidRDefault="0014728A" w:rsidP="00FD030E">
      <w:pPr>
        <w:spacing w:line="240" w:lineRule="atLeast"/>
        <w:ind w:left="709" w:hanging="709"/>
      </w:pPr>
      <w:r w:rsidRPr="006C3615">
        <w:t xml:space="preserve">Willard, Thomas. ‘John Heydon’s Visions: “Pretty” or “Polluted”?’ In </w:t>
      </w:r>
      <w:r w:rsidRPr="006C3615">
        <w:rPr>
          <w:i/>
          <w:iCs/>
        </w:rPr>
        <w:t>Paideuma: Modern and Contemporary Poetry and Poetics</w:t>
      </w:r>
      <w:r w:rsidRPr="006C3615">
        <w:t xml:space="preserve"> V. 16, n. 1/2, 1987: 61-72</w:t>
      </w:r>
    </w:p>
    <w:p w14:paraId="4C31D944" w14:textId="77777777" w:rsidR="0014728A" w:rsidRPr="006C3615" w:rsidRDefault="0014728A" w:rsidP="00FD030E">
      <w:pPr>
        <w:spacing w:line="240" w:lineRule="atLeast"/>
        <w:ind w:left="709" w:hanging="709"/>
      </w:pPr>
      <w:r w:rsidRPr="006C3615">
        <w:t xml:space="preserve">Yampolsky, Philip. ‘The Origin of the Twenty-eight Lunar Mansions.’ In </w:t>
      </w:r>
      <w:r w:rsidRPr="006C3615">
        <w:rPr>
          <w:i/>
          <w:iCs/>
        </w:rPr>
        <w:t>Osiris,</w:t>
      </w:r>
      <w:r w:rsidRPr="006C3615">
        <w:t xml:space="preserve"> 9, 1950: 62-83</w:t>
      </w:r>
    </w:p>
    <w:p w14:paraId="2F68DA00" w14:textId="77777777" w:rsidR="0014728A" w:rsidRPr="006C3615" w:rsidRDefault="0014728A" w:rsidP="00FD030E">
      <w:pPr>
        <w:spacing w:line="240" w:lineRule="atLeast"/>
        <w:ind w:left="709" w:hanging="709"/>
      </w:pPr>
      <w:r w:rsidRPr="006C3615">
        <w:t xml:space="preserve">Yarbrough, Luke. ‘Khālid b. Sinān’. In </w:t>
      </w:r>
      <w:r w:rsidRPr="006C3615">
        <w:rPr>
          <w:i/>
          <w:iCs/>
        </w:rPr>
        <w:t>The Encyclopedia of Islam</w:t>
      </w:r>
      <w:r w:rsidRPr="006C3615">
        <w:t>, THREE, edited by Kate Fleet, Gudrun Krämer, Denis Matringe, John Nawas, Everett Rowson. Turnhout: Brill, 2020</w:t>
      </w:r>
    </w:p>
    <w:p w14:paraId="647FF2BC" w14:textId="77777777" w:rsidR="0014728A" w:rsidRPr="006C3615" w:rsidRDefault="0014728A" w:rsidP="00FD030E">
      <w:pPr>
        <w:spacing w:line="240" w:lineRule="atLeast"/>
        <w:ind w:left="709" w:hanging="709"/>
      </w:pPr>
      <w:r w:rsidRPr="006C3615">
        <w:t xml:space="preserve">Yates, Frances A. </w:t>
      </w:r>
      <w:r w:rsidRPr="006C3615">
        <w:rPr>
          <w:i/>
          <w:iCs/>
        </w:rPr>
        <w:t>The Rosicrucian Enlightenment.</w:t>
      </w:r>
      <w:r w:rsidRPr="006C3615">
        <w:t xml:space="preserve"> London: Routledge &amp; Kegan Paul, 1972</w:t>
      </w:r>
    </w:p>
    <w:p w14:paraId="1B90141B" w14:textId="77777777" w:rsidR="0014728A" w:rsidRPr="006C3615" w:rsidRDefault="0014728A" w:rsidP="00FD030E">
      <w:pPr>
        <w:spacing w:line="240" w:lineRule="atLeast"/>
        <w:ind w:left="709" w:hanging="709"/>
      </w:pPr>
      <w:r w:rsidRPr="006C3615">
        <w:t xml:space="preserve">Zambelli, Paola. </w:t>
      </w:r>
      <w:r w:rsidRPr="006C3615">
        <w:rPr>
          <w:i/>
          <w:iCs/>
        </w:rPr>
        <w:t xml:space="preserve">The Speculum Astronomiae and its Enigma. </w:t>
      </w:r>
      <w:r w:rsidRPr="006C3615">
        <w:t xml:space="preserve">Dordrecht: Kluwer Academic Publishers, 1992 </w:t>
      </w:r>
    </w:p>
    <w:p w14:paraId="01600250" w14:textId="77777777" w:rsidR="0014728A" w:rsidRPr="006C3615" w:rsidRDefault="0014728A" w:rsidP="00FD030E">
      <w:pPr>
        <w:spacing w:line="240" w:lineRule="atLeast"/>
        <w:ind w:left="709" w:hanging="709"/>
        <w:rPr>
          <w:lang w:val="it-IT"/>
        </w:rPr>
      </w:pPr>
      <w:r w:rsidRPr="006C3615">
        <w:rPr>
          <w:lang w:val="it-IT"/>
        </w:rPr>
        <w:t>Zavattero, Irene. ‘</w:t>
      </w:r>
      <w:r w:rsidRPr="006C3615">
        <w:rPr>
          <w:i/>
          <w:iCs/>
          <w:lang w:val="it-IT"/>
        </w:rPr>
        <w:t>Estimaverunt Indi</w:t>
      </w:r>
      <w:r w:rsidRPr="006C3615">
        <w:rPr>
          <w:lang w:val="it-IT"/>
        </w:rPr>
        <w:t>: la diffusion d’un texte geomantique condamné’.</w:t>
      </w:r>
      <w:r w:rsidRPr="006C3615">
        <w:rPr>
          <w:i/>
          <w:iCs/>
          <w:lang w:val="it-IT"/>
        </w:rPr>
        <w:t xml:space="preserve"> Medioevo. Rivista di storia della filosofia medievale, </w:t>
      </w:r>
      <w:r w:rsidRPr="006C3615">
        <w:rPr>
          <w:lang w:val="it-IT"/>
        </w:rPr>
        <w:t>vol. XLII, edited by Alessandra Beccarisi and Fiorella Retucci. Padua: Il Poligrafo, 2017: 57-80</w:t>
      </w:r>
    </w:p>
    <w:p w14:paraId="5B457ADF" w14:textId="77777777" w:rsidR="0014728A" w:rsidRPr="006C3615" w:rsidRDefault="0014728A" w:rsidP="00FD030E">
      <w:pPr>
        <w:spacing w:line="240" w:lineRule="atLeast"/>
        <w:ind w:left="709" w:hanging="709"/>
      </w:pPr>
      <w:r w:rsidRPr="006C3615">
        <w:rPr>
          <w:lang w:val="it-IT"/>
        </w:rPr>
        <w:t>Zavattero, Irene. ‘</w:t>
      </w:r>
      <w:r w:rsidRPr="006C3615">
        <w:rPr>
          <w:i/>
          <w:iCs/>
          <w:lang w:val="it-IT"/>
        </w:rPr>
        <w:t>Estimaverunt Indi</w:t>
      </w:r>
      <w:r w:rsidRPr="006C3615">
        <w:rPr>
          <w:lang w:val="it-IT"/>
        </w:rPr>
        <w:t xml:space="preserve">: la tradizione testuale di un anonimo trattato di geomanzia’. </w:t>
      </w:r>
      <w:r w:rsidRPr="006C3615">
        <w:t xml:space="preserve">In </w:t>
      </w:r>
      <w:r w:rsidRPr="006C3615">
        <w:rPr>
          <w:i/>
          <w:iCs/>
        </w:rPr>
        <w:t>Geomancy and other Forms of Divination,</w:t>
      </w:r>
      <w:r w:rsidRPr="006C3615">
        <w:t xml:space="preserve"> edited by Alessandro Palazzo and Irene Zavattero, 31-63. Florence: SISMEL - Edizioni del Galluzzo, 2017</w:t>
      </w:r>
    </w:p>
    <w:p w14:paraId="1387A59E" w14:textId="77777777" w:rsidR="0014728A" w:rsidRDefault="0014728A" w:rsidP="00FD030E">
      <w:pPr>
        <w:spacing w:line="240" w:lineRule="atLeast"/>
        <w:ind w:left="709" w:hanging="709"/>
      </w:pPr>
      <w:r w:rsidRPr="006C3615">
        <w:t xml:space="preserve">Ziegler, A.K. </w:t>
      </w:r>
      <w:r w:rsidRPr="006C3615">
        <w:rPr>
          <w:i/>
          <w:iCs/>
        </w:rPr>
        <w:t xml:space="preserve">Histoire de la géomancie latine di milieu du XIIe siècle au milieu du XVIIe siècle </w:t>
      </w:r>
      <w:r w:rsidRPr="006C3615">
        <w:t>[Positions des thèses soutenues par les élèves de la promotion de 1934 pour obtenir la diplôme d’archiviste paléographe]. Paris: 1934</w:t>
      </w:r>
    </w:p>
    <w:p w14:paraId="4F86481E" w14:textId="77777777" w:rsidR="007D6CF2" w:rsidRPr="006C3615" w:rsidRDefault="007D6CF2" w:rsidP="00FD030E">
      <w:pPr>
        <w:spacing w:line="240" w:lineRule="atLeast"/>
        <w:ind w:left="709" w:hanging="709"/>
      </w:pPr>
    </w:p>
    <w:p w14:paraId="0D1CF4C4" w14:textId="77777777" w:rsidR="00FD030E" w:rsidRPr="006C3615" w:rsidRDefault="00FD030E" w:rsidP="00FD030E">
      <w:pPr>
        <w:spacing w:line="240" w:lineRule="atLeast"/>
        <w:ind w:left="709" w:hanging="709"/>
      </w:pPr>
    </w:p>
    <w:p w14:paraId="2AE6C00C" w14:textId="77777777" w:rsidR="00FD030E" w:rsidRPr="00BA6A36" w:rsidRDefault="00FD030E" w:rsidP="00BA6A36">
      <w:pPr>
        <w:pStyle w:val="Heading2"/>
        <w:ind w:firstLine="0"/>
        <w:rPr>
          <w:rFonts w:asciiTheme="majorBidi" w:hAnsiTheme="majorBidi"/>
          <w:color w:val="auto"/>
          <w:sz w:val="20"/>
          <w:szCs w:val="20"/>
        </w:rPr>
      </w:pPr>
      <w:bookmarkStart w:id="170" w:name="_Toc165108690"/>
      <w:r w:rsidRPr="00BA6A36">
        <w:rPr>
          <w:rFonts w:asciiTheme="majorBidi" w:hAnsiTheme="majorBidi"/>
          <w:color w:val="auto"/>
          <w:sz w:val="20"/>
          <w:szCs w:val="20"/>
        </w:rPr>
        <w:t>WEBSITES</w:t>
      </w:r>
      <w:bookmarkEnd w:id="170"/>
      <w:r w:rsidRPr="00BA6A36">
        <w:rPr>
          <w:rFonts w:asciiTheme="majorBidi" w:hAnsiTheme="majorBidi"/>
          <w:color w:val="auto"/>
          <w:sz w:val="20"/>
          <w:szCs w:val="20"/>
        </w:rPr>
        <w:t xml:space="preserve"> </w:t>
      </w:r>
    </w:p>
    <w:p w14:paraId="716252B7" w14:textId="77777777" w:rsidR="00FD030E" w:rsidRPr="006C3615" w:rsidRDefault="00FD030E" w:rsidP="00FD030E">
      <w:pPr>
        <w:spacing w:line="240" w:lineRule="atLeast"/>
        <w:ind w:left="709" w:hanging="709"/>
      </w:pPr>
    </w:p>
    <w:p w14:paraId="640C25D2" w14:textId="77777777" w:rsidR="00FD030E" w:rsidRPr="00FD030E" w:rsidRDefault="00FD030E" w:rsidP="00FD030E">
      <w:pPr>
        <w:spacing w:line="240" w:lineRule="atLeast"/>
        <w:ind w:left="709" w:hanging="709"/>
      </w:pPr>
      <w:r w:rsidRPr="006C3615">
        <w:t xml:space="preserve">Juste, David. ‘Cambridge, Magdalene College, F. 4.27’ in </w:t>
      </w:r>
      <w:r w:rsidRPr="006C3615">
        <w:rPr>
          <w:i/>
          <w:iCs/>
        </w:rPr>
        <w:t xml:space="preserve">Ptolemaeus Arabus et Latinus Manuscripts </w:t>
      </w:r>
      <w:r w:rsidRPr="006C3615">
        <w:t>(</w:t>
      </w:r>
      <w:hyperlink r:id="rId29" w:history="1">
        <w:r w:rsidRPr="00FD030E">
          <w:rPr>
            <w:rStyle w:val="Hyperlink"/>
            <w:color w:val="auto"/>
          </w:rPr>
          <w:t>https://ptolemaeus.badw.de/ms/608?mark=%28%3Fis%29%28magdalene%5C%20college%29</w:t>
        </w:r>
      </w:hyperlink>
      <w:r w:rsidRPr="00FD030E">
        <w:t xml:space="preserve">) </w:t>
      </w:r>
    </w:p>
    <w:p w14:paraId="4113E67F" w14:textId="77777777" w:rsidR="00FD030E" w:rsidRPr="00FD030E" w:rsidRDefault="00FD030E" w:rsidP="00FD030E">
      <w:pPr>
        <w:spacing w:line="240" w:lineRule="atLeast"/>
        <w:ind w:left="709" w:hanging="709"/>
        <w:rPr>
          <w:rStyle w:val="Hyperlink"/>
          <w:color w:val="auto"/>
        </w:rPr>
      </w:pPr>
      <w:r w:rsidRPr="00FD030E">
        <w:t xml:space="preserve">Anawati, Georges C. ‘Fakhr al-Dīn al-Rāzī’, in </w:t>
      </w:r>
      <w:r w:rsidRPr="00FD030E">
        <w:rPr>
          <w:i/>
          <w:iCs/>
        </w:rPr>
        <w:t>Encyclopaedia of Islam, Second Edition</w:t>
      </w:r>
      <w:r w:rsidRPr="00FD030E">
        <w:t xml:space="preserve">, ed. by P. Bearman, Th. Bianquis, C.E. Bosworth, E. van Donzel, W.P. Heinrichs. </w:t>
      </w:r>
      <w:hyperlink r:id="rId30" w:history="1">
        <w:r w:rsidRPr="00FD030E">
          <w:rPr>
            <w:rStyle w:val="Hyperlink"/>
            <w:color w:val="auto"/>
          </w:rPr>
          <w:t>http://dx.doi.org/10.1163/1573-3912_islam_COM_0206</w:t>
        </w:r>
      </w:hyperlink>
    </w:p>
    <w:p w14:paraId="337E5D9F" w14:textId="77777777" w:rsidR="00FD030E" w:rsidRPr="00FD030E" w:rsidRDefault="00FD030E" w:rsidP="00FD030E">
      <w:pPr>
        <w:spacing w:line="240" w:lineRule="atLeast"/>
        <w:ind w:left="709" w:hanging="709"/>
        <w:jc w:val="left"/>
        <w:rPr>
          <w:rStyle w:val="Hyperlink"/>
          <w:color w:val="auto"/>
        </w:rPr>
      </w:pPr>
      <w:r w:rsidRPr="00FD030E">
        <w:rPr>
          <w:rStyle w:val="Hyperlink"/>
          <w:color w:val="auto"/>
        </w:rPr>
        <w:t xml:space="preserve">Ilanot Portal: </w:t>
      </w:r>
      <w:hyperlink r:id="rId31" w:anchor="1/-168/78" w:history="1">
        <w:r w:rsidRPr="00FD030E">
          <w:rPr>
            <w:rStyle w:val="Hyperlink"/>
            <w:color w:val="auto"/>
          </w:rPr>
          <w:t>https://ilanot.org/detail?id=https://ilanot.org/resource/item/manuscript3r0gg#1/-168/78</w:t>
        </w:r>
      </w:hyperlink>
    </w:p>
    <w:p w14:paraId="11DA5B2E" w14:textId="77777777" w:rsidR="00FD030E" w:rsidRPr="00FD030E" w:rsidRDefault="00FD030E" w:rsidP="00FD030E">
      <w:pPr>
        <w:spacing w:line="240" w:lineRule="atLeast"/>
        <w:ind w:left="709" w:hanging="709"/>
        <w:jc w:val="left"/>
        <w:rPr>
          <w:u w:val="single"/>
        </w:rPr>
      </w:pPr>
      <w:r w:rsidRPr="00FD030E">
        <w:rPr>
          <w:i/>
          <w:iCs/>
        </w:rPr>
        <w:t>Arabic and Latin Glossary</w:t>
      </w:r>
      <w:r w:rsidRPr="00FD030E">
        <w:t>, ed. by Dag Nikolaus Hasse,</w:t>
      </w:r>
    </w:p>
    <w:p w14:paraId="00E8B2F4" w14:textId="77777777" w:rsidR="00FD030E" w:rsidRPr="00FD030E" w:rsidRDefault="00FD030E" w:rsidP="00FD030E">
      <w:pPr>
        <w:spacing w:line="240" w:lineRule="atLeast"/>
        <w:jc w:val="left"/>
        <w:rPr>
          <w:u w:val="single"/>
        </w:rPr>
      </w:pPr>
      <w:hyperlink r:id="rId32" w:anchor="intentio" w:history="1">
        <w:r w:rsidRPr="00FD030E">
          <w:rPr>
            <w:rStyle w:val="Hyperlink"/>
            <w:color w:val="auto"/>
          </w:rPr>
          <w:t>https://algloss.de.dariah.eu/?lemma=intentio&amp;var=la&amp;nav=i#intentio</w:t>
        </w:r>
      </w:hyperlink>
    </w:p>
    <w:p w14:paraId="1DF5C082" w14:textId="779BB853" w:rsidR="00242EFA" w:rsidRPr="00FD030E" w:rsidRDefault="00FD030E" w:rsidP="00FD030E">
      <w:pPr>
        <w:spacing w:line="240" w:lineRule="atLeast"/>
        <w:ind w:left="709" w:hanging="709"/>
        <w:jc w:val="left"/>
        <w:rPr>
          <w:u w:val="single"/>
        </w:rPr>
      </w:pPr>
      <w:r w:rsidRPr="00FD030E">
        <w:rPr>
          <w:i/>
          <w:iCs/>
        </w:rPr>
        <w:t>Enciclopedia Treccani:</w:t>
      </w:r>
      <w:r w:rsidRPr="00FD030E">
        <w:t xml:space="preserve"> https://www.treccani.it/enciclopedia/gherardo-da-cremona_%28Dizionario-Biografico%29/</w:t>
      </w:r>
    </w:p>
    <w:sectPr w:rsidR="00242EFA" w:rsidRPr="00FD030E" w:rsidSect="006E0C52">
      <w:footerReference w:type="default" r:id="rId33"/>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DCCE9C" w14:textId="77777777" w:rsidR="005510E3" w:rsidRDefault="005510E3" w:rsidP="008B64A3">
      <w:pPr>
        <w:spacing w:line="240" w:lineRule="auto"/>
      </w:pPr>
      <w:r>
        <w:separator/>
      </w:r>
    </w:p>
  </w:endnote>
  <w:endnote w:type="continuationSeparator" w:id="0">
    <w:p w14:paraId="58478182" w14:textId="77777777" w:rsidR="005510E3" w:rsidRDefault="005510E3" w:rsidP="008B64A3">
      <w:pPr>
        <w:spacing w:line="240" w:lineRule="auto"/>
      </w:pPr>
      <w:r>
        <w:continuationSeparator/>
      </w:r>
    </w:p>
  </w:endnote>
  <w:endnote w:type="continuationNotice" w:id="1">
    <w:p w14:paraId="3633C88E" w14:textId="77777777" w:rsidR="001B3057" w:rsidRDefault="001B305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inuxLibertine">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0069102"/>
      <w:docPartObj>
        <w:docPartGallery w:val="Page Numbers (Bottom of Page)"/>
        <w:docPartUnique/>
      </w:docPartObj>
    </w:sdtPr>
    <w:sdtEndPr>
      <w:rPr>
        <w:noProof/>
      </w:rPr>
    </w:sdtEndPr>
    <w:sdtContent>
      <w:p w14:paraId="4A83607B" w14:textId="57695324" w:rsidR="00814AD1" w:rsidRDefault="00814AD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29DCA79" w14:textId="77777777" w:rsidR="00BE46FE" w:rsidRDefault="00BE46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361852" w14:textId="77777777" w:rsidR="005510E3" w:rsidRDefault="005510E3" w:rsidP="008B64A3">
      <w:pPr>
        <w:spacing w:line="240" w:lineRule="auto"/>
      </w:pPr>
      <w:r>
        <w:separator/>
      </w:r>
    </w:p>
  </w:footnote>
  <w:footnote w:type="continuationSeparator" w:id="0">
    <w:p w14:paraId="605E41FE" w14:textId="77777777" w:rsidR="005510E3" w:rsidRDefault="005510E3" w:rsidP="008B64A3">
      <w:pPr>
        <w:spacing w:line="240" w:lineRule="auto"/>
      </w:pPr>
      <w:r>
        <w:continuationSeparator/>
      </w:r>
    </w:p>
  </w:footnote>
  <w:footnote w:type="continuationNotice" w:id="1">
    <w:p w14:paraId="0BC1A331" w14:textId="77777777" w:rsidR="001B3057" w:rsidRDefault="001B3057">
      <w:pPr>
        <w:spacing w:line="240" w:lineRule="auto"/>
      </w:pPr>
    </w:p>
  </w:footnote>
  <w:footnote w:id="2">
    <w:p w14:paraId="0BCFD279" w14:textId="1D4A0A1D" w:rsidR="00030B74" w:rsidRDefault="00030B74" w:rsidP="00030B74">
      <w:pPr>
        <w:pStyle w:val="FootnoteText"/>
        <w:ind w:firstLine="0"/>
      </w:pPr>
      <w:r>
        <w:rPr>
          <w:rStyle w:val="FootnoteReference"/>
        </w:rPr>
        <w:footnoteRef/>
      </w:r>
      <w:r>
        <w:t xml:space="preserve"> </w:t>
      </w:r>
      <w:r w:rsidRPr="00BC1E69">
        <w:t xml:space="preserve">Thérèse Charmasson, </w:t>
      </w:r>
      <w:r w:rsidRPr="00BC1E69">
        <w:rPr>
          <w:i/>
          <w:iCs/>
        </w:rPr>
        <w:t>Recherches sur une technique divinatoire: la géomancie dans l’Occident medieval</w:t>
      </w:r>
      <w:r w:rsidRPr="00BC1E69">
        <w:t xml:space="preserve"> (Genève-Paris: Librairie Droz, 1980)</w:t>
      </w:r>
      <w:r>
        <w:t>. A notable contribution is also the edition o</w:t>
      </w:r>
      <w:r w:rsidR="003343CC">
        <w:t>f the</w:t>
      </w:r>
      <w:r w:rsidRPr="006F30DE">
        <w:rPr>
          <w:i/>
          <w:iCs/>
        </w:rPr>
        <w:t xml:space="preserve"> Lectura Geomantiae</w:t>
      </w:r>
      <w:r w:rsidRPr="006F30DE">
        <w:t xml:space="preserve">, ed. by T. Charmasson, in </w:t>
      </w:r>
      <w:r w:rsidRPr="006F30DE">
        <w:rPr>
          <w:i/>
          <w:iCs/>
        </w:rPr>
        <w:t>Hermetis Trismegisti Astrologica et Divinatoria</w:t>
      </w:r>
      <w:r w:rsidRPr="006F30DE">
        <w:t>, ed. by G. Bos, C. Burnett, T. Charmasson, P. Kunitzsch, F. Lelli and P. Lucentini [Corpus Christianorum, Continuatio Mediaeualis, 144C, Hermes Latinus, 4.4] (Turnhout: Brepols, 2001), 349-97</w:t>
      </w:r>
      <w:r>
        <w:t>.</w:t>
      </w:r>
    </w:p>
  </w:footnote>
  <w:footnote w:id="3">
    <w:p w14:paraId="3ECA153E" w14:textId="690D705D" w:rsidR="00030B74" w:rsidRDefault="00030B74" w:rsidP="00030B74">
      <w:pPr>
        <w:pStyle w:val="FootnoteText"/>
        <w:ind w:firstLine="0"/>
      </w:pPr>
      <w:r>
        <w:rPr>
          <w:rStyle w:val="FootnoteReference"/>
        </w:rPr>
        <w:footnoteRef/>
      </w:r>
      <w:r>
        <w:t xml:space="preserve"> </w:t>
      </w:r>
      <w:r w:rsidR="008967A4">
        <w:t xml:space="preserve">Alessandro </w:t>
      </w:r>
      <w:r w:rsidR="008967A4" w:rsidRPr="008967A4">
        <w:t>Palazzo, ‘Et ego quidem nunc fabricabo circulum. Images and Diagrams in the Geomantic Treatise Estimaverunt Indi</w:t>
      </w:r>
      <w:r w:rsidR="004C40FF">
        <w:t>,</w:t>
      </w:r>
      <w:r w:rsidR="008967A4" w:rsidRPr="008967A4">
        <w:t xml:space="preserve">’ in </w:t>
      </w:r>
      <w:r w:rsidR="008967A4" w:rsidRPr="008967A4">
        <w:rPr>
          <w:i/>
          <w:iCs/>
        </w:rPr>
        <w:t>Per cognitionem uisualem. The Visualization of Cognitive and Natural Processes in the Middle Ages. XXV Annual Colloquium of the SIEPM</w:t>
      </w:r>
      <w:r w:rsidR="008967A4" w:rsidRPr="008967A4">
        <w:t xml:space="preserve"> </w:t>
      </w:r>
      <w:r w:rsidR="008967A4">
        <w:t>[</w:t>
      </w:r>
      <w:r w:rsidR="008967A4" w:rsidRPr="008967A4">
        <w:t>Rencontres de Philosophie Médiévale, 27</w:t>
      </w:r>
      <w:r w:rsidR="008967A4">
        <w:t>]</w:t>
      </w:r>
      <w:r w:rsidR="008967A4" w:rsidRPr="008967A4">
        <w:t>, ed. by J</w:t>
      </w:r>
      <w:r w:rsidR="006302FA">
        <w:t>.</w:t>
      </w:r>
      <w:r w:rsidR="008967A4" w:rsidRPr="008967A4">
        <w:t xml:space="preserve"> Higuera Rubio (Turnhout: Brepols, 2023), 133-172</w:t>
      </w:r>
      <w:r w:rsidR="008967A4">
        <w:t xml:space="preserve">; </w:t>
      </w:r>
      <w:r>
        <w:t>Palazzo, ‘</w:t>
      </w:r>
      <w:r w:rsidRPr="00B95E5B">
        <w:t>Geomancy as a Paradigm of Operative Rationality in the Middle Ages</w:t>
      </w:r>
      <w:r>
        <w:t>,’</w:t>
      </w:r>
      <w:r w:rsidRPr="00B95E5B">
        <w:t xml:space="preserve"> in </w:t>
      </w:r>
      <w:r w:rsidRPr="00B95E5B">
        <w:rPr>
          <w:i/>
          <w:iCs/>
        </w:rPr>
        <w:t>Archiv für mittelalterliche Philosophie und Kultur. Heft 21,</w:t>
      </w:r>
      <w:r w:rsidRPr="00B95E5B">
        <w:t xml:space="preserve"> </w:t>
      </w:r>
      <w:r>
        <w:t xml:space="preserve">ed. by T. </w:t>
      </w:r>
      <w:r w:rsidRPr="00B95E5B">
        <w:t>Boiadjiev,</w:t>
      </w:r>
      <w:r>
        <w:t xml:space="preserve"> G.</w:t>
      </w:r>
      <w:r w:rsidRPr="00B95E5B">
        <w:t xml:space="preserve"> Kapriev, </w:t>
      </w:r>
      <w:r>
        <w:t xml:space="preserve">A. </w:t>
      </w:r>
      <w:r w:rsidRPr="00B95E5B">
        <w:t>Speer</w:t>
      </w:r>
      <w:r>
        <w:t xml:space="preserve"> (</w:t>
      </w:r>
      <w:r w:rsidRPr="00B95E5B">
        <w:t>Sofia: Institut für mittelalterliche Philosophie und Kultur, 2015</w:t>
      </w:r>
      <w:r>
        <w:t xml:space="preserve">) </w:t>
      </w:r>
      <w:r w:rsidRPr="00B95E5B">
        <w:t>55-74</w:t>
      </w:r>
      <w:r>
        <w:t>; Palazzo, ‘</w:t>
      </w:r>
      <w:r w:rsidRPr="003B0897">
        <w:t>New Perspectives on Geomancy: Introductory Remarks</w:t>
      </w:r>
      <w:r w:rsidR="00D66E35">
        <w:t>,</w:t>
      </w:r>
      <w:r>
        <w:t xml:space="preserve">’ in </w:t>
      </w:r>
      <w:r w:rsidRPr="00B95E5B">
        <w:rPr>
          <w:i/>
          <w:iCs/>
        </w:rPr>
        <w:t xml:space="preserve">Geomancy and Other Forms of Divination </w:t>
      </w:r>
      <w:r w:rsidRPr="003B0897">
        <w:t xml:space="preserve">ed. by A. Palazzo and I. Zavattero [Micrologus Library, 87] (Florence: Sismel-Edizioni del Galluzzo, 2017), </w:t>
      </w:r>
      <w:r>
        <w:t>IX-XXX;</w:t>
      </w:r>
      <w:r w:rsidRPr="003B0897">
        <w:t xml:space="preserve"> </w:t>
      </w:r>
      <w:r>
        <w:t>Palazzo, ‘</w:t>
      </w:r>
      <w:r w:rsidRPr="00F9564C">
        <w:t>L</w:t>
      </w:r>
      <w:r>
        <w:t>’</w:t>
      </w:r>
      <w:r w:rsidRPr="00F9564C">
        <w:rPr>
          <w:i/>
          <w:iCs/>
        </w:rPr>
        <w:t>Estimaverunt</w:t>
      </w:r>
      <w:r w:rsidRPr="00F9564C">
        <w:t xml:space="preserve"> </w:t>
      </w:r>
      <w:r w:rsidRPr="00F9564C">
        <w:rPr>
          <w:i/>
          <w:iCs/>
        </w:rPr>
        <w:t>Indi</w:t>
      </w:r>
      <w:r w:rsidRPr="00F9564C">
        <w:t xml:space="preserve"> e la condanna del 1277</w:t>
      </w:r>
      <w:r>
        <w:t>,’</w:t>
      </w:r>
      <w:r w:rsidRPr="00F9564C">
        <w:t xml:space="preserve"> in</w:t>
      </w:r>
      <w:r>
        <w:t xml:space="preserve"> </w:t>
      </w:r>
      <w:r w:rsidRPr="00F9564C">
        <w:rPr>
          <w:i/>
          <w:iCs/>
        </w:rPr>
        <w:t>Geomancy and Other Forms of Divination</w:t>
      </w:r>
      <w:r>
        <w:t xml:space="preserve"> (2017), 167-221; Palazzo, ‘</w:t>
      </w:r>
      <w:r w:rsidRPr="001D65C8">
        <w:t>Dibattiti filosofici e scientifici sulla geomanzia nel medioevo latino</w:t>
      </w:r>
      <w:r w:rsidR="00D66E35">
        <w:t>,</w:t>
      </w:r>
      <w:r>
        <w:t>’</w:t>
      </w:r>
      <w:r w:rsidRPr="001D65C8">
        <w:t xml:space="preserve"> in </w:t>
      </w:r>
      <w:r w:rsidRPr="001D65C8">
        <w:rPr>
          <w:i/>
          <w:iCs/>
        </w:rPr>
        <w:t>Trans/Form/Ação</w:t>
      </w:r>
      <w:r w:rsidRPr="001D65C8">
        <w:t>, v. 2019/42, (2019), 31-56</w:t>
      </w:r>
      <w:r>
        <w:t>; Palazzo, ‘</w:t>
      </w:r>
      <w:r w:rsidRPr="00AA6341">
        <w:t>Origin, Development and Decline of the Western Geomantic Tradition</w:t>
      </w:r>
      <w:r>
        <w:t>’</w:t>
      </w:r>
      <w:r w:rsidRPr="00AA6341">
        <w:t xml:space="preserve"> in </w:t>
      </w:r>
      <w:r w:rsidRPr="00AA6341">
        <w:rPr>
          <w:i/>
          <w:iCs/>
        </w:rPr>
        <w:t xml:space="preserve">Documenti e studi sulla tradizione filosofica medievale, </w:t>
      </w:r>
      <w:r w:rsidRPr="00AA6341">
        <w:t>v. 31 (2020),</w:t>
      </w:r>
      <w:r>
        <w:t xml:space="preserve"> </w:t>
      </w:r>
      <w:r w:rsidRPr="00AA6341">
        <w:t>417-441</w:t>
      </w:r>
      <w:r>
        <w:t>; Palazzo,  ‘</w:t>
      </w:r>
      <w:r w:rsidRPr="00AA6341">
        <w:rPr>
          <w:i/>
          <w:iCs/>
        </w:rPr>
        <w:t>Et ego quidem nunc fabricabo circulum</w:t>
      </w:r>
      <w:r w:rsidRPr="00AA6341">
        <w:t xml:space="preserve">: Images and Diagrams in the Geomantic Treatise </w:t>
      </w:r>
      <w:r w:rsidRPr="00AA6341">
        <w:rPr>
          <w:i/>
          <w:iCs/>
        </w:rPr>
        <w:t>Estimaverunt Indi</w:t>
      </w:r>
      <w:r w:rsidR="00520E62" w:rsidRPr="00520E62">
        <w:t>,</w:t>
      </w:r>
      <w:r w:rsidRPr="00520E62">
        <w:t>’</w:t>
      </w:r>
      <w:r w:rsidRPr="00AA6341">
        <w:t xml:space="preserve"> in </w:t>
      </w:r>
      <w:r w:rsidRPr="00AA6341">
        <w:rPr>
          <w:i/>
          <w:iCs/>
        </w:rPr>
        <w:t>Per cognitionem visualem. The Visualization of Cognitive and Natural Processes in the Middle Ages: Acts of the XXV Annual Colloquium of the SIEPM Porto, 14–15 and 21–22 June 2021</w:t>
      </w:r>
      <w:r w:rsidRPr="00AA6341">
        <w:t xml:space="preserve">, </w:t>
      </w:r>
      <w:r>
        <w:t xml:space="preserve">ed. by </w:t>
      </w:r>
      <w:r w:rsidRPr="00AA6341">
        <w:t>J</w:t>
      </w:r>
      <w:r>
        <w:t>.</w:t>
      </w:r>
      <w:r w:rsidRPr="00AA6341">
        <w:t xml:space="preserve"> Higuera Rubio [</w:t>
      </w:r>
      <w:r>
        <w:t>R</w:t>
      </w:r>
      <w:r w:rsidRPr="00AA6341">
        <w:t xml:space="preserve">encontres de philosophie médiévale] </w:t>
      </w:r>
      <w:r>
        <w:t>(</w:t>
      </w:r>
      <w:r w:rsidRPr="00AA6341">
        <w:t>Turnhout: Brepols, 2023</w:t>
      </w:r>
      <w:r>
        <w:t>),</w:t>
      </w:r>
      <w:r w:rsidRPr="00AA6341">
        <w:t xml:space="preserve"> 133-172</w:t>
      </w:r>
      <w:r>
        <w:t>; Irene Zavattero, ‘</w:t>
      </w:r>
      <w:r w:rsidRPr="005F1264">
        <w:rPr>
          <w:i/>
          <w:iCs/>
        </w:rPr>
        <w:t>Estimaverunt Indi</w:t>
      </w:r>
      <w:r w:rsidRPr="005F1264">
        <w:t>: la tradizione testuale di un anonimo trattato di geomanzia</w:t>
      </w:r>
      <w:r w:rsidR="00520E62">
        <w:t>,</w:t>
      </w:r>
      <w:r>
        <w:t xml:space="preserve">’ </w:t>
      </w:r>
      <w:r w:rsidRPr="00910F31">
        <w:t xml:space="preserve">in </w:t>
      </w:r>
      <w:r w:rsidRPr="00910F31">
        <w:rPr>
          <w:i/>
          <w:iCs/>
        </w:rPr>
        <w:t>Geomancy and Other Forms of Divination</w:t>
      </w:r>
      <w:r w:rsidRPr="00910F31">
        <w:t xml:space="preserve"> </w:t>
      </w:r>
      <w:r>
        <w:t>(</w:t>
      </w:r>
      <w:r w:rsidRPr="000D63AE">
        <w:t>2017)</w:t>
      </w:r>
      <w:r w:rsidRPr="00910F31">
        <w:t>,</w:t>
      </w:r>
      <w:r>
        <w:t xml:space="preserve"> 31-64; Zavattero, ‘</w:t>
      </w:r>
      <w:r w:rsidRPr="00426E28">
        <w:t>Estimaverunt Indi: la diffusion d’un texte géomantique condamné</w:t>
      </w:r>
      <w:r w:rsidR="004C40FF">
        <w:t>,</w:t>
      </w:r>
      <w:r>
        <w:t xml:space="preserve">’ in </w:t>
      </w:r>
      <w:r w:rsidRPr="00426E28">
        <w:rPr>
          <w:i/>
          <w:iCs/>
        </w:rPr>
        <w:t>Medioevo: Rivista di storia della filosofia medievale</w:t>
      </w:r>
      <w:r w:rsidRPr="00426E28">
        <w:t>, v. 42 (2017), 57-80.</w:t>
      </w:r>
    </w:p>
  </w:footnote>
  <w:footnote w:id="4">
    <w:p w14:paraId="699DC895" w14:textId="5E4EE2BA" w:rsidR="00030B74" w:rsidRDefault="00030B74" w:rsidP="00030B74">
      <w:pPr>
        <w:pStyle w:val="FootnoteText"/>
        <w:ind w:firstLine="0"/>
      </w:pPr>
      <w:r>
        <w:rPr>
          <w:rStyle w:val="FootnoteReference"/>
        </w:rPr>
        <w:footnoteRef/>
      </w:r>
      <w:bookmarkStart w:id="5" w:name="_Hlk149400047"/>
      <w:r w:rsidR="002C7FE9">
        <w:t xml:space="preserve"> The edition of Moerbeke’s work has been published in two volumes: </w:t>
      </w:r>
      <w:r>
        <w:t xml:space="preserve">Guillelmus de Morbeca,  </w:t>
      </w:r>
      <w:r w:rsidRPr="00B17F07">
        <w:rPr>
          <w:i/>
          <w:iCs/>
        </w:rPr>
        <w:t>Geomantia: I-IV, 4</w:t>
      </w:r>
      <w:r>
        <w:t>, ed. by  E. Rubino</w:t>
      </w:r>
      <w:r w:rsidR="002C7FE9">
        <w:t xml:space="preserve"> [Corpus Philosophorum Medii Aevi Testi e Studi XXVI]</w:t>
      </w:r>
      <w:r>
        <w:t xml:space="preserve"> </w:t>
      </w:r>
      <w:bookmarkEnd w:id="5"/>
      <w:r>
        <w:t>(Florence: Sismel, Edizione del Galluzzo, 2021)</w:t>
      </w:r>
      <w:r w:rsidR="002C7FE9">
        <w:t>; Guillelmus de Morbeca, Geomantia: IV,5-VIII, ed. by E. Rubino [Corpus Philosophorum Medii Aevi Testi e Studi XXVIII] (Florence: Sismel-Edizioni del Galluzzo, 2023).</w:t>
      </w:r>
      <w:r>
        <w:t xml:space="preserve"> See also </w:t>
      </w:r>
      <w:r w:rsidRPr="00910F31">
        <w:t>Elisa Rubino, ‘Per una edizione critica della Geomantia di Guglielmo di Moerbeke. Il testo del proemio e della prima distinzione della prima parte</w:t>
      </w:r>
      <w:r w:rsidR="005D302A">
        <w:t>,</w:t>
      </w:r>
      <w:r w:rsidRPr="00910F31">
        <w:t xml:space="preserve">’ in </w:t>
      </w:r>
      <w:r w:rsidRPr="00910F31">
        <w:rPr>
          <w:i/>
          <w:iCs/>
        </w:rPr>
        <w:t>Geomancy and Other Forms of Divination</w:t>
      </w:r>
      <w:r w:rsidRPr="00910F31">
        <w:t xml:space="preserve"> </w:t>
      </w:r>
      <w:r>
        <w:t>(</w:t>
      </w:r>
      <w:r w:rsidRPr="000D63AE">
        <w:t>2017)</w:t>
      </w:r>
      <w:r w:rsidRPr="00910F31">
        <w:t>, 93-134</w:t>
      </w:r>
      <w:r>
        <w:t xml:space="preserve">; </w:t>
      </w:r>
      <w:r w:rsidRPr="00DF03F0">
        <w:t xml:space="preserve">Rubino, </w:t>
      </w:r>
      <w:r>
        <w:t>‘</w:t>
      </w:r>
      <w:r w:rsidRPr="00DF03F0">
        <w:t xml:space="preserve">Irrtum in geomantischen Wissenschaften. Die </w:t>
      </w:r>
      <w:r w:rsidRPr="00DF03F0">
        <w:rPr>
          <w:i/>
          <w:iCs/>
        </w:rPr>
        <w:t>Geomantia</w:t>
      </w:r>
      <w:r w:rsidRPr="00DF03F0">
        <w:t xml:space="preserve"> des Wilhelm von Moerbeke,</w:t>
      </w:r>
      <w:r>
        <w:t>’</w:t>
      </w:r>
      <w:r w:rsidRPr="00DF03F0">
        <w:t xml:space="preserve"> in </w:t>
      </w:r>
      <w:r w:rsidRPr="00DF03F0">
        <w:rPr>
          <w:i/>
          <w:iCs/>
        </w:rPr>
        <w:t>Miscellanea Mediaevalia</w:t>
      </w:r>
      <w:r>
        <w:t>,</w:t>
      </w:r>
      <w:r w:rsidRPr="00DF03F0">
        <w:t xml:space="preserve"> 40 (2018), 83-93</w:t>
      </w:r>
      <w:r>
        <w:t xml:space="preserve">; </w:t>
      </w:r>
      <w:r w:rsidRPr="000F4CEF">
        <w:t xml:space="preserve">Rubino, </w:t>
      </w:r>
      <w:r>
        <w:t>‘</w:t>
      </w:r>
      <w:r w:rsidRPr="000F4CEF">
        <w:t>An Italian Translation of William of Moerbeke’s Geomancy,</w:t>
      </w:r>
      <w:r>
        <w:t>’</w:t>
      </w:r>
      <w:r w:rsidRPr="000F4CEF">
        <w:t xml:space="preserve"> in </w:t>
      </w:r>
      <w:r w:rsidRPr="000F4CEF">
        <w:rPr>
          <w:i/>
          <w:iCs/>
        </w:rPr>
        <w:t>Medioevo. Rivista di storia della filosofia medievale</w:t>
      </w:r>
      <w:r>
        <w:t>,</w:t>
      </w:r>
      <w:r w:rsidRPr="000F4CEF">
        <w:t xml:space="preserve"> 42 (2019), 81-98</w:t>
      </w:r>
      <w:r>
        <w:t>; Alessandra Beccarisi, ‘Guglielmo di Moerbeke e la divinazione,</w:t>
      </w:r>
      <w:r w:rsidR="005D302A">
        <w:t>’</w:t>
      </w:r>
      <w:r>
        <w:t xml:space="preserve"> in </w:t>
      </w:r>
      <w:r w:rsidRPr="005F3F12">
        <w:rPr>
          <w:i/>
          <w:iCs/>
        </w:rPr>
        <w:t>Geomancy and Other Forms of Divination</w:t>
      </w:r>
      <w:r>
        <w:t xml:space="preserve"> (2017), 371-396; Beccarisi, ‘</w:t>
      </w:r>
      <w:r w:rsidRPr="00666564">
        <w:t xml:space="preserve">Qualche considerazione sulla </w:t>
      </w:r>
      <w:r w:rsidRPr="00666564">
        <w:rPr>
          <w:i/>
          <w:iCs/>
        </w:rPr>
        <w:t>Geomantia</w:t>
      </w:r>
      <w:r w:rsidRPr="00666564">
        <w:t xml:space="preserve"> attribuita a Guglielmo di Moerbeke</w:t>
      </w:r>
      <w:r w:rsidR="005D302A">
        <w:t>,</w:t>
      </w:r>
      <w:r>
        <w:t xml:space="preserve">’ in </w:t>
      </w:r>
      <w:r w:rsidRPr="00666564">
        <w:rPr>
          <w:i/>
          <w:iCs/>
        </w:rPr>
        <w:t>Quaderni di Noctua</w:t>
      </w:r>
      <w:r>
        <w:t>, v. V (2019), 554-603;  Beccarisi, ‘</w:t>
      </w:r>
      <w:r w:rsidRPr="00A54230">
        <w:t>The Geomantic Technique and its Applications</w:t>
      </w:r>
      <w:r w:rsidR="00825719">
        <w:t>,</w:t>
      </w:r>
      <w:r>
        <w:t xml:space="preserve">’ in </w:t>
      </w:r>
      <w:r w:rsidRPr="008C3CF0">
        <w:rPr>
          <w:i/>
          <w:iCs/>
        </w:rPr>
        <w:t>Quaestio 19. Stars, Kingdoms, Beliefs and Masses. Political Astrology in the Mediterranean Area from Middle Ages to the Renaissance = Le stelle, I regni, le credenze e le masse. L’astrologia politica nel Mediterraneo tra Medioevo e Rinascimento</w:t>
      </w:r>
      <w:r w:rsidRPr="00404E47">
        <w:t xml:space="preserve"> (Turnhout: Brepols, 2019),</w:t>
      </w:r>
      <w:r>
        <w:t xml:space="preserve"> 205-226; Beccarisi, ‘</w:t>
      </w:r>
      <w:r w:rsidRPr="00901C0F">
        <w:t>Guglielmo di Moerbeke e la Geomanzia</w:t>
      </w:r>
      <w:r>
        <w:t xml:space="preserve">’ in </w:t>
      </w:r>
      <w:r w:rsidRPr="00901C0F">
        <w:t>Guillelmus de Morbeca</w:t>
      </w:r>
      <w:r>
        <w:t>,</w:t>
      </w:r>
      <w:r w:rsidRPr="004C0299">
        <w:rPr>
          <w:i/>
          <w:iCs/>
        </w:rPr>
        <w:t xml:space="preserve">  Geomantia : I-IV, 4,</w:t>
      </w:r>
      <w:r w:rsidRPr="00901C0F">
        <w:t xml:space="preserve"> ed. by  E. Rubino</w:t>
      </w:r>
      <w:r>
        <w:t xml:space="preserve"> (2021), 7-58.</w:t>
      </w:r>
    </w:p>
  </w:footnote>
  <w:footnote w:id="5">
    <w:p w14:paraId="6524ECE5" w14:textId="0C0988A6" w:rsidR="00030B74" w:rsidRDefault="00030B74" w:rsidP="00030B74">
      <w:pPr>
        <w:pStyle w:val="FootnoteText"/>
        <w:ind w:firstLine="0"/>
      </w:pPr>
      <w:r>
        <w:rPr>
          <w:rStyle w:val="FootnoteReference"/>
        </w:rPr>
        <w:footnoteRef/>
      </w:r>
      <w:r>
        <w:t xml:space="preserve">  Pasquale </w:t>
      </w:r>
      <w:r w:rsidRPr="00404E47">
        <w:t>Arfé, ‘L’Ars geomantiae di Ugo di Santalla. Il testo e la sua tradizione</w:t>
      </w:r>
      <w:r w:rsidR="00C450A2">
        <w:t>,</w:t>
      </w:r>
      <w:r w:rsidRPr="00404E47">
        <w:t xml:space="preserve">’ </w:t>
      </w:r>
      <w:r w:rsidRPr="000D63AE">
        <w:t xml:space="preserve">in </w:t>
      </w:r>
      <w:r w:rsidRPr="000D63AE">
        <w:rPr>
          <w:i/>
          <w:iCs/>
        </w:rPr>
        <w:t>Geomancy and Other Forms of Divination</w:t>
      </w:r>
      <w:r w:rsidRPr="000D63AE">
        <w:t xml:space="preserve"> </w:t>
      </w:r>
      <w:r>
        <w:t>(</w:t>
      </w:r>
      <w:r w:rsidRPr="000D63AE">
        <w:t>2017),</w:t>
      </w:r>
      <w:r w:rsidRPr="00404E47">
        <w:t xml:space="preserve"> 65-91; </w:t>
      </w:r>
      <w:bookmarkStart w:id="6" w:name="_Hlk149399242"/>
      <w:r w:rsidRPr="00404E47">
        <w:t>Arfé</w:t>
      </w:r>
      <w:r>
        <w:t>, ‘</w:t>
      </w:r>
      <w:r w:rsidRPr="00404E47">
        <w:t xml:space="preserve">Le dimore delle stelle nel </w:t>
      </w:r>
      <w:r w:rsidRPr="00404E47">
        <w:rPr>
          <w:i/>
          <w:iCs/>
        </w:rPr>
        <w:t>Prologus super Artem geomantiae</w:t>
      </w:r>
      <w:r w:rsidRPr="00404E47">
        <w:t xml:space="preserve"> di Ugo di Santalla,</w:t>
      </w:r>
      <w:r>
        <w:t>’</w:t>
      </w:r>
      <w:r w:rsidRPr="00404E47">
        <w:t xml:space="preserve"> in </w:t>
      </w:r>
      <w:r w:rsidRPr="00404E47">
        <w:rPr>
          <w:i/>
          <w:iCs/>
        </w:rPr>
        <w:t>Labor Limae. Atti in onore di Carmela Baffioni</w:t>
      </w:r>
      <w:r w:rsidRPr="00404E47">
        <w:t xml:space="preserve">, </w:t>
      </w:r>
      <w:r>
        <w:t xml:space="preserve">ed. by </w:t>
      </w:r>
      <w:r w:rsidRPr="00404E47">
        <w:t>A. Straface</w:t>
      </w:r>
      <w:r>
        <w:t>,</w:t>
      </w:r>
      <w:r w:rsidRPr="00404E47">
        <w:t xml:space="preserve"> C. De Angelo</w:t>
      </w:r>
      <w:r>
        <w:t>,</w:t>
      </w:r>
      <w:r w:rsidRPr="00404E47">
        <w:t xml:space="preserve"> A. Manzo </w:t>
      </w:r>
      <w:r>
        <w:t>[</w:t>
      </w:r>
      <w:r w:rsidRPr="00404E47">
        <w:t>Studi Maġrebini, NS voll XII-XIII</w:t>
      </w:r>
      <w:r>
        <w:t>]</w:t>
      </w:r>
      <w:r w:rsidRPr="00404E47">
        <w:t xml:space="preserve"> (2014-2015), tom</w:t>
      </w:r>
      <w:r>
        <w:t>e</w:t>
      </w:r>
      <w:r w:rsidRPr="00404E47">
        <w:t xml:space="preserve"> I, 41-72</w:t>
      </w:r>
      <w:bookmarkEnd w:id="6"/>
      <w:r w:rsidRPr="00404E47">
        <w:t xml:space="preserve">; Arfé, ‘Attorno all’edizione </w:t>
      </w:r>
      <w:r w:rsidRPr="008C3CF0">
        <w:t>dell’</w:t>
      </w:r>
      <w:r w:rsidRPr="008C3CF0">
        <w:rPr>
          <w:i/>
          <w:iCs/>
        </w:rPr>
        <w:t>Ars geomantiae</w:t>
      </w:r>
      <w:r w:rsidRPr="00404E47">
        <w:t>: le fonti esplicite e implicite</w:t>
      </w:r>
      <w:r w:rsidR="004E71C2">
        <w:t>,</w:t>
      </w:r>
      <w:r w:rsidRPr="00404E47">
        <w:t xml:space="preserve">’ in </w:t>
      </w:r>
      <w:r w:rsidRPr="008C3CF0">
        <w:rPr>
          <w:i/>
          <w:iCs/>
        </w:rPr>
        <w:t xml:space="preserve">Quaestio 19. Stars, Kingdoms, Beliefs and Masses </w:t>
      </w:r>
      <w:r>
        <w:t>(</w:t>
      </w:r>
      <w:r w:rsidRPr="00404E47">
        <w:t>2019), 101-128.</w:t>
      </w:r>
    </w:p>
  </w:footnote>
  <w:footnote w:id="6">
    <w:p w14:paraId="54A0F531" w14:textId="77777777" w:rsidR="00030B74" w:rsidRDefault="00030B74" w:rsidP="00030B74">
      <w:pPr>
        <w:pStyle w:val="FootnoteText"/>
        <w:ind w:firstLine="0"/>
      </w:pPr>
      <w:r>
        <w:rPr>
          <w:rStyle w:val="FootnoteReference"/>
        </w:rPr>
        <w:footnoteRef/>
      </w:r>
      <w:r>
        <w:t xml:space="preserve"> </w:t>
      </w:r>
      <w:r w:rsidRPr="00B95E5B">
        <w:rPr>
          <w:i/>
          <w:iCs/>
        </w:rPr>
        <w:t xml:space="preserve">Geomancy and Other Forms of Divination </w:t>
      </w:r>
      <w:r w:rsidRPr="003B0897">
        <w:t>ed. by A. Palazzo and I. Zavattero [Micrologus Library, 87] (Florence: Sismel-Edizioni del Galluzzo, 2017)</w:t>
      </w:r>
      <w:r>
        <w:t>.</w:t>
      </w:r>
    </w:p>
  </w:footnote>
  <w:footnote w:id="7">
    <w:p w14:paraId="3DEB3723" w14:textId="059F7E96" w:rsidR="00030B74" w:rsidRDefault="00030B74" w:rsidP="00030B74">
      <w:pPr>
        <w:pStyle w:val="FootnoteText"/>
        <w:ind w:firstLine="0"/>
      </w:pPr>
      <w:r>
        <w:rPr>
          <w:rStyle w:val="FootnoteReference"/>
        </w:rPr>
        <w:footnoteRef/>
      </w:r>
      <w:r>
        <w:t xml:space="preserve">  </w:t>
      </w:r>
      <w:r w:rsidRPr="000D63AE">
        <w:t>Charles Burnett, ‘Hermetic Geomancy, «Ratione Certis Expe</w:t>
      </w:r>
      <w:r w:rsidR="00302F57">
        <w:t>r</w:t>
      </w:r>
      <w:r w:rsidRPr="000D63AE">
        <w:t>imentis Usitata»</w:t>
      </w:r>
      <w:r w:rsidR="004E71C2">
        <w:t>,</w:t>
      </w:r>
      <w:r w:rsidRPr="000D63AE">
        <w:t xml:space="preserve">’ in </w:t>
      </w:r>
      <w:r w:rsidRPr="000D63AE">
        <w:rPr>
          <w:i/>
          <w:iCs/>
        </w:rPr>
        <w:t>Geomancy and Other Forms of Divination</w:t>
      </w:r>
      <w:r w:rsidRPr="000D63AE">
        <w:t xml:space="preserve"> </w:t>
      </w:r>
      <w:r>
        <w:t>(</w:t>
      </w:r>
      <w:r w:rsidRPr="000D63AE">
        <w:t>2017), 135-141</w:t>
      </w:r>
      <w:r>
        <w:t>.</w:t>
      </w:r>
    </w:p>
  </w:footnote>
  <w:footnote w:id="8">
    <w:p w14:paraId="03AF077F" w14:textId="2DF6560A" w:rsidR="00030B74" w:rsidRPr="00F576F3" w:rsidRDefault="00030B74" w:rsidP="00030B74">
      <w:pPr>
        <w:pStyle w:val="FootnoteText"/>
        <w:ind w:firstLine="0"/>
      </w:pPr>
      <w:r>
        <w:rPr>
          <w:rStyle w:val="FootnoteReference"/>
        </w:rPr>
        <w:footnoteRef/>
      </w:r>
      <w:r>
        <w:t xml:space="preserve"> Blanca Villuendas Sabatè, ‘</w:t>
      </w:r>
      <w:r w:rsidRPr="00FA2D63">
        <w:t>Arabic Geomancy in Jewish hands: Specimens from the Cairo Genizah</w:t>
      </w:r>
      <w:r>
        <w:t xml:space="preserve">,’ in </w:t>
      </w:r>
      <w:r w:rsidRPr="00B95E5B">
        <w:rPr>
          <w:i/>
          <w:iCs/>
        </w:rPr>
        <w:t>Geomancy and Other Forms of Divination</w:t>
      </w:r>
      <w:r>
        <w:rPr>
          <w:i/>
          <w:iCs/>
        </w:rPr>
        <w:t xml:space="preserve"> </w:t>
      </w:r>
      <w:r w:rsidRPr="00FA2D63">
        <w:t>(2017),</w:t>
      </w:r>
      <w:r>
        <w:rPr>
          <w:i/>
          <w:iCs/>
        </w:rPr>
        <w:t xml:space="preserve"> </w:t>
      </w:r>
      <w:r>
        <w:t>271-288; see also the monograph Villuendas Sabatè,</w:t>
      </w:r>
      <w:r w:rsidRPr="00F576F3">
        <w:t xml:space="preserve"> </w:t>
      </w:r>
      <w:r w:rsidRPr="00F576F3">
        <w:rPr>
          <w:i/>
          <w:iCs/>
        </w:rPr>
        <w:t>La geomancia en los manuscritos judeo-árabes de la Gueniza de El Cairo</w:t>
      </w:r>
      <w:r>
        <w:rPr>
          <w:i/>
          <w:iCs/>
        </w:rPr>
        <w:t xml:space="preserve"> </w:t>
      </w:r>
      <w:r>
        <w:t>(</w:t>
      </w:r>
      <w:r w:rsidRPr="00F576F3">
        <w:t>Córdoba: CNERU-CSIC, 2015</w:t>
      </w:r>
      <w:r>
        <w:t>).</w:t>
      </w:r>
    </w:p>
  </w:footnote>
  <w:footnote w:id="9">
    <w:p w14:paraId="6CBF3514" w14:textId="77777777" w:rsidR="00030B74" w:rsidRDefault="00030B74" w:rsidP="00030B74">
      <w:pPr>
        <w:pStyle w:val="FootnoteText"/>
        <w:ind w:firstLine="0"/>
      </w:pPr>
      <w:r>
        <w:rPr>
          <w:rStyle w:val="FootnoteReference"/>
        </w:rPr>
        <w:footnoteRef/>
      </w:r>
      <w:r>
        <w:t xml:space="preserve"> Pasquale Porro, ‘Divinazione e geomanzia in Tommaso d’Aquino: qualche osservazione sul </w:t>
      </w:r>
      <w:r w:rsidRPr="00A17C83">
        <w:rPr>
          <w:i/>
          <w:iCs/>
        </w:rPr>
        <w:t>De</w:t>
      </w:r>
      <w:r>
        <w:t xml:space="preserve"> </w:t>
      </w:r>
      <w:r w:rsidRPr="00A17C83">
        <w:rPr>
          <w:i/>
          <w:iCs/>
        </w:rPr>
        <w:t>sortibus</w:t>
      </w:r>
      <w:r w:rsidRPr="004E71C2">
        <w:t>,</w:t>
      </w:r>
      <w:r w:rsidRPr="00A17C83">
        <w:t>’</w:t>
      </w:r>
      <w:r>
        <w:t xml:space="preserve"> in </w:t>
      </w:r>
      <w:r w:rsidRPr="000D63AE">
        <w:rPr>
          <w:i/>
          <w:iCs/>
        </w:rPr>
        <w:t>Geomancy and Other Forms of Divination</w:t>
      </w:r>
      <w:r w:rsidRPr="000D63AE">
        <w:t xml:space="preserve"> </w:t>
      </w:r>
      <w:r>
        <w:t>(</w:t>
      </w:r>
      <w:r w:rsidRPr="000D63AE">
        <w:t>2017),</w:t>
      </w:r>
      <w:r>
        <w:t xml:space="preserve"> 144-166.</w:t>
      </w:r>
    </w:p>
  </w:footnote>
  <w:footnote w:id="10">
    <w:p w14:paraId="2A8767CF" w14:textId="22B14BE2" w:rsidR="006F6E65" w:rsidRDefault="006F6E65" w:rsidP="006F6E65">
      <w:pPr>
        <w:pStyle w:val="FootnoteText"/>
        <w:ind w:firstLine="0"/>
      </w:pPr>
      <w:r>
        <w:rPr>
          <w:rStyle w:val="FootnoteReference"/>
        </w:rPr>
        <w:footnoteRef/>
      </w:r>
      <w:r>
        <w:t xml:space="preserve"> Eugenio Garin, </w:t>
      </w:r>
      <w:r w:rsidRPr="006F6E65">
        <w:rPr>
          <w:i/>
          <w:iCs/>
        </w:rPr>
        <w:t>Lo zodiaco della vita. La polemica sull’astrologia dal Trecento al Cinquecento</w:t>
      </w:r>
      <w:r w:rsidRPr="006F6E65">
        <w:t xml:space="preserve"> </w:t>
      </w:r>
      <w:r>
        <w:t>(Rome-</w:t>
      </w:r>
      <w:r w:rsidRPr="006F6E65">
        <w:t>Bari</w:t>
      </w:r>
      <w:r>
        <w:t>: Editori Laterza,</w:t>
      </w:r>
      <w:r w:rsidRPr="006F6E65">
        <w:t xml:space="preserve"> 2007</w:t>
      </w:r>
      <w:r>
        <w:t>)</w:t>
      </w:r>
      <w:r w:rsidRPr="006F6E65">
        <w:t xml:space="preserve"> (1st ed. 1976), 38- 40: “Senonché il nodo più complicato di questioni emerge là dove il momento teorico del conoscere la sorte sembra scontrarsi proprio con l’ipotesi di tecniche atte a sfuggire la sorte. O quando, prima ancora, sembra apparire quale elemento fondamentale della tecnica del prevedere, non solamente la situazione del cielo, ma anche il gioco profondo dei sentimenti e dei moti dell’animo umano. Proprio nel De fato il Salutati, infatti, si trova a un certo punto a dover fare i conti con la geomanzia, e con i suoi rapporti con l’astrologia. […] In realtà nella geomanzia, più ancora che nelle ‘interrogazioni’ in generale, emergono nell’ambito dell’astrologia divinatrice elementi molto diversi, mentre influssi celesti e reazioni psichiche profonde si intrecciano fra loro. Il segno del cielo può essere letto, oltre che nel libro delle stelle, nei riflessi che gli influssi celesti determinano all’interno dell’individuo umano. Proprio l’influenza astrale, iscrivendosi nel profondo dell’uomo, e plasmandolo, fa dell’uomo una pagina rivelatrice della disposizione delle stelle, solo che si sappia decifrare quanto si agita oltre la soglia della volontà consapevole.”</w:t>
      </w:r>
    </w:p>
  </w:footnote>
  <w:footnote w:id="11">
    <w:p w14:paraId="3F7946BA" w14:textId="31C78B39" w:rsidR="00F5599D" w:rsidRDefault="00F5599D" w:rsidP="00F5599D">
      <w:pPr>
        <w:pStyle w:val="FootnoteText"/>
        <w:ind w:firstLine="0"/>
      </w:pPr>
      <w:r>
        <w:rPr>
          <w:rStyle w:val="FootnoteReference"/>
        </w:rPr>
        <w:footnoteRef/>
      </w:r>
      <w:r>
        <w:t xml:space="preserve"> </w:t>
      </w:r>
      <w:r w:rsidRPr="00F5599D">
        <w:t xml:space="preserve">Naming a few, Thérèse Charmasson’s </w:t>
      </w:r>
      <w:r>
        <w:t>monograph</w:t>
      </w:r>
      <w:r w:rsidRPr="00F5599D">
        <w:t xml:space="preserve"> </w:t>
      </w:r>
      <w:r w:rsidRPr="00F5599D">
        <w:rPr>
          <w:i/>
          <w:iCs/>
        </w:rPr>
        <w:t>Recherches sur une techique divinatoire</w:t>
      </w:r>
      <w:r w:rsidRPr="00F5599D">
        <w:t xml:space="preserve"> (1980) explores the various astrological correspondence imbued in the significations of the sixteen geomantic figures.  Moreover, Charmasson coins the term ‘astrological geomancy’ (géomancie astrologique) to categorise a group of geomantic texts from the Middle Ages and the Renaissance that present a stronger connection with astrology, in regard to the methodology used to draw predictions;  the study authored by Emilie Savage-Smith and Marion B. Smith on a thirteenth-century Islamic metal divinatory device has delved into the relationship between the geomantic figures and the twenty-eight asterisms of the lunar mansions, that supported the medieval belief of a correspondence between the patterns drawn by geomancers with specific astral configurations</w:t>
      </w:r>
      <w:r w:rsidR="00A17B21">
        <w:t xml:space="preserve">. See </w:t>
      </w:r>
      <w:r w:rsidR="00A17B21" w:rsidRPr="00A17B21">
        <w:t>E</w:t>
      </w:r>
      <w:r w:rsidR="00A17B21">
        <w:t>milie</w:t>
      </w:r>
      <w:r w:rsidR="00A17B21" w:rsidRPr="00A17B21">
        <w:t xml:space="preserve"> Savage-Smith, M</w:t>
      </w:r>
      <w:r w:rsidR="00A17B21">
        <w:t xml:space="preserve">arion </w:t>
      </w:r>
      <w:r w:rsidR="00A17B21" w:rsidRPr="00A17B21">
        <w:t xml:space="preserve">B. Smith, </w:t>
      </w:r>
      <w:r w:rsidR="00A17B21" w:rsidRPr="00A17B21">
        <w:rPr>
          <w:i/>
          <w:iCs/>
        </w:rPr>
        <w:t>Islamic Geomancy and a Thirteenth-Century Divinatory Device</w:t>
      </w:r>
      <w:r w:rsidR="00A17B21" w:rsidRPr="00A17B21">
        <w:t xml:space="preserve"> </w:t>
      </w:r>
      <w:r w:rsidR="00A17B21">
        <w:t>(</w:t>
      </w:r>
      <w:r w:rsidR="00A17B21" w:rsidRPr="00A17B21">
        <w:t>Malibu</w:t>
      </w:r>
      <w:r w:rsidR="00A17B21">
        <w:t>:</w:t>
      </w:r>
      <w:r w:rsidR="00A17B21" w:rsidRPr="00A17B21">
        <w:t xml:space="preserve"> </w:t>
      </w:r>
      <w:r w:rsidR="00A17B21">
        <w:t>Undena Press,</w:t>
      </w:r>
      <w:r w:rsidR="00A17B21" w:rsidRPr="00A17B21">
        <w:t>1980</w:t>
      </w:r>
      <w:r w:rsidR="00A17B21">
        <w:t>)</w:t>
      </w:r>
      <w:r w:rsidRPr="00F5599D">
        <w:t xml:space="preserve">; Wim van Binsbergen </w:t>
      </w:r>
      <w:r>
        <w:t>has attempted</w:t>
      </w:r>
      <w:r w:rsidRPr="00F5599D">
        <w:t xml:space="preserve"> to establish the astrological nature of the nomenclature of the sixteen geomantic figures</w:t>
      </w:r>
      <w:r>
        <w:t xml:space="preserve"> in his article ‘</w:t>
      </w:r>
      <w:r w:rsidRPr="00F5599D">
        <w:t>The astrological origin of Islamic geomancy,</w:t>
      </w:r>
      <w:r>
        <w:t>’</w:t>
      </w:r>
      <w:r w:rsidRPr="00F5599D">
        <w:t xml:space="preserve"> Paper read at: The SSIPS (Society for the Study of Islamic Philosophy and Science) – SAGP (Society of Ancient Greek Philosophy) 1996, 15th Annual Conference: Global and Multicultural Dimensions of Ancient and Medieval Philosophy and Social Thought, 1997 (unpublished), 1-63: 39-54;  more recently, Alessandro Palazzo has investigated the connection between geomancy and astrology as expressed in various Latin geomantic works, with particular emphasis on the treatise </w:t>
      </w:r>
      <w:r w:rsidRPr="00F5599D">
        <w:rPr>
          <w:i/>
          <w:iCs/>
        </w:rPr>
        <w:t>Estimaverunt Indi</w:t>
      </w:r>
      <w:r>
        <w:t xml:space="preserve"> in his article ‘</w:t>
      </w:r>
      <w:r w:rsidRPr="00F5599D">
        <w:rPr>
          <w:i/>
          <w:iCs/>
        </w:rPr>
        <w:t>Et ego quidem nunc fabricando circulum</w:t>
      </w:r>
      <w:r w:rsidRPr="00F5599D">
        <w:t xml:space="preserve">. Images and Diagrams in the Geomantic Treatise </w:t>
      </w:r>
      <w:r w:rsidRPr="00F5599D">
        <w:rPr>
          <w:i/>
          <w:iCs/>
        </w:rPr>
        <w:t>Estimaverunt Indi</w:t>
      </w:r>
      <w:r w:rsidRPr="00F5599D">
        <w:t>’,133-172: 167-171.</w:t>
      </w:r>
    </w:p>
  </w:footnote>
  <w:footnote w:id="12">
    <w:p w14:paraId="62EB1CBA" w14:textId="77777777" w:rsidR="00030B74" w:rsidRDefault="00030B74" w:rsidP="00030B74">
      <w:pPr>
        <w:pStyle w:val="FootnoteText"/>
        <w:ind w:firstLine="0"/>
      </w:pPr>
      <w:r>
        <w:rPr>
          <w:rStyle w:val="FootnoteReference"/>
        </w:rPr>
        <w:footnoteRef/>
      </w:r>
      <w:r>
        <w:t xml:space="preserve"> Palazzo, ‘</w:t>
      </w:r>
      <w:r w:rsidRPr="001D65C8">
        <w:t>Dibattiti filosofici e scientifici sulla geomanzia nel medioevo latino</w:t>
      </w:r>
      <w:r>
        <w:t>’</w:t>
      </w:r>
      <w:r w:rsidRPr="001D65C8">
        <w:t xml:space="preserve"> (2019), 31-56</w:t>
      </w:r>
      <w:r>
        <w:t>.</w:t>
      </w:r>
    </w:p>
  </w:footnote>
  <w:footnote w:id="13">
    <w:p w14:paraId="7A88C9E0" w14:textId="77777777" w:rsidR="0085776D" w:rsidRDefault="0085776D" w:rsidP="0085776D">
      <w:pPr>
        <w:pStyle w:val="FootnoteText"/>
        <w:ind w:firstLine="0"/>
      </w:pPr>
      <w:r>
        <w:rPr>
          <w:rStyle w:val="FootnoteReference"/>
        </w:rPr>
        <w:footnoteRef/>
      </w:r>
      <w:r>
        <w:t xml:space="preserve"> Knut Graw, ‘Locating </w:t>
      </w:r>
      <w:r w:rsidRPr="003C18BB">
        <w:rPr>
          <w:i/>
          <w:iCs/>
        </w:rPr>
        <w:t>Nganiyo</w:t>
      </w:r>
      <w:r>
        <w:t xml:space="preserve">: Divination as Intentional Space’, in </w:t>
      </w:r>
      <w:r w:rsidRPr="00DC4208">
        <w:rPr>
          <w:i/>
          <w:iCs/>
        </w:rPr>
        <w:t>Journal of Religion in Africa</w:t>
      </w:r>
      <w:r>
        <w:t xml:space="preserve">, 36.1 (2006), 78-119; Graw, ‘Beyond Expertise: Reflections on Specialist Agency and the Autonomy of the Divinatory Ritual Process’, in </w:t>
      </w:r>
      <w:r w:rsidRPr="007B464A">
        <w:rPr>
          <w:i/>
          <w:iCs/>
        </w:rPr>
        <w:t>Africa: Journal of the International African Institute</w:t>
      </w:r>
      <w:r>
        <w:t xml:space="preserve">, </w:t>
      </w:r>
      <w:r w:rsidRPr="007B464A">
        <w:rPr>
          <w:i/>
          <w:iCs/>
        </w:rPr>
        <w:t>Knowledge in Practice: Expertise and the Transmission of Knowledge</w:t>
      </w:r>
      <w:r>
        <w:t xml:space="preserve">, 79, 1 (2009), 92-109; Graw, ‘Divination and Islam. Existential Perspectives in the Study of Ritual and Religious Praxis in Senegal and Gambia’, in </w:t>
      </w:r>
      <w:r w:rsidRPr="007B464A">
        <w:rPr>
          <w:i/>
          <w:iCs/>
        </w:rPr>
        <w:t>Ordinary Lives and Grand Schemes: an Anthropology of Everyday Religion,</w:t>
      </w:r>
      <w:r>
        <w:t xml:space="preserve"> ed. by S. Schielke and L. Debevec (New York-London: Berhahn, 2012), 17-32.</w:t>
      </w:r>
    </w:p>
  </w:footnote>
  <w:footnote w:id="14">
    <w:p w14:paraId="6CB5947A" w14:textId="77777777" w:rsidR="0085776D" w:rsidRPr="00D212C9" w:rsidRDefault="0085776D" w:rsidP="0085776D">
      <w:pPr>
        <w:pStyle w:val="FootnoteText"/>
        <w:ind w:firstLine="0"/>
      </w:pPr>
      <w:r>
        <w:rPr>
          <w:rStyle w:val="FootnoteReference"/>
        </w:rPr>
        <w:footnoteRef/>
      </w:r>
      <w:r>
        <w:t xml:space="preserve"> Graw, ‘Locating </w:t>
      </w:r>
      <w:r w:rsidRPr="003C18BB">
        <w:rPr>
          <w:i/>
          <w:iCs/>
        </w:rPr>
        <w:t>Nganiyo</w:t>
      </w:r>
      <w:r w:rsidRPr="00340F04">
        <w:t>,’</w:t>
      </w:r>
      <w:r>
        <w:t xml:space="preserve"> 78.</w:t>
      </w:r>
    </w:p>
  </w:footnote>
  <w:footnote w:id="15">
    <w:p w14:paraId="0D0E0123" w14:textId="6D91E166" w:rsidR="0085776D" w:rsidRDefault="0085776D" w:rsidP="0085776D">
      <w:pPr>
        <w:pStyle w:val="FootnoteText"/>
        <w:ind w:firstLine="0"/>
      </w:pPr>
      <w:r>
        <w:rPr>
          <w:rStyle w:val="FootnoteReference"/>
        </w:rPr>
        <w:footnoteRef/>
      </w:r>
      <w:r>
        <w:t xml:space="preserve"> Graw, ‘Locating </w:t>
      </w:r>
      <w:r w:rsidRPr="003C18BB">
        <w:rPr>
          <w:i/>
          <w:iCs/>
        </w:rPr>
        <w:t>Nganiyo</w:t>
      </w:r>
      <w:r>
        <w:t xml:space="preserve">,’ 80. </w:t>
      </w:r>
    </w:p>
  </w:footnote>
  <w:footnote w:id="16">
    <w:p w14:paraId="6D4E5615" w14:textId="77777777" w:rsidR="0085776D" w:rsidRDefault="0085776D" w:rsidP="0085776D">
      <w:pPr>
        <w:pStyle w:val="FootnoteText"/>
        <w:ind w:firstLine="0"/>
      </w:pPr>
      <w:r>
        <w:rPr>
          <w:rStyle w:val="FootnoteReference"/>
        </w:rPr>
        <w:footnoteRef/>
      </w:r>
      <w:r>
        <w:t xml:space="preserve"> Graw, ‘Divination and Islam,’ 24.</w:t>
      </w:r>
    </w:p>
  </w:footnote>
  <w:footnote w:id="17">
    <w:p w14:paraId="0EA4D8FB" w14:textId="6C08B56E" w:rsidR="001C3CC4" w:rsidRDefault="001C3CC4" w:rsidP="001C3CC4">
      <w:pPr>
        <w:pStyle w:val="FootnoteText"/>
        <w:ind w:firstLine="0"/>
      </w:pPr>
      <w:r>
        <w:rPr>
          <w:rStyle w:val="FootnoteReference"/>
        </w:rPr>
        <w:footnoteRef/>
      </w:r>
      <w:r>
        <w:t xml:space="preserve"> Graw, ‘Locating </w:t>
      </w:r>
      <w:r w:rsidRPr="003C18BB">
        <w:rPr>
          <w:i/>
          <w:iCs/>
        </w:rPr>
        <w:t>Nganiyo</w:t>
      </w:r>
      <w:r>
        <w:t>,’ 103-104: “</w:t>
      </w:r>
      <w:r w:rsidRPr="00F44523">
        <w:t>The heart, that is the human being, [that] what a person thinks, [another] person’s thought cannot reach there ... That what the heart is concerned with, it is far away (i.e. located deeper within the person). The thought of the heart is further away ... If you wish to think about (contemplate) God, [it is] the heart that goes there ... The mind does not go far. It (the mind) rests in the body, the heart goes [further</w:t>
      </w:r>
      <w:r>
        <w:t xml:space="preserve">].” </w:t>
      </w:r>
    </w:p>
  </w:footnote>
  <w:footnote w:id="18">
    <w:p w14:paraId="35913AC7" w14:textId="3E596EED" w:rsidR="00EE539F" w:rsidRDefault="00EE539F" w:rsidP="00EE539F">
      <w:pPr>
        <w:pStyle w:val="FootnoteText"/>
        <w:ind w:firstLine="0"/>
      </w:pPr>
      <w:r>
        <w:rPr>
          <w:rStyle w:val="FootnoteReference"/>
        </w:rPr>
        <w:footnoteRef/>
      </w:r>
      <w:r>
        <w:t xml:space="preserve"> The main accounts of geomancy’s disputed legitimacy </w:t>
      </w:r>
      <w:r w:rsidR="00112182">
        <w:t>are found in Palazzo,</w:t>
      </w:r>
      <w:r>
        <w:t xml:space="preserve"> </w:t>
      </w:r>
      <w:r w:rsidR="00112182">
        <w:t>‘</w:t>
      </w:r>
      <w:r w:rsidR="00112182" w:rsidRPr="00112182">
        <w:t>L’</w:t>
      </w:r>
      <w:r w:rsidR="00112182" w:rsidRPr="00112182">
        <w:rPr>
          <w:i/>
          <w:iCs/>
        </w:rPr>
        <w:t xml:space="preserve">Estimaverunt Indi </w:t>
      </w:r>
      <w:r w:rsidR="00112182" w:rsidRPr="00112182">
        <w:t>e la condanna del 1277,</w:t>
      </w:r>
      <w:r w:rsidR="00112182">
        <w:t>’</w:t>
      </w:r>
      <w:r w:rsidR="00112182" w:rsidRPr="00112182">
        <w:t xml:space="preserve"> 167-221;</w:t>
      </w:r>
      <w:r w:rsidR="00112182">
        <w:t xml:space="preserve"> and Charmasson, </w:t>
      </w:r>
      <w:r w:rsidR="00112182" w:rsidRPr="00112182">
        <w:rPr>
          <w:i/>
          <w:iCs/>
        </w:rPr>
        <w:t>Recherches sur une technique divinatoire</w:t>
      </w:r>
      <w:r w:rsidR="00112182">
        <w:t>, 257-266.</w:t>
      </w:r>
    </w:p>
  </w:footnote>
  <w:footnote w:id="19">
    <w:p w14:paraId="01CBE962" w14:textId="58D6B6FE" w:rsidR="00030B74" w:rsidRPr="008915C5" w:rsidRDefault="00030B74" w:rsidP="00030B74">
      <w:pPr>
        <w:pStyle w:val="FootnoteText"/>
        <w:ind w:firstLine="0"/>
      </w:pPr>
      <w:r>
        <w:rPr>
          <w:rStyle w:val="FootnoteReference"/>
        </w:rPr>
        <w:footnoteRef/>
      </w:r>
      <w:r>
        <w:t xml:space="preserve"> </w:t>
      </w:r>
      <w:r w:rsidRPr="00BC1E69">
        <w:t xml:space="preserve">Charmasson, </w:t>
      </w:r>
      <w:r w:rsidRPr="00BC1E69">
        <w:rPr>
          <w:i/>
          <w:iCs/>
        </w:rPr>
        <w:t>Recherches sur une technique divinatoire</w:t>
      </w:r>
      <w:r w:rsidR="003D1DD4">
        <w:rPr>
          <w:i/>
          <w:iCs/>
        </w:rPr>
        <w:t xml:space="preserve">, </w:t>
      </w:r>
      <w:r w:rsidR="003D1DD4">
        <w:t>217-</w:t>
      </w:r>
      <w:r w:rsidR="00750CC9">
        <w:t>223</w:t>
      </w:r>
      <w:r>
        <w:t>.</w:t>
      </w:r>
    </w:p>
  </w:footnote>
  <w:footnote w:id="20">
    <w:p w14:paraId="06C5066F" w14:textId="32D50F79" w:rsidR="00030B74" w:rsidRDefault="00030B74" w:rsidP="00030B74">
      <w:pPr>
        <w:pStyle w:val="FootnoteText"/>
        <w:ind w:firstLine="0"/>
      </w:pPr>
      <w:r>
        <w:rPr>
          <w:rStyle w:val="FootnoteReference"/>
        </w:rPr>
        <w:footnoteRef/>
      </w:r>
      <w:r>
        <w:t xml:space="preserve"> </w:t>
      </w:r>
      <w:r w:rsidRPr="005B2E53">
        <w:t>Wim van Binsbergen</w:t>
      </w:r>
      <w:r>
        <w:t>,</w:t>
      </w:r>
      <w:r w:rsidRPr="005B2E53">
        <w:t xml:space="preserve"> </w:t>
      </w:r>
      <w:r>
        <w:t>‘</w:t>
      </w:r>
      <w:r w:rsidRPr="005B2E53">
        <w:t>The astrological origin of Islamic geomancy</w:t>
      </w:r>
      <w:r>
        <w:t xml:space="preserve">,’ paper </w:t>
      </w:r>
      <w:r w:rsidRPr="005B2E53">
        <w:t>read at The SSIPS/ SAGP 1996, 15th Annual Conference: ‘Global and Multicultural</w:t>
      </w:r>
      <w:r w:rsidR="00731490">
        <w:t xml:space="preserve"> </w:t>
      </w:r>
      <w:r w:rsidRPr="005B2E53">
        <w:t xml:space="preserve">Dimensions of Ancient and Medieval Philosophy and Social Thought: Africana, Christian, Greek,Islamic, Jewish, Indigenous and Asian Traditions’ </w:t>
      </w:r>
      <w:r w:rsidR="0014763C">
        <w:t>(</w:t>
      </w:r>
      <w:r w:rsidRPr="005B2E53">
        <w:t>Binghamton University,</w:t>
      </w:r>
      <w:r>
        <w:t xml:space="preserve"> </w:t>
      </w:r>
      <w:r w:rsidRPr="005B2E53">
        <w:t>October 1996</w:t>
      </w:r>
      <w:r w:rsidR="0014763C">
        <w:t>)</w:t>
      </w:r>
      <w:r w:rsidRPr="005B2E53">
        <w:t>.</w:t>
      </w:r>
    </w:p>
  </w:footnote>
  <w:footnote w:id="21">
    <w:p w14:paraId="4F947BC9" w14:textId="46F3CD20" w:rsidR="00030B74" w:rsidRDefault="00030B74" w:rsidP="00030B74">
      <w:pPr>
        <w:pStyle w:val="FootnoteText"/>
        <w:ind w:firstLine="0"/>
      </w:pPr>
      <w:r>
        <w:rPr>
          <w:rStyle w:val="FootnoteReference"/>
        </w:rPr>
        <w:footnoteRef/>
      </w:r>
      <w:r>
        <w:t xml:space="preserve"> Emilie Savage-Smith and Marion B. Smith, ‘Islamic Geomancy and a Thirteenth-Century Divinatory Device: Another Look</w:t>
      </w:r>
      <w:r w:rsidR="009A577F">
        <w:t>,</w:t>
      </w:r>
      <w:r>
        <w:t xml:space="preserve">’ in E. Savage-Smith, </w:t>
      </w:r>
      <w:r w:rsidRPr="00F820DA">
        <w:rPr>
          <w:i/>
          <w:iCs/>
        </w:rPr>
        <w:t>Magic and Divination in Early Islam</w:t>
      </w:r>
      <w:r>
        <w:t xml:space="preserve"> (</w:t>
      </w:r>
      <w:r w:rsidRPr="00C01A36">
        <w:t>Aldershot: Ashgate Variorum, 2004</w:t>
      </w:r>
      <w:r>
        <w:t>), 211-276.</w:t>
      </w:r>
    </w:p>
  </w:footnote>
  <w:footnote w:id="22">
    <w:p w14:paraId="0E5DA5FB" w14:textId="77777777" w:rsidR="00030B74" w:rsidRDefault="00030B74" w:rsidP="00030B74">
      <w:pPr>
        <w:pStyle w:val="FootnoteText"/>
        <w:ind w:firstLine="0"/>
      </w:pPr>
      <w:r>
        <w:rPr>
          <w:rStyle w:val="FootnoteReference"/>
        </w:rPr>
        <w:footnoteRef/>
      </w:r>
      <w:r>
        <w:t xml:space="preserve"> </w:t>
      </w:r>
      <w:r w:rsidRPr="00BC7D69">
        <w:t xml:space="preserve">Michael Noble, ‘The Avicennan </w:t>
      </w:r>
      <w:r w:rsidRPr="00996AA1">
        <w:rPr>
          <w:i/>
          <w:iCs/>
        </w:rPr>
        <w:t>aestimatio</w:t>
      </w:r>
      <w:r w:rsidRPr="00BC7D69">
        <w:t xml:space="preserve"> (al-wahm) in Fakhr al-Din al-Razi’s Theory of Talismanic Action at distance,’ in </w:t>
      </w:r>
      <w:r w:rsidRPr="00BC7D69">
        <w:rPr>
          <w:i/>
          <w:iCs/>
        </w:rPr>
        <w:t>Bulletin de Philosophie Medievale</w:t>
      </w:r>
      <w:r w:rsidRPr="00BC7D69">
        <w:t>, 59 (2017), 79-89</w:t>
      </w:r>
      <w:r>
        <w:t xml:space="preserve">; Noble, </w:t>
      </w:r>
      <w:r w:rsidRPr="00CA221B">
        <w:rPr>
          <w:i/>
          <w:iCs/>
        </w:rPr>
        <w:t xml:space="preserve">Philosophising the occult: Avicennan psychology and </w:t>
      </w:r>
      <w:r w:rsidRPr="00CA221B">
        <w:t>The hidden secret</w:t>
      </w:r>
      <w:r w:rsidRPr="00CA221B">
        <w:rPr>
          <w:i/>
          <w:iCs/>
        </w:rPr>
        <w:t xml:space="preserve"> of Fakhr al-Dīn al-Rāzī</w:t>
      </w:r>
      <w:r w:rsidRPr="00CA221B">
        <w:t xml:space="preserve"> (Berlin: De Gruyter, 2021)</w:t>
      </w:r>
      <w:r>
        <w:t>.</w:t>
      </w:r>
    </w:p>
  </w:footnote>
  <w:footnote w:id="23">
    <w:p w14:paraId="39B53BD1" w14:textId="354372FB" w:rsidR="00030B74" w:rsidRDefault="00030B74" w:rsidP="00030B74">
      <w:pPr>
        <w:pStyle w:val="FootnoteText"/>
        <w:ind w:firstLine="0"/>
      </w:pPr>
      <w:r>
        <w:rPr>
          <w:rStyle w:val="FootnoteReference"/>
        </w:rPr>
        <w:footnoteRef/>
      </w:r>
      <w:r>
        <w:t xml:space="preserve"> </w:t>
      </w:r>
      <w:r w:rsidRPr="0043221B">
        <w:rPr>
          <w:lang w:val="it-IT"/>
        </w:rPr>
        <w:t xml:space="preserve">Valerio </w:t>
      </w:r>
      <w:r w:rsidR="00BC3B70">
        <w:rPr>
          <w:lang w:val="it-IT"/>
        </w:rPr>
        <w:t>Cappozzo</w:t>
      </w:r>
      <w:r w:rsidRPr="0043221B">
        <w:rPr>
          <w:lang w:val="it-IT"/>
        </w:rPr>
        <w:t xml:space="preserve">, </w:t>
      </w:r>
      <w:r>
        <w:rPr>
          <w:lang w:val="it-IT"/>
        </w:rPr>
        <w:t>‘</w:t>
      </w:r>
      <w:r w:rsidRPr="0043221B">
        <w:rPr>
          <w:lang w:val="it-IT"/>
        </w:rPr>
        <w:t>Libri dei sogni e geomanzia: la loro applicazione letteraria tra Islam, medioevo romanzo e Dante</w:t>
      </w:r>
      <w:r w:rsidR="009A577F">
        <w:rPr>
          <w:lang w:val="it-IT"/>
        </w:rPr>
        <w:t>,</w:t>
      </w:r>
      <w:r>
        <w:rPr>
          <w:lang w:val="it-IT"/>
        </w:rPr>
        <w:t>’</w:t>
      </w:r>
      <w:r w:rsidRPr="0043221B">
        <w:rPr>
          <w:lang w:val="it-IT"/>
        </w:rPr>
        <w:t xml:space="preserve"> in </w:t>
      </w:r>
      <w:r w:rsidRPr="0043221B">
        <w:rPr>
          <w:i/>
          <w:iCs/>
          <w:lang w:val="it-IT"/>
        </w:rPr>
        <w:t>Dreams and Visions in the Indo-Mediterranean World,</w:t>
      </w:r>
      <w:r w:rsidRPr="0043221B">
        <w:rPr>
          <w:lang w:val="it-IT"/>
        </w:rPr>
        <w:t xml:space="preserve"> </w:t>
      </w:r>
      <w:r w:rsidRPr="0043221B">
        <w:rPr>
          <w:i/>
          <w:iCs/>
          <w:lang w:val="it-IT"/>
        </w:rPr>
        <w:t>Quaderni di Studi Indo-Mediterranei</w:t>
      </w:r>
      <w:r>
        <w:rPr>
          <w:lang w:val="it-IT"/>
        </w:rPr>
        <w:t>,</w:t>
      </w:r>
      <w:r w:rsidRPr="0043221B">
        <w:rPr>
          <w:lang w:val="it-IT"/>
        </w:rPr>
        <w:t xml:space="preserve"> 2</w:t>
      </w:r>
      <w:r>
        <w:rPr>
          <w:lang w:val="it-IT"/>
        </w:rPr>
        <w:t xml:space="preserve"> (</w:t>
      </w:r>
      <w:r w:rsidRPr="0043221B">
        <w:rPr>
          <w:lang w:val="it-IT"/>
        </w:rPr>
        <w:t>2009</w:t>
      </w:r>
      <w:r>
        <w:rPr>
          <w:lang w:val="it-IT"/>
        </w:rPr>
        <w:t>)</w:t>
      </w:r>
      <w:r w:rsidRPr="0043221B">
        <w:rPr>
          <w:lang w:val="it-IT"/>
        </w:rPr>
        <w:t>,</w:t>
      </w:r>
      <w:r>
        <w:rPr>
          <w:lang w:val="it-IT"/>
        </w:rPr>
        <w:t xml:space="preserve"> </w:t>
      </w:r>
      <w:r w:rsidRPr="0043221B">
        <w:rPr>
          <w:lang w:val="it-IT"/>
        </w:rPr>
        <w:t>206-227</w:t>
      </w:r>
      <w:r>
        <w:rPr>
          <w:lang w:val="it-IT"/>
        </w:rPr>
        <w:t>.</w:t>
      </w:r>
      <w:r>
        <w:t xml:space="preserve"> </w:t>
      </w:r>
    </w:p>
  </w:footnote>
  <w:footnote w:id="24">
    <w:p w14:paraId="530EBCA7" w14:textId="5D289497" w:rsidR="00F71940" w:rsidRDefault="00F71940" w:rsidP="00F71940">
      <w:pPr>
        <w:pStyle w:val="FootnoteText"/>
        <w:ind w:firstLine="0"/>
      </w:pPr>
      <w:r>
        <w:rPr>
          <w:rStyle w:val="FootnoteReference"/>
        </w:rPr>
        <w:footnoteRef/>
      </w:r>
      <w:r>
        <w:t xml:space="preserve"> Translations into English of passages in Latin or vernacular are by the author of this thesis unless stated otherwise. </w:t>
      </w:r>
    </w:p>
  </w:footnote>
  <w:footnote w:id="25">
    <w:p w14:paraId="1E4D3398" w14:textId="3FF7B509" w:rsidR="008B64A3" w:rsidRPr="00A01022" w:rsidRDefault="008B64A3" w:rsidP="008B64A3">
      <w:pPr>
        <w:pStyle w:val="FootnoteText"/>
        <w:ind w:firstLine="0"/>
        <w:rPr>
          <w:lang w:val="fr-FR"/>
        </w:rPr>
      </w:pPr>
      <w:r w:rsidRPr="00A01022">
        <w:rPr>
          <w:rStyle w:val="FootnoteReference"/>
        </w:rPr>
        <w:footnoteRef/>
      </w:r>
      <w:r w:rsidRPr="00A01022">
        <w:t xml:space="preserve"> Isidor</w:t>
      </w:r>
      <w:r w:rsidR="00021C52">
        <w:t>e</w:t>
      </w:r>
      <w:r w:rsidRPr="00A01022">
        <w:t xml:space="preserve"> of Seville, </w:t>
      </w:r>
      <w:r w:rsidRPr="00A01022">
        <w:rPr>
          <w:i/>
          <w:iCs/>
        </w:rPr>
        <w:t>Etymologiae</w:t>
      </w:r>
      <w:r w:rsidRPr="00A01022">
        <w:t>, VIII, 9-13: “Varro dicit divinationis quatuor esse genera, terram, aquam, aerem, ignem: hinc geomantiam, hydromantiam, aeromantiam, pyromantiam</w:t>
      </w:r>
      <w:r w:rsidR="003568BA">
        <w:t>.</w:t>
      </w:r>
      <w:r w:rsidRPr="00A01022">
        <w:t>” This classification is maintained in the Early Middle Ages by other authors, such as Raban Maur (</w:t>
      </w:r>
      <w:r w:rsidRPr="00A01022">
        <w:rPr>
          <w:i/>
          <w:iCs/>
        </w:rPr>
        <w:t>De magicis artibus, Patr. Lat</w:t>
      </w:r>
      <w:r w:rsidRPr="00A01022">
        <w:t xml:space="preserve">., CX, col. 1098; </w:t>
      </w:r>
      <w:r w:rsidRPr="00A01022">
        <w:rPr>
          <w:i/>
          <w:iCs/>
        </w:rPr>
        <w:t>De universo, Patr. Lat.</w:t>
      </w:r>
      <w:r w:rsidRPr="00A01022">
        <w:t>, CXI, col.423) and Hugh of Saint-Victor (</w:t>
      </w:r>
      <w:r w:rsidRPr="00A01022">
        <w:rPr>
          <w:i/>
          <w:iCs/>
        </w:rPr>
        <w:t>Didascalion</w:t>
      </w:r>
      <w:r w:rsidRPr="00A01022">
        <w:t>, book IV, chap. XV</w:t>
      </w:r>
      <w:r w:rsidR="007C035F">
        <w:t>:</w:t>
      </w:r>
      <w:r w:rsidRPr="00A01022">
        <w:t xml:space="preserve"> </w:t>
      </w:r>
      <w:r w:rsidRPr="00A01022">
        <w:rPr>
          <w:i/>
          <w:iCs/>
        </w:rPr>
        <w:t>De magica et partibus ejus</w:t>
      </w:r>
      <w:r w:rsidRPr="00A01022">
        <w:t xml:space="preserve">, ed. by. C.H. Buttimer, p. 132) among others. </w:t>
      </w:r>
      <w:r w:rsidRPr="00A01022">
        <w:rPr>
          <w:lang w:val="fr-FR"/>
        </w:rPr>
        <w:t xml:space="preserve">See Thérèse Charmasson, </w:t>
      </w:r>
      <w:r w:rsidRPr="00A01022">
        <w:rPr>
          <w:i/>
          <w:iCs/>
          <w:lang w:val="fr-FR"/>
        </w:rPr>
        <w:t>Recherches sur une technique divinatoire: la géomancie dans l’Occident médiéval</w:t>
      </w:r>
      <w:r w:rsidRPr="00A01022">
        <w:rPr>
          <w:lang w:val="fr-FR"/>
        </w:rPr>
        <w:t xml:space="preserve"> (Paris: Librairie Droz, 1980), 10-11.</w:t>
      </w:r>
    </w:p>
  </w:footnote>
  <w:footnote w:id="26">
    <w:p w14:paraId="12C10718" w14:textId="3C8630D5" w:rsidR="008B64A3" w:rsidRPr="00A01022" w:rsidRDefault="008B64A3" w:rsidP="008B64A3">
      <w:pPr>
        <w:pStyle w:val="FootnoteText"/>
        <w:ind w:firstLine="0"/>
      </w:pPr>
      <w:r w:rsidRPr="00A01022">
        <w:rPr>
          <w:rStyle w:val="FootnoteReference"/>
        </w:rPr>
        <w:footnoteRef/>
      </w:r>
      <w:r>
        <w:t xml:space="preserve"> </w:t>
      </w:r>
      <w:r w:rsidRPr="00573105">
        <w:rPr>
          <w:i/>
          <w:iCs/>
        </w:rPr>
        <w:t xml:space="preserve">Epilogus Artis </w:t>
      </w:r>
      <w:r>
        <w:rPr>
          <w:i/>
          <w:iCs/>
        </w:rPr>
        <w:t>g</w:t>
      </w:r>
      <w:r w:rsidRPr="00573105">
        <w:rPr>
          <w:i/>
          <w:iCs/>
        </w:rPr>
        <w:t>eomantiae</w:t>
      </w:r>
      <w:r>
        <w:t xml:space="preserve">, </w:t>
      </w:r>
      <w:r w:rsidRPr="00573105">
        <w:t>Paris, BnF Lat. 7354</w:t>
      </w:r>
      <w:r>
        <w:t>,</w:t>
      </w:r>
      <w:r w:rsidRPr="00A01022">
        <w:t xml:space="preserve"> </w:t>
      </w:r>
      <w:r>
        <w:t xml:space="preserve">56v: “Titulus incipit: Ars geomantie. ‘Ge’ namque grece, </w:t>
      </w:r>
      <w:r w:rsidR="00B367AE">
        <w:t>‘</w:t>
      </w:r>
      <w:r>
        <w:t>terra</w:t>
      </w:r>
      <w:r w:rsidR="00B367AE">
        <w:t>’</w:t>
      </w:r>
      <w:r>
        <w:t xml:space="preserve"> latine &lt;dicitur&gt;, ‘mantia’, diuinatio: inde geomantia, id est diuinatio in terra uel super terram; et a quibusdam male intelligentibus punctatoria ars nuncupatur, quia per punctos eius effectus conprobatur.” In Pasquale Arfé, ‘L’</w:t>
      </w:r>
      <w:r w:rsidRPr="00573105">
        <w:rPr>
          <w:i/>
          <w:iCs/>
        </w:rPr>
        <w:t xml:space="preserve">Ars geomantiae </w:t>
      </w:r>
      <w:r>
        <w:t>di Ugo di Santalla il testo e la sua tradizione’</w:t>
      </w:r>
      <w:r w:rsidRPr="005530BB">
        <w:t>,</w:t>
      </w:r>
      <w:r>
        <w:t xml:space="preserve"> 65-91: 92.</w:t>
      </w:r>
    </w:p>
  </w:footnote>
  <w:footnote w:id="27">
    <w:p w14:paraId="1239D207" w14:textId="77777777" w:rsidR="008B64A3" w:rsidRPr="00A01022" w:rsidRDefault="008B64A3" w:rsidP="008B64A3">
      <w:pPr>
        <w:pStyle w:val="FootnoteText"/>
        <w:ind w:firstLine="0"/>
      </w:pPr>
      <w:r w:rsidRPr="00A01022">
        <w:rPr>
          <w:rStyle w:val="FootnoteReference"/>
        </w:rPr>
        <w:footnoteRef/>
      </w:r>
      <w:r w:rsidRPr="00A01022">
        <w:t xml:space="preserve"> T</w:t>
      </w:r>
      <w:r>
        <w:t>oufic</w:t>
      </w:r>
      <w:r w:rsidRPr="00A01022">
        <w:t xml:space="preserve"> Fahd, </w:t>
      </w:r>
      <w:r>
        <w:t>‘</w:t>
      </w:r>
      <w:r w:rsidRPr="00A01022">
        <w:t>khaṭṭ</w:t>
      </w:r>
      <w:r>
        <w:t>’</w:t>
      </w:r>
      <w:r w:rsidRPr="00A01022">
        <w:t xml:space="preserve">,  in </w:t>
      </w:r>
      <w:r w:rsidRPr="00A01022">
        <w:rPr>
          <w:i/>
          <w:iCs/>
        </w:rPr>
        <w:t>Encyclopédie de l’Islam. Nouvelle édition</w:t>
      </w:r>
      <w:r w:rsidRPr="00A01022">
        <w:t>, ed. by E. van Donzel, B. Lewis, Ch. Pellat (Leiden: Brill, 1978), t. IV, coll. 1160-62: 1160.</w:t>
      </w:r>
    </w:p>
  </w:footnote>
  <w:footnote w:id="28">
    <w:p w14:paraId="4F3B13C2" w14:textId="1852A751" w:rsidR="008B64A3" w:rsidRPr="00A01022" w:rsidRDefault="008B64A3" w:rsidP="008B64A3">
      <w:pPr>
        <w:pStyle w:val="FootnoteText"/>
        <w:ind w:firstLine="0"/>
      </w:pPr>
      <w:r>
        <w:rPr>
          <w:rStyle w:val="FootnoteReference"/>
        </w:rPr>
        <w:footnoteRef/>
      </w:r>
      <w:r w:rsidRPr="00A01022">
        <w:t xml:space="preserve"> Paul Tannery, </w:t>
      </w:r>
      <w:r>
        <w:t>‘</w:t>
      </w:r>
      <w:r w:rsidRPr="00A01022">
        <w:t>L’introduction de la géomancie en Occident et le traducteur Hugo Sanccelliensis</w:t>
      </w:r>
      <w:r w:rsidR="00D9162D">
        <w:t>,</w:t>
      </w:r>
      <w:r>
        <w:t>’</w:t>
      </w:r>
      <w:r w:rsidRPr="00A01022">
        <w:t xml:space="preserve"> in </w:t>
      </w:r>
      <w:r w:rsidRPr="00A01022">
        <w:rPr>
          <w:i/>
          <w:iCs/>
        </w:rPr>
        <w:t xml:space="preserve">Le Rabolion, Mémoires Scientifiques, </w:t>
      </w:r>
      <w:r w:rsidRPr="00A01022">
        <w:t xml:space="preserve">vol. IV, ed. by J.L. Heiberg (Toulouse–Paris: Édouard Privat–Gauthier-Villars, 1920), 319-20. </w:t>
      </w:r>
    </w:p>
    <w:p w14:paraId="2871E2AD" w14:textId="77777777" w:rsidR="008B64A3" w:rsidRDefault="008B64A3" w:rsidP="008B64A3">
      <w:pPr>
        <w:pStyle w:val="FootnoteText"/>
        <w:ind w:firstLine="0"/>
      </w:pPr>
      <w:r>
        <w:t xml:space="preserve"> </w:t>
      </w:r>
    </w:p>
  </w:footnote>
  <w:footnote w:id="29">
    <w:p w14:paraId="28416A77" w14:textId="30413133" w:rsidR="00702EB2" w:rsidRDefault="00702EB2" w:rsidP="00702EB2">
      <w:pPr>
        <w:pStyle w:val="FootnoteText"/>
        <w:ind w:firstLine="0"/>
      </w:pPr>
      <w:r>
        <w:rPr>
          <w:rStyle w:val="FootnoteReference"/>
        </w:rPr>
        <w:footnoteRef/>
      </w:r>
      <w:r>
        <w:t xml:space="preserve"> On the </w:t>
      </w:r>
      <w:r w:rsidR="00961D61">
        <w:t>meanings</w:t>
      </w:r>
      <w:r>
        <w:t xml:space="preserve"> of </w:t>
      </w:r>
      <w:r w:rsidRPr="00702EB2">
        <w:rPr>
          <w:i/>
          <w:iCs/>
        </w:rPr>
        <w:t>‘ilm</w:t>
      </w:r>
      <w:r>
        <w:t xml:space="preserve"> see Liana Saif, </w:t>
      </w:r>
      <w:r w:rsidRPr="00A73897">
        <w:rPr>
          <w:i/>
          <w:iCs/>
        </w:rPr>
        <w:t>The Arabic Influences on Early Modern Occult Philosophy</w:t>
      </w:r>
      <w:r>
        <w:t xml:space="preserve"> </w:t>
      </w:r>
      <w:r w:rsidR="00A73897">
        <w:t xml:space="preserve">[Palgrave Historical Studies in Witchcraft and Magic] </w:t>
      </w:r>
      <w:r>
        <w:t>(</w:t>
      </w:r>
      <w:r w:rsidRPr="00702EB2">
        <w:t>New York: Palgrave Macmillan, 2015</w:t>
      </w:r>
      <w:r>
        <w:t xml:space="preserve">), </w:t>
      </w:r>
      <w:r w:rsidR="00961D61">
        <w:t>12-13.</w:t>
      </w:r>
    </w:p>
  </w:footnote>
  <w:footnote w:id="30">
    <w:p w14:paraId="3411E196" w14:textId="77777777" w:rsidR="008B64A3" w:rsidRDefault="008B64A3" w:rsidP="008B64A3">
      <w:pPr>
        <w:pStyle w:val="FootnoteText"/>
        <w:ind w:firstLine="0"/>
      </w:pPr>
      <w:r>
        <w:rPr>
          <w:rStyle w:val="FootnoteReference"/>
        </w:rPr>
        <w:footnoteRef/>
      </w:r>
      <w:r>
        <w:t xml:space="preserve"> Toufic Fahd, </w:t>
      </w:r>
      <w:r w:rsidRPr="00F9703D">
        <w:rPr>
          <w:i/>
          <w:iCs/>
        </w:rPr>
        <w:t xml:space="preserve">La </w:t>
      </w:r>
      <w:r>
        <w:rPr>
          <w:i/>
          <w:iCs/>
        </w:rPr>
        <w:t>d</w:t>
      </w:r>
      <w:r w:rsidRPr="00F9703D">
        <w:rPr>
          <w:i/>
          <w:iCs/>
        </w:rPr>
        <w:t>ivination Arabe. Études religieuses, sociologiques er folkloriques sur le milieu natif del’Islam</w:t>
      </w:r>
      <w:r>
        <w:t xml:space="preserve"> (Leiden: Brill, 1966), 196.</w:t>
      </w:r>
    </w:p>
  </w:footnote>
  <w:footnote w:id="31">
    <w:p w14:paraId="2D08100F" w14:textId="00A057AB" w:rsidR="008B64A3" w:rsidRPr="00627E2F" w:rsidRDefault="008B64A3" w:rsidP="008B64A3">
      <w:pPr>
        <w:pStyle w:val="FootnoteText"/>
        <w:ind w:firstLine="0"/>
      </w:pPr>
      <w:r>
        <w:rPr>
          <w:rStyle w:val="FootnoteReference"/>
        </w:rPr>
        <w:footnoteRef/>
      </w:r>
      <w:r>
        <w:t xml:space="preserve"> Fahd, </w:t>
      </w:r>
      <w:r w:rsidRPr="00F9703D">
        <w:rPr>
          <w:i/>
          <w:iCs/>
        </w:rPr>
        <w:t xml:space="preserve">La </w:t>
      </w:r>
      <w:r>
        <w:rPr>
          <w:i/>
          <w:iCs/>
        </w:rPr>
        <w:t>d</w:t>
      </w:r>
      <w:r w:rsidRPr="00F9703D">
        <w:rPr>
          <w:i/>
          <w:iCs/>
        </w:rPr>
        <w:t>ivination Arabe</w:t>
      </w:r>
      <w:r>
        <w:t>, 199.</w:t>
      </w:r>
    </w:p>
  </w:footnote>
  <w:footnote w:id="32">
    <w:p w14:paraId="0FF7C914" w14:textId="511F8F2E" w:rsidR="00F86CDC" w:rsidRDefault="00F86CDC" w:rsidP="00F86CDC">
      <w:pPr>
        <w:pStyle w:val="FootnoteText"/>
        <w:ind w:firstLine="0"/>
      </w:pPr>
      <w:r>
        <w:rPr>
          <w:rStyle w:val="FootnoteReference"/>
        </w:rPr>
        <w:footnoteRef/>
      </w:r>
      <w:r>
        <w:t xml:space="preserve"> On Hermetic geomantic texts see </w:t>
      </w:r>
      <w:r w:rsidRPr="008B018A">
        <w:rPr>
          <w:i/>
          <w:iCs/>
        </w:rPr>
        <w:t>Lectura Geomantiae</w:t>
      </w:r>
      <w:r>
        <w:t xml:space="preserve">, ed. by T. Charmasson, in </w:t>
      </w:r>
      <w:r w:rsidRPr="008B018A">
        <w:rPr>
          <w:i/>
          <w:iCs/>
        </w:rPr>
        <w:t>Hermetis Trismegisti Astrologica et Divinatoria</w:t>
      </w:r>
      <w:r>
        <w:t xml:space="preserve">, ed. by G. Bos, C. Burnett, T. Charmasson, P. Kunitzsch, F. Lelli and P. Lucentini [Corpus Christianorum, Continuatio Mediaeualis, 144C, Hermes Latinus, 4.4] (Turnhout: Brepols, 2001), 349-97, Charles Burnett, ‘Hermetic Geomancy, «Ratione Certis Experimentis Usitata»’, in </w:t>
      </w:r>
      <w:r w:rsidRPr="00AD2EFA">
        <w:rPr>
          <w:i/>
          <w:iCs/>
        </w:rPr>
        <w:t>Geomancy and Other Forms of Divination</w:t>
      </w:r>
      <w:r>
        <w:t xml:space="preserve">, ed. by A. Palazzo and I. Zavattero [Micrologus Library, 87] (Florence: Sismel-Edizioni del Galluzzo, 2017), 135-141, Felix Klein-Franke, ‘The Geomancy of Aḥmad b. </w:t>
      </w:r>
      <w:r w:rsidRPr="00C8489C">
        <w:t>ʿ</w:t>
      </w:r>
      <w:r>
        <w:t xml:space="preserve">Ali Zumbul, a Study of the Arabic Corpus Hermeticum’, in </w:t>
      </w:r>
      <w:r w:rsidRPr="00BE4AEA">
        <w:rPr>
          <w:i/>
          <w:iCs/>
        </w:rPr>
        <w:t>Ambix</w:t>
      </w:r>
      <w:r>
        <w:t xml:space="preserve">, v.20, I, (1973), 26-35. </w:t>
      </w:r>
      <w:r w:rsidR="006365AD">
        <w:t xml:space="preserve">See also </w:t>
      </w:r>
      <w:r w:rsidR="006365AD" w:rsidRPr="00402A31">
        <w:t xml:space="preserve">Lynn Thorndike, </w:t>
      </w:r>
      <w:r w:rsidR="006365AD" w:rsidRPr="00402A31">
        <w:rPr>
          <w:i/>
          <w:iCs/>
        </w:rPr>
        <w:t>History of Magic and Experimental Science</w:t>
      </w:r>
      <w:r w:rsidR="006365AD" w:rsidRPr="00402A31">
        <w:t xml:space="preserve">, I, 341 (New York: The Macmillan &amp; Co, 1923) and Kevin van Bladel, </w:t>
      </w:r>
      <w:r w:rsidR="006365AD" w:rsidRPr="00402A31">
        <w:rPr>
          <w:i/>
          <w:iCs/>
        </w:rPr>
        <w:t>The Arabic Hermes</w:t>
      </w:r>
      <w:r w:rsidR="006365AD">
        <w:rPr>
          <w:i/>
          <w:iCs/>
        </w:rPr>
        <w:t>.</w:t>
      </w:r>
      <w:r w:rsidR="006365AD" w:rsidRPr="00B673B7">
        <w:t xml:space="preserve"> </w:t>
      </w:r>
      <w:r w:rsidR="006365AD" w:rsidRPr="00B673B7">
        <w:rPr>
          <w:i/>
          <w:iCs/>
        </w:rPr>
        <w:t>From Pagan Sage to Prophet of Science</w:t>
      </w:r>
      <w:r w:rsidR="006365AD" w:rsidRPr="00402A31">
        <w:t xml:space="preserve"> (Oxford: Oxford University Press, 2009).</w:t>
      </w:r>
    </w:p>
  </w:footnote>
  <w:footnote w:id="33">
    <w:p w14:paraId="295CDDC0" w14:textId="77777777" w:rsidR="008B64A3" w:rsidRDefault="008B64A3" w:rsidP="008B64A3">
      <w:pPr>
        <w:pStyle w:val="FootnoteText"/>
        <w:ind w:firstLine="0"/>
      </w:pPr>
      <w:r>
        <w:rPr>
          <w:rStyle w:val="FootnoteReference"/>
        </w:rPr>
        <w:footnoteRef/>
      </w:r>
      <w:r>
        <w:t xml:space="preserve"> On the accounts of transmission of geomancy see Thérèse Charmasson, </w:t>
      </w:r>
      <w:r w:rsidRPr="005E6FA6">
        <w:rPr>
          <w:i/>
          <w:iCs/>
        </w:rPr>
        <w:t xml:space="preserve">Recherches sur une technique divinatoire: la géomancie dans l’Occident </w:t>
      </w:r>
      <w:r>
        <w:rPr>
          <w:i/>
          <w:iCs/>
        </w:rPr>
        <w:t xml:space="preserve">medieval </w:t>
      </w:r>
      <w:r>
        <w:t>(</w:t>
      </w:r>
      <w:r w:rsidRPr="005E6FA6">
        <w:t>Genève-Paris</w:t>
      </w:r>
      <w:r>
        <w:t>: Librairie Droz,</w:t>
      </w:r>
      <w:r w:rsidRPr="005E6FA6">
        <w:t xml:space="preserve"> 1980</w:t>
      </w:r>
      <w:r>
        <w:t xml:space="preserve">), 73; see also Emilie Savage-Smith and Marion B. Smith, ‘Islamic Geomancy and a Thirteenth-Century Divinatory Device: Another Look’, in E. Savage-Smith, </w:t>
      </w:r>
      <w:r w:rsidRPr="00F820DA">
        <w:rPr>
          <w:i/>
          <w:iCs/>
        </w:rPr>
        <w:t>Magic and Divination in Early Islam</w:t>
      </w:r>
      <w:r>
        <w:t xml:space="preserve"> (</w:t>
      </w:r>
      <w:r w:rsidRPr="00C01A36">
        <w:t>Aldershot: Ashgate Variorum, 2004</w:t>
      </w:r>
      <w:r>
        <w:t>), 211-276, esp. 211-19.</w:t>
      </w:r>
    </w:p>
  </w:footnote>
  <w:footnote w:id="34">
    <w:p w14:paraId="6AB3E178" w14:textId="7F71E535" w:rsidR="008B64A3" w:rsidRDefault="008B64A3" w:rsidP="008B64A3">
      <w:pPr>
        <w:pStyle w:val="FootnoteText"/>
        <w:ind w:firstLine="0"/>
      </w:pPr>
      <w:r>
        <w:rPr>
          <w:rStyle w:val="FootnoteReference"/>
        </w:rPr>
        <w:footnoteRef/>
      </w:r>
      <w:r>
        <w:t xml:space="preserve"> For the prophet Daniel as an authority in the geomantic tradition see Lorenzo DiTommaso, </w:t>
      </w:r>
      <w:r w:rsidRPr="001566D9">
        <w:rPr>
          <w:i/>
          <w:iCs/>
        </w:rPr>
        <w:t>The Book of Daniel and the Apocryphal Daniel Literature</w:t>
      </w:r>
      <w:r>
        <w:t xml:space="preserve"> (Leiden-Boston: Brill, 2005), 468-469. Ptolemy is mentioned </w:t>
      </w:r>
      <w:r w:rsidR="001035DA">
        <w:t xml:space="preserve">as an authority on geomancy </w:t>
      </w:r>
      <w:r>
        <w:t xml:space="preserve">in </w:t>
      </w:r>
      <w:r w:rsidRPr="00814AD1">
        <w:t>Cambridge, Magdalene College, F.4.27, s. XIV, f. 166ra-173vb, Florence, BML, Plut. 89 sup. 34, s. XV, f. 19r-28v, London, BL, Harley 2404, s. XV, pp. 33-59, Mühlhausen, SA, 60/2, s. XV, f. 191ra-210rb, Munich, BSB, Clm 458, s. XV, f. 105r-116r, Paris, BnF, lat. 7349, s. XV, f. 138v-141r, Paris, BnF, lat. 7457, s. XV, f. 83r-96r, and Paris, BnF, lat. 15353, s. XIII-XIV, f. 87ra-92vb.</w:t>
      </w:r>
      <w:r>
        <w:t xml:space="preserve"> On Ptolemy and geomancy see also </w:t>
      </w:r>
      <w:r w:rsidRPr="005E6FA6">
        <w:t xml:space="preserve">Charmasson, </w:t>
      </w:r>
      <w:r w:rsidRPr="005E6FA6">
        <w:rPr>
          <w:i/>
          <w:iCs/>
        </w:rPr>
        <w:t>Recherches sur une technique divinatoire</w:t>
      </w:r>
      <w:r w:rsidRPr="005E6FA6">
        <w:t>, 217-220</w:t>
      </w:r>
      <w:r>
        <w:t>,</w:t>
      </w:r>
      <w:r w:rsidRPr="005E6FA6">
        <w:t xml:space="preserve"> 290</w:t>
      </w:r>
      <w:r>
        <w:t xml:space="preserve">. </w:t>
      </w:r>
    </w:p>
  </w:footnote>
  <w:footnote w:id="35">
    <w:p w14:paraId="11DDA6D1" w14:textId="77777777" w:rsidR="008B64A3" w:rsidRPr="00A01022" w:rsidRDefault="008B64A3" w:rsidP="008B64A3">
      <w:pPr>
        <w:pStyle w:val="FootnoteText"/>
        <w:ind w:firstLine="0"/>
      </w:pPr>
      <w:r w:rsidRPr="00A01022">
        <w:rPr>
          <w:rStyle w:val="FootnoteReference"/>
        </w:rPr>
        <w:footnoteRef/>
      </w:r>
      <w:r w:rsidRPr="00A01022">
        <w:t xml:space="preserve"> For further clarifications on the procedure of formation of the geomantic figures see Thérèse Charmasson </w:t>
      </w:r>
      <w:r>
        <w:t>‘</w:t>
      </w:r>
      <w:r w:rsidRPr="00A01022">
        <w:t>La Géomancie Médiévale. Les Traités et leur Diffusion</w:t>
      </w:r>
      <w:r>
        <w:t>’</w:t>
      </w:r>
      <w:r w:rsidRPr="00135A30">
        <w:t xml:space="preserve"> in </w:t>
      </w:r>
      <w:r w:rsidRPr="00135A30">
        <w:rPr>
          <w:i/>
          <w:iCs/>
        </w:rPr>
        <w:t>Geomancy and Other Forms of Divination</w:t>
      </w:r>
      <w:r w:rsidRPr="00135A30">
        <w:t xml:space="preserve">, ed. by A. Palazzo and I. Zavattero [Micrologus Library, 87] (Florence: Sismel-Edizioni del Galluzzo, 2017), </w:t>
      </w:r>
      <w:r w:rsidRPr="00A01022">
        <w:t>5-13.</w:t>
      </w:r>
    </w:p>
  </w:footnote>
  <w:footnote w:id="36">
    <w:p w14:paraId="7F555AD1" w14:textId="0440ADB8" w:rsidR="008B64A3" w:rsidRPr="00A01022" w:rsidRDefault="008B64A3" w:rsidP="008B64A3">
      <w:pPr>
        <w:pStyle w:val="FootnoteText"/>
        <w:ind w:firstLine="0"/>
      </w:pPr>
      <w:r w:rsidRPr="00A01022">
        <w:rPr>
          <w:rStyle w:val="FootnoteReference"/>
        </w:rPr>
        <w:footnoteRef/>
      </w:r>
      <w:r w:rsidRPr="00A01022">
        <w:t xml:space="preserve"> For a list of names of the geomantic figures as used by some of the most noteworthy translators see Charmasson, </w:t>
      </w:r>
      <w:r w:rsidRPr="00A01022">
        <w:rPr>
          <w:i/>
          <w:iCs/>
        </w:rPr>
        <w:t>Recherches sur un technique divinatoire</w:t>
      </w:r>
      <w:r w:rsidRPr="00A01022">
        <w:t>, 30-33.</w:t>
      </w:r>
    </w:p>
  </w:footnote>
  <w:footnote w:id="37">
    <w:p w14:paraId="6D0BC2D9" w14:textId="22E7277D" w:rsidR="00C82031" w:rsidRDefault="00C82031" w:rsidP="00C82031">
      <w:pPr>
        <w:pStyle w:val="FootnoteText"/>
        <w:ind w:firstLine="0"/>
      </w:pPr>
      <w:r>
        <w:rPr>
          <w:rStyle w:val="FootnoteReference"/>
        </w:rPr>
        <w:footnoteRef/>
      </w:r>
      <w:r>
        <w:t xml:space="preserve"> </w:t>
      </w:r>
      <w:r w:rsidR="0097507B">
        <w:t>T</w:t>
      </w:r>
      <w:r w:rsidR="0097507B" w:rsidRPr="0097507B">
        <w:t xml:space="preserve">he term </w:t>
      </w:r>
      <w:r w:rsidR="0097507B">
        <w:t>‘</w:t>
      </w:r>
      <w:r w:rsidR="0097507B" w:rsidRPr="0097507B">
        <w:t>Coniunctio,</w:t>
      </w:r>
      <w:r w:rsidR="0097507B">
        <w:t>’</w:t>
      </w:r>
      <w:r w:rsidR="0097507B" w:rsidRPr="0097507B">
        <w:t xml:space="preserve"> </w:t>
      </w:r>
      <w:r w:rsidR="0097507B">
        <w:t>intended as</w:t>
      </w:r>
      <w:r w:rsidR="0097507B" w:rsidRPr="0097507B">
        <w:t xml:space="preserve"> </w:t>
      </w:r>
      <w:r w:rsidR="0097507B">
        <w:t>‘</w:t>
      </w:r>
      <w:r w:rsidR="0097507B" w:rsidRPr="0097507B">
        <w:t>intercourse,</w:t>
      </w:r>
      <w:r w:rsidR="0097507B">
        <w:t>’</w:t>
      </w:r>
      <w:r w:rsidR="0097507B" w:rsidRPr="0097507B">
        <w:t xml:space="preserve"> was employed in alchemy to describe chemical combinations and the union of opposites. This union, symboli</w:t>
      </w:r>
      <w:r w:rsidR="0097507B">
        <w:t>s</w:t>
      </w:r>
      <w:r w:rsidR="0097507B" w:rsidRPr="0097507B">
        <w:t>ed by the act of intercourse between the king and queen in alchemical emblems, culminated in the birth of a new element</w:t>
      </w:r>
      <w:r w:rsidR="0097507B">
        <w:t>.</w:t>
      </w:r>
      <w:r w:rsidR="0097507B" w:rsidRPr="0097507B">
        <w:t xml:space="preserve"> The connection between alchemy and geomancy is </w:t>
      </w:r>
      <w:r w:rsidR="0097507B">
        <w:t>interesting</w:t>
      </w:r>
      <w:r w:rsidR="0097507B" w:rsidRPr="0097507B">
        <w:t>, especially considering that geomancy, categori</w:t>
      </w:r>
      <w:r w:rsidR="0097507B">
        <w:t>s</w:t>
      </w:r>
      <w:r w:rsidR="0097507B" w:rsidRPr="0097507B">
        <w:t xml:space="preserve">ed as a form of </w:t>
      </w:r>
      <w:r w:rsidR="0097507B">
        <w:t>‘</w:t>
      </w:r>
      <w:r w:rsidR="0097507B" w:rsidRPr="0097507B">
        <w:t>earth divination,</w:t>
      </w:r>
      <w:r w:rsidR="0097507B">
        <w:t>’</w:t>
      </w:r>
      <w:r w:rsidR="0097507B" w:rsidRPr="0097507B">
        <w:t xml:space="preserve"> was frequently associated with alchemical practices. This relationship will be </w:t>
      </w:r>
      <w:r w:rsidR="0097507B">
        <w:t>addressed</w:t>
      </w:r>
      <w:r w:rsidR="0097507B" w:rsidRPr="0097507B">
        <w:t xml:space="preserve"> in the final chapter of this thesis</w:t>
      </w:r>
      <w:r w:rsidR="0097507B">
        <w:t>.</w:t>
      </w:r>
    </w:p>
  </w:footnote>
  <w:footnote w:id="38">
    <w:p w14:paraId="307A06FF" w14:textId="2951E540" w:rsidR="008B64A3" w:rsidRPr="00A01022" w:rsidRDefault="008B64A3" w:rsidP="008B64A3">
      <w:pPr>
        <w:pStyle w:val="FootnoteText"/>
        <w:ind w:firstLine="0"/>
      </w:pPr>
      <w:r w:rsidRPr="00A01022">
        <w:rPr>
          <w:rStyle w:val="FootnoteReference"/>
        </w:rPr>
        <w:footnoteRef/>
      </w:r>
      <w:r w:rsidRPr="00A01022">
        <w:t xml:space="preserve"> Oxford, British Library, Ms. Digby 50</w:t>
      </w:r>
      <w:r w:rsidR="001A0AD1">
        <w:t>, f. 101v: “</w:t>
      </w:r>
      <w:r w:rsidR="001A0AD1" w:rsidRPr="001A0AD1">
        <w:t>Bellator qui et puella dicitur, in prima casa significat in commessatione et in ducenda virgine uxore.</w:t>
      </w:r>
      <w:r w:rsidR="001A0AD1">
        <w:t>”</w:t>
      </w:r>
    </w:p>
  </w:footnote>
  <w:footnote w:id="39">
    <w:p w14:paraId="546B388E" w14:textId="34B15EA1" w:rsidR="008B64A3" w:rsidRPr="00A01022" w:rsidRDefault="008B64A3" w:rsidP="008B64A3">
      <w:pPr>
        <w:pStyle w:val="FootnoteText"/>
        <w:ind w:firstLine="0"/>
      </w:pPr>
      <w:r w:rsidRPr="00A01022">
        <w:rPr>
          <w:rStyle w:val="FootnoteReference"/>
        </w:rPr>
        <w:footnoteRef/>
      </w:r>
      <w:r w:rsidRPr="00A01022">
        <w:t xml:space="preserve"> Kristen Lippincott and David Pingree, </w:t>
      </w:r>
      <w:r>
        <w:t>‘</w:t>
      </w:r>
      <w:r w:rsidRPr="00A01022">
        <w:t>Ibn al-Ḥātim on the Talismans of the Lunar Mansions</w:t>
      </w:r>
      <w:r>
        <w:t>’</w:t>
      </w:r>
      <w:r w:rsidRPr="00A01022">
        <w:t xml:space="preserve">, in </w:t>
      </w:r>
      <w:r w:rsidRPr="00A01022">
        <w:rPr>
          <w:i/>
          <w:iCs/>
        </w:rPr>
        <w:t>Journal of the Warburg and Courtauld Institutes</w:t>
      </w:r>
      <w:r w:rsidRPr="00A01022">
        <w:t xml:space="preserve">, Vol. 50 (1987), 57-81: 72; and Petra G. Schmidl, </w:t>
      </w:r>
      <w:r>
        <w:t>‘</w:t>
      </w:r>
      <w:r w:rsidRPr="00A01022">
        <w:t>Traditions and Practices of Prognostication in the Middle Ages: Astral sciences</w:t>
      </w:r>
      <w:r>
        <w:t>’</w:t>
      </w:r>
      <w:r w:rsidRPr="00A01022">
        <w:t xml:space="preserve">, in </w:t>
      </w:r>
      <w:r w:rsidRPr="00A01022">
        <w:rPr>
          <w:i/>
          <w:iCs/>
        </w:rPr>
        <w:t>Prognostication in the Medieval World, a Handbook</w:t>
      </w:r>
      <w:r w:rsidRPr="00A01022">
        <w:t>, ed. by Matthias Heiduk, Klaus Herbers and Hans-Christian Lehner, Vol.I (Berlin: De Gruyter, 2021), 536.</w:t>
      </w:r>
      <w:r w:rsidRPr="00266144">
        <w:t xml:space="preserve"> </w:t>
      </w:r>
      <w:r w:rsidRPr="004D6239">
        <w:t xml:space="preserve">In Andalusi Arabic Saturn is called al-muqātil, ‘the fighter’ and Mars al-aḥmar, ‘the red’, see David Juste, </w:t>
      </w:r>
      <w:r w:rsidRPr="004D6239">
        <w:rPr>
          <w:i/>
          <w:iCs/>
        </w:rPr>
        <w:t>Les Alchandreana primitifs</w:t>
      </w:r>
      <w:r>
        <w:rPr>
          <w:i/>
          <w:iCs/>
        </w:rPr>
        <w:t>.</w:t>
      </w:r>
      <w:r w:rsidRPr="003B17ED">
        <w:t xml:space="preserve"> </w:t>
      </w:r>
      <w:r w:rsidRPr="003B17ED">
        <w:rPr>
          <w:i/>
          <w:iCs/>
        </w:rPr>
        <w:t>Étude sur les plus anciens traités astrologiques latins d'origine arabe (Xe siècle)</w:t>
      </w:r>
      <w:r w:rsidRPr="004D6239">
        <w:t xml:space="preserve"> (Brill: Leiden, 2007), 653.</w:t>
      </w:r>
    </w:p>
  </w:footnote>
  <w:footnote w:id="40">
    <w:p w14:paraId="30658A36" w14:textId="128BB16A" w:rsidR="008B64A3" w:rsidRPr="00A01022" w:rsidRDefault="008B64A3" w:rsidP="008B64A3">
      <w:pPr>
        <w:pStyle w:val="FootnoteText"/>
        <w:ind w:firstLine="0"/>
      </w:pPr>
      <w:r w:rsidRPr="00A01022">
        <w:rPr>
          <w:rStyle w:val="FootnoteReference"/>
        </w:rPr>
        <w:footnoteRef/>
      </w:r>
      <w:r w:rsidRPr="00A01022">
        <w:t xml:space="preserve"> </w:t>
      </w:r>
      <w:r w:rsidRPr="00A6177A">
        <w:rPr>
          <w:i/>
          <w:iCs/>
        </w:rPr>
        <w:t>Lectura geomantiae</w:t>
      </w:r>
      <w:r w:rsidR="00A6177A">
        <w:t>, ed.</w:t>
      </w:r>
      <w:r w:rsidR="00AC2DA8">
        <w:t xml:space="preserve"> by</w:t>
      </w:r>
      <w:r w:rsidR="00A6177A">
        <w:t xml:space="preserve"> Charmasson</w:t>
      </w:r>
      <w:r w:rsidRPr="00A01022">
        <w:t xml:space="preserve">, 375: “Illa restant puncta ad modum populi. Et tunc dixit angelus: ‘Vocetur Populus’, et hec fuit prima figura: </w:t>
      </w:r>
      <w:r w:rsidRPr="00A01022">
        <w:rPr>
          <w:i/>
          <w:iCs/>
        </w:rPr>
        <w:t>Populus</w:t>
      </w:r>
      <w:r w:rsidRPr="00A01022">
        <w:t xml:space="preserve">. Et secunda est ad modum uie, ideo uocetur Via, ut hec: </w:t>
      </w:r>
      <w:r w:rsidRPr="00A01022">
        <w:rPr>
          <w:i/>
          <w:iCs/>
        </w:rPr>
        <w:t>Via</w:t>
      </w:r>
      <w:r w:rsidRPr="00A01022">
        <w:t xml:space="preserve">. Tercia non habet ordinem, ideo uocetur Carcer: </w:t>
      </w:r>
      <w:r w:rsidRPr="00A01022">
        <w:rPr>
          <w:i/>
          <w:iCs/>
        </w:rPr>
        <w:t>Carcer</w:t>
      </w:r>
      <w:r w:rsidRPr="00A01022">
        <w:t xml:space="preserve">. Quarta est ad modum coniunctionis, quare sicut coniunctiones fiunt in lecto ita fuit uocata Coniunctio, ut hec: </w:t>
      </w:r>
      <w:r w:rsidRPr="00A01022">
        <w:rPr>
          <w:i/>
          <w:iCs/>
        </w:rPr>
        <w:t>Coniunctio</w:t>
      </w:r>
      <w:r w:rsidR="00896B13">
        <w:rPr>
          <w:i/>
          <w:iCs/>
        </w:rPr>
        <w:t>.</w:t>
      </w:r>
      <w:r w:rsidRPr="00A01022">
        <w:t>”</w:t>
      </w:r>
    </w:p>
  </w:footnote>
  <w:footnote w:id="41">
    <w:p w14:paraId="4273FF4D" w14:textId="77777777" w:rsidR="008B64A3" w:rsidRDefault="008B64A3" w:rsidP="008B64A3">
      <w:pPr>
        <w:pStyle w:val="FootnoteText"/>
        <w:ind w:firstLine="0"/>
      </w:pPr>
      <w:r>
        <w:rPr>
          <w:rStyle w:val="FootnoteReference"/>
        </w:rPr>
        <w:footnoteRef/>
      </w:r>
      <w:r>
        <w:t xml:space="preserve"> For a more detailed study on the mathematical structure of the geomantic system see </w:t>
      </w:r>
      <w:r w:rsidRPr="00A01022">
        <w:t xml:space="preserve">Robert Jaulin, </w:t>
      </w:r>
      <w:r w:rsidRPr="00A01022">
        <w:rPr>
          <w:i/>
          <w:iCs/>
        </w:rPr>
        <w:t>La géomancie. Analyse formelle</w:t>
      </w:r>
      <w:r w:rsidRPr="00A01022">
        <w:t xml:space="preserve"> (Paris: Mouton &amp; Co., 1966); see also Wim van Binsbergen, </w:t>
      </w:r>
      <w:r>
        <w:t>‘</w:t>
      </w:r>
      <w:r w:rsidRPr="00A01022">
        <w:t>The Astrological Origin of Islamic Geomancy</w:t>
      </w:r>
      <w:r>
        <w:t>’</w:t>
      </w:r>
      <w:r w:rsidRPr="00A01022">
        <w:t xml:space="preserve">, in </w:t>
      </w:r>
      <w:r w:rsidRPr="00A01022">
        <w:rPr>
          <w:i/>
          <w:iCs/>
        </w:rPr>
        <w:t>The SSIPS/ SAGP 1996, 15th Annual Conference: ‘Global and Multicultural Dimensions of Ancient and Medieval Philosophy and Social Thought: Africana, Christian, Greek, Islamic, Jewish, Indigenous and Asian Traditions’</w:t>
      </w:r>
      <w:r w:rsidRPr="00A01022">
        <w:t>, (Binghamton University, Department of Philosophy/Center for Medieval and Renaissance studies, CEMERS, October 1996), 5-10.</w:t>
      </w:r>
    </w:p>
  </w:footnote>
  <w:footnote w:id="42">
    <w:p w14:paraId="771603F6" w14:textId="6151B9BD" w:rsidR="008B64A3" w:rsidRPr="00A01022" w:rsidRDefault="008B64A3" w:rsidP="008B64A3">
      <w:pPr>
        <w:pStyle w:val="FootnoteText"/>
        <w:ind w:firstLine="0"/>
      </w:pPr>
      <w:r w:rsidRPr="00A01022">
        <w:rPr>
          <w:rStyle w:val="FootnoteReference"/>
        </w:rPr>
        <w:footnoteRef/>
      </w:r>
      <w:r w:rsidRPr="00A01022">
        <w:t xml:space="preserve"> The analogy between geomancy and the practice of the astrological interrogations had already been noticed by Eugenio Gari</w:t>
      </w:r>
      <w:r w:rsidR="00A6177A">
        <w:t>n</w:t>
      </w:r>
      <w:r w:rsidRPr="00A01022">
        <w:t xml:space="preserve">. See Garin, </w:t>
      </w:r>
      <w:r w:rsidRPr="00A01022">
        <w:rPr>
          <w:i/>
          <w:iCs/>
        </w:rPr>
        <w:t>Lo zodiaco della vita. La polemica sull’astrologia dal Trecento al Cinquecento</w:t>
      </w:r>
      <w:r w:rsidRPr="00A01022">
        <w:t xml:space="preserve"> (Rome-Bari: Editori Laterza, 2007)</w:t>
      </w:r>
      <w:r w:rsidR="00AD5032">
        <w:t xml:space="preserve"> (1</w:t>
      </w:r>
      <w:r w:rsidR="00AD5032" w:rsidRPr="00AD5032">
        <w:rPr>
          <w:vertAlign w:val="superscript"/>
        </w:rPr>
        <w:t>st</w:t>
      </w:r>
      <w:r w:rsidR="00AD5032">
        <w:t xml:space="preserve"> ed. 1976)</w:t>
      </w:r>
      <w:r w:rsidRPr="00A01022">
        <w:t xml:space="preserve">, 39-40. On the various uses of geomancy see Alessandra Beccarisi, </w:t>
      </w:r>
      <w:r>
        <w:t>‘</w:t>
      </w:r>
      <w:r w:rsidRPr="00A01022">
        <w:t>The Geomantic Technique and its Applications</w:t>
      </w:r>
      <w:r>
        <w:t>’</w:t>
      </w:r>
      <w:r w:rsidRPr="00A01022">
        <w:t xml:space="preserve">, in </w:t>
      </w:r>
      <w:r w:rsidRPr="00A01022">
        <w:rPr>
          <w:i/>
          <w:iCs/>
        </w:rPr>
        <w:t>Stars, Kingdoms, Beliefs, and Masses. Political Astrology in the Mediterranean Area from Middle Ages to the Renaissance, (Le stelle, i regni, le credenze e le masse: l'astrologia politica nel Mediterraneo fra Medioevo e Rinascimento),</w:t>
      </w:r>
      <w:r w:rsidRPr="00A01022">
        <w:t xml:space="preserve"> ed. by M. Benedetto, P. Arfé and P. Porro (Turnhout: Brepols: 2020), 205-226.</w:t>
      </w:r>
    </w:p>
  </w:footnote>
  <w:footnote w:id="43">
    <w:p w14:paraId="22A2F027" w14:textId="7BFA65C5" w:rsidR="008B64A3" w:rsidRPr="00A01022" w:rsidRDefault="008B64A3" w:rsidP="008B64A3">
      <w:pPr>
        <w:pStyle w:val="FootnoteText"/>
        <w:ind w:firstLine="0"/>
      </w:pPr>
      <w:r w:rsidRPr="00A01022">
        <w:rPr>
          <w:rStyle w:val="FootnoteReference"/>
        </w:rPr>
        <w:footnoteRef/>
      </w:r>
      <w:r w:rsidRPr="00A01022">
        <w:t xml:space="preserve"> Charmasson</w:t>
      </w:r>
      <w:r>
        <w:t>, ‘</w:t>
      </w:r>
      <w:r w:rsidRPr="00A01022">
        <w:t>La Géomancie Médiévale. Les Traités et leur Diffusion</w:t>
      </w:r>
      <w:r>
        <w:t>’</w:t>
      </w:r>
      <w:r w:rsidRPr="00A01022">
        <w:t>, 20-23.</w:t>
      </w:r>
    </w:p>
  </w:footnote>
  <w:footnote w:id="44">
    <w:p w14:paraId="5FE3BE57" w14:textId="2180315F" w:rsidR="008B64A3" w:rsidRPr="00A01022" w:rsidRDefault="008B64A3" w:rsidP="008B64A3">
      <w:pPr>
        <w:pStyle w:val="FootnoteText"/>
        <w:ind w:firstLine="0"/>
      </w:pPr>
      <w:r w:rsidRPr="00A01022">
        <w:rPr>
          <w:rStyle w:val="FootnoteReference"/>
        </w:rPr>
        <w:footnoteRef/>
      </w:r>
      <w:r w:rsidRPr="00A01022">
        <w:t xml:space="preserve"> </w:t>
      </w:r>
      <w:r w:rsidR="00F56947" w:rsidRPr="00A01022">
        <w:t>Oxford, BL, Digby 50, ff. 99r-103v</w:t>
      </w:r>
      <w:r w:rsidR="00F56947">
        <w:t xml:space="preserve">: </w:t>
      </w:r>
      <w:r>
        <w:t>“</w:t>
      </w:r>
      <w:r w:rsidR="00F56947">
        <w:t>/</w:t>
      </w:r>
      <w:r>
        <w:t>99r</w:t>
      </w:r>
      <w:r w:rsidR="00F56947">
        <w:t>/</w:t>
      </w:r>
      <w:r>
        <w:t xml:space="preserve"> </w:t>
      </w:r>
      <w:r w:rsidRPr="007E6BA7">
        <w:t>Prima itaque</w:t>
      </w:r>
      <w:r>
        <w:t>,</w:t>
      </w:r>
      <w:r w:rsidRPr="007E6BA7">
        <w:t xml:space="preserve"> que via vocatur</w:t>
      </w:r>
      <w:r>
        <w:t>,</w:t>
      </w:r>
      <w:r w:rsidRPr="007E6BA7">
        <w:t xml:space="preserve"> in domo prima significat iter de una regione ad aliam cum comodo. In 2 dampum. In item, lucri minimi. In III fratrum amissionem vel inimicicias. In 4 hereditatum amissionem. In 5 filiorum paucitatem. In &lt;VI&gt; convalesce&lt;ntia&gt;m ab infirmitate</w:t>
      </w:r>
      <w:r>
        <w:t>…”</w:t>
      </w:r>
    </w:p>
  </w:footnote>
  <w:footnote w:id="45">
    <w:p w14:paraId="3F09F5F5" w14:textId="0ECDB9BF" w:rsidR="008B64A3" w:rsidRPr="00A01022" w:rsidRDefault="008B64A3" w:rsidP="008B64A3">
      <w:pPr>
        <w:pStyle w:val="FootnoteText"/>
        <w:ind w:firstLine="0"/>
      </w:pPr>
      <w:r w:rsidRPr="00A01022">
        <w:rPr>
          <w:rStyle w:val="FootnoteReference"/>
        </w:rPr>
        <w:footnoteRef/>
      </w:r>
      <w:r w:rsidRPr="00A01022">
        <w:t xml:space="preserve"> </w:t>
      </w:r>
      <w:r w:rsidR="00131D8B" w:rsidRPr="00131D8B">
        <w:rPr>
          <w:i/>
          <w:iCs/>
        </w:rPr>
        <w:t>Liber arenalis scientiae</w:t>
      </w:r>
      <w:r w:rsidR="00131D8B">
        <w:t xml:space="preserve">, </w:t>
      </w:r>
      <w:r w:rsidR="00131D8B" w:rsidRPr="00131D8B">
        <w:t>London, BL, Arundel MS 66, f. 270</w:t>
      </w:r>
      <w:r w:rsidR="00131D8B">
        <w:t>:</w:t>
      </w:r>
      <w:r w:rsidR="00131D8B" w:rsidRPr="00131D8B">
        <w:t xml:space="preserve"> </w:t>
      </w:r>
      <w:r>
        <w:t>“(2121+2121→ 2222) Congregatio a gemino comprehenso intus quod utile est inducat, pecuniam accipit, prosperitatem inducit, letitiam et gaudia parat. Familiarem et amicum inducit. In mercatura utilis. In coniugio propicius. Quicquid expostulat assequetur effectus. Non igitur ab ea quod quaesumus expostulat erit declinandum. (1212+1212</w:t>
      </w:r>
      <w:r>
        <w:rPr>
          <w:noProof/>
        </w:rPr>
        <w:t xml:space="preserve">→ 2222) Congregatio a duplici comprehenso foris quociens occurrit motus et mutaciones indicat, aliquem de propria potestate educit facultatis et pecunie dampnum minatur, planctus inducit et lacrimas ad omnia inutilis, verum itineri et agriculture solum ad omnia propicia.” </w:t>
      </w:r>
      <w:r>
        <w:t>Similar accounts are found</w:t>
      </w:r>
      <w:r w:rsidRPr="00A01022">
        <w:t xml:space="preserve"> in Hugo Sanctelliensis’ </w:t>
      </w:r>
      <w:r w:rsidRPr="00A01022">
        <w:rPr>
          <w:i/>
          <w:iCs/>
        </w:rPr>
        <w:t>Ars Geomantiae</w:t>
      </w:r>
      <w:r w:rsidRPr="00A01022">
        <w:t>: Paris, BNF, Lat. 7354, ff.18r-37r and Oxford, B</w:t>
      </w:r>
      <w:r>
        <w:t xml:space="preserve">odleian </w:t>
      </w:r>
      <w:r w:rsidRPr="00A01022">
        <w:t>L</w:t>
      </w:r>
      <w:r>
        <w:t>ibrary</w:t>
      </w:r>
      <w:r w:rsidRPr="00A01022">
        <w:t xml:space="preserve"> Rawlinson D. 1227, ff. 38v-40r; </w:t>
      </w:r>
      <w:r>
        <w:t xml:space="preserve">and </w:t>
      </w:r>
      <w:r w:rsidRPr="00A01022">
        <w:t xml:space="preserve">in the </w:t>
      </w:r>
      <w:r w:rsidRPr="00A01022">
        <w:rPr>
          <w:i/>
          <w:iCs/>
        </w:rPr>
        <w:t>Estimaverunt Indi</w:t>
      </w:r>
      <w:r w:rsidRPr="00A01022">
        <w:t xml:space="preserve">: Florence, Biblioteca Medicea Laurenziana, Plut. 30.29., ff. 15v-16ra and 19r-21vb. </w:t>
      </w:r>
    </w:p>
  </w:footnote>
  <w:footnote w:id="46">
    <w:p w14:paraId="7C2D967C" w14:textId="77777777" w:rsidR="008B64A3" w:rsidRDefault="008B64A3" w:rsidP="008B64A3">
      <w:pPr>
        <w:pStyle w:val="FootnoteText"/>
        <w:ind w:firstLine="0"/>
      </w:pPr>
      <w:r>
        <w:rPr>
          <w:rStyle w:val="FootnoteReference"/>
        </w:rPr>
        <w:footnoteRef/>
      </w:r>
      <w:r>
        <w:t xml:space="preserve"> Charles Homer Haskins, </w:t>
      </w:r>
      <w:r w:rsidRPr="00D65554">
        <w:rPr>
          <w:i/>
          <w:iCs/>
        </w:rPr>
        <w:t>The Renaissance of the Twelfth Century</w:t>
      </w:r>
      <w:r>
        <w:t xml:space="preserve">, (Cambridge, Mass.: Harvard University Press, 1927). </w:t>
      </w:r>
    </w:p>
  </w:footnote>
  <w:footnote w:id="47">
    <w:p w14:paraId="7BF3151E" w14:textId="77777777" w:rsidR="008B64A3" w:rsidRDefault="008B64A3" w:rsidP="008B64A3">
      <w:pPr>
        <w:pStyle w:val="FootnoteText"/>
        <w:ind w:firstLine="0"/>
      </w:pPr>
      <w:r>
        <w:rPr>
          <w:rStyle w:val="FootnoteReference"/>
        </w:rPr>
        <w:footnoteRef/>
      </w:r>
      <w:r>
        <w:t xml:space="preserve"> </w:t>
      </w:r>
      <w:r w:rsidRPr="00074CD1">
        <w:rPr>
          <w:i/>
          <w:iCs/>
        </w:rPr>
        <w:t>Renaissance and Renewal in the Twelfth Century</w:t>
      </w:r>
      <w:r>
        <w:t>, ed. by R. L. Benson and G. Constable (Oxford: Clarendon Press, 1982).</w:t>
      </w:r>
      <w:r w:rsidRPr="00484B4F">
        <w:t xml:space="preserve"> The volume collects contributions which analyse the twelfth-century renewal from the perspectives of religion, education, society, law, politics and history, philosophy and science, literature and the arts.</w:t>
      </w:r>
    </w:p>
  </w:footnote>
  <w:footnote w:id="48">
    <w:p w14:paraId="377E2CB1" w14:textId="72230446" w:rsidR="008B64A3" w:rsidRDefault="008B64A3" w:rsidP="008B64A3">
      <w:pPr>
        <w:pStyle w:val="FootnoteText"/>
        <w:ind w:firstLine="0"/>
      </w:pPr>
      <w:r w:rsidRPr="00B006DE">
        <w:rPr>
          <w:rStyle w:val="FootnoteReference"/>
        </w:rPr>
        <w:footnoteRef/>
      </w:r>
      <w:r w:rsidRPr="00B006DE">
        <w:t xml:space="preserve"> </w:t>
      </w:r>
      <w:r>
        <w:t>For a broader overview on this topic see Haskins,</w:t>
      </w:r>
      <w:r w:rsidRPr="00B006DE">
        <w:t xml:space="preserve"> </w:t>
      </w:r>
      <w:r w:rsidR="00F20172" w:rsidRPr="00D65554">
        <w:rPr>
          <w:i/>
          <w:iCs/>
        </w:rPr>
        <w:t>The Renaissance of the Twelfth Century</w:t>
      </w:r>
      <w:r>
        <w:t xml:space="preserve">; </w:t>
      </w:r>
      <w:r w:rsidRPr="00074CD1">
        <w:rPr>
          <w:i/>
          <w:iCs/>
        </w:rPr>
        <w:t>Renaissance and Renewal in the Twelfth Century</w:t>
      </w:r>
      <w:r>
        <w:t xml:space="preserve">, ed. by R. L. Benson and G. Constable; Susan W. </w:t>
      </w:r>
      <w:r w:rsidRPr="00B006DE">
        <w:t xml:space="preserve">Bauer, </w:t>
      </w:r>
      <w:r w:rsidRPr="00B006DE">
        <w:rPr>
          <w:i/>
          <w:iCs/>
        </w:rPr>
        <w:t>The History of the Renaissance World: From the Rediscovery of Aristotle to the Conquest of Constantinople</w:t>
      </w:r>
      <w:r>
        <w:t xml:space="preserve"> </w:t>
      </w:r>
      <w:r w:rsidRPr="00B006DE">
        <w:t xml:space="preserve"> </w:t>
      </w:r>
      <w:r>
        <w:t>(</w:t>
      </w:r>
      <w:r w:rsidRPr="00B006DE">
        <w:t>New York: W. W. Norton &amp; Company,</w:t>
      </w:r>
      <w:r>
        <w:t xml:space="preserve"> 2013).</w:t>
      </w:r>
    </w:p>
  </w:footnote>
  <w:footnote w:id="49">
    <w:p w14:paraId="7E854176" w14:textId="77777777" w:rsidR="008B64A3" w:rsidRPr="00EC63BB" w:rsidRDefault="008B64A3" w:rsidP="008B64A3">
      <w:pPr>
        <w:pStyle w:val="FootnoteText"/>
        <w:ind w:firstLine="0"/>
      </w:pPr>
      <w:r>
        <w:rPr>
          <w:rStyle w:val="FootnoteReference"/>
        </w:rPr>
        <w:footnoteRef/>
      </w:r>
      <w:r>
        <w:t xml:space="preserve"> Ruggiero Pergola, </w:t>
      </w:r>
      <w:r w:rsidRPr="00584F85">
        <w:rPr>
          <w:i/>
          <w:iCs/>
        </w:rPr>
        <w:t>I luoghi del tradurre nel Medioevo. La trasmissione della scienza greca e araba nel mondo latino</w:t>
      </w:r>
      <w:r>
        <w:t xml:space="preserve"> (Lecce: Pensa MultiMedia, 2006), 7.</w:t>
      </w:r>
    </w:p>
  </w:footnote>
  <w:footnote w:id="50">
    <w:p w14:paraId="592D50CA" w14:textId="1CCEC282" w:rsidR="008B64A3" w:rsidRDefault="008B64A3" w:rsidP="008B64A3">
      <w:pPr>
        <w:pStyle w:val="FootnoteText"/>
        <w:ind w:firstLine="0"/>
      </w:pPr>
      <w:r>
        <w:rPr>
          <w:rStyle w:val="FootnoteReference"/>
        </w:rPr>
        <w:footnoteRef/>
      </w:r>
      <w:r>
        <w:t xml:space="preserve"> On Greek learning during the High Middle Ages see Guglielmo Cavallo, ‘La circolazione dei testi greci nell’Europa dell’alto medioevo’, in </w:t>
      </w:r>
      <w:r w:rsidRPr="001F6BE6">
        <w:rPr>
          <w:i/>
          <w:iCs/>
        </w:rPr>
        <w:t>Rencontres de cultures dans la philosophie médiévale, traductions et traducteurs de l’altiquité tardive au XIV</w:t>
      </w:r>
      <w:r w:rsidRPr="001F6BE6">
        <w:rPr>
          <w:i/>
          <w:iCs/>
          <w:vertAlign w:val="superscript"/>
        </w:rPr>
        <w:t>e</w:t>
      </w:r>
      <w:r w:rsidRPr="001F6BE6">
        <w:rPr>
          <w:i/>
          <w:iCs/>
        </w:rPr>
        <w:t xml:space="preserve"> siècle</w:t>
      </w:r>
      <w:r w:rsidR="00FB1172">
        <w:rPr>
          <w:i/>
          <w:iCs/>
        </w:rPr>
        <w:t>,</w:t>
      </w:r>
      <w:r>
        <w:t xml:space="preserve"> </w:t>
      </w:r>
      <w:r w:rsidR="00FB1172">
        <w:t xml:space="preserve">ed. by </w:t>
      </w:r>
      <w:r w:rsidR="00FB1172" w:rsidRPr="00FB1172">
        <w:t>J</w:t>
      </w:r>
      <w:r w:rsidR="00FB1172">
        <w:t>.</w:t>
      </w:r>
      <w:r w:rsidR="00FB1172" w:rsidRPr="00FB1172">
        <w:t xml:space="preserve"> Hamesse and M</w:t>
      </w:r>
      <w:r w:rsidR="00FB1172">
        <w:t>.</w:t>
      </w:r>
      <w:r w:rsidR="00FB1172" w:rsidRPr="00FB1172">
        <w:t xml:space="preserve"> Fattori </w:t>
      </w:r>
      <w:r>
        <w:t>(Louvain-la-Neuve: Publications de l’Institut d’Études Médiévales, 1990), 47-64.</w:t>
      </w:r>
    </w:p>
  </w:footnote>
  <w:footnote w:id="51">
    <w:p w14:paraId="3A813837" w14:textId="15CE9A05" w:rsidR="008B64A3" w:rsidRDefault="008B64A3" w:rsidP="008B64A3">
      <w:pPr>
        <w:pStyle w:val="FootnoteText"/>
        <w:ind w:firstLine="0"/>
      </w:pPr>
      <w:r>
        <w:rPr>
          <w:rStyle w:val="FootnoteReference"/>
        </w:rPr>
        <w:footnoteRef/>
      </w:r>
      <w:r>
        <w:t xml:space="preserve"> For a more complete overview of early medieval culture and the gaps of medieval sciences before the eleventh century see Pergola, </w:t>
      </w:r>
      <w:r w:rsidRPr="00584F85">
        <w:rPr>
          <w:i/>
          <w:iCs/>
        </w:rPr>
        <w:t>I luoghi del tradurre nel Medioevo</w:t>
      </w:r>
      <w:r>
        <w:t>, 5-31.</w:t>
      </w:r>
    </w:p>
  </w:footnote>
  <w:footnote w:id="52">
    <w:p w14:paraId="0A565FDD" w14:textId="510825AF" w:rsidR="008B64A3" w:rsidRDefault="008B64A3" w:rsidP="008B64A3">
      <w:pPr>
        <w:pStyle w:val="FootnoteText"/>
        <w:ind w:firstLine="0"/>
      </w:pPr>
      <w:r>
        <w:rPr>
          <w:rStyle w:val="FootnoteReference"/>
        </w:rPr>
        <w:footnoteRef/>
      </w:r>
      <w:r>
        <w:t xml:space="preserve"> Pergola, </w:t>
      </w:r>
      <w:r w:rsidRPr="00584F85">
        <w:rPr>
          <w:i/>
          <w:iCs/>
        </w:rPr>
        <w:t>I luoghi del tradurre nel Medioevo</w:t>
      </w:r>
      <w:r>
        <w:t>, 9.</w:t>
      </w:r>
    </w:p>
  </w:footnote>
  <w:footnote w:id="53">
    <w:p w14:paraId="2EA85882" w14:textId="345EF968" w:rsidR="008B64A3" w:rsidRDefault="008B64A3" w:rsidP="008B64A3">
      <w:pPr>
        <w:pStyle w:val="FootnoteText"/>
        <w:ind w:firstLine="0"/>
      </w:pPr>
      <w:r>
        <w:rPr>
          <w:rStyle w:val="FootnoteReference"/>
        </w:rPr>
        <w:footnoteRef/>
      </w:r>
      <w:r>
        <w:t xml:space="preserve"> Marie-Thérèse d’Alverny, ‘Translations and Translators’, in  </w:t>
      </w:r>
      <w:r w:rsidRPr="00074CD1">
        <w:rPr>
          <w:i/>
          <w:iCs/>
        </w:rPr>
        <w:t>Renaissance and Renewal in the Twelfth Century</w:t>
      </w:r>
      <w:r>
        <w:t>,</w:t>
      </w:r>
      <w:r w:rsidRPr="00E80C1B">
        <w:t xml:space="preserve"> </w:t>
      </w:r>
      <w:r>
        <w:t>421-462: 439.</w:t>
      </w:r>
    </w:p>
  </w:footnote>
  <w:footnote w:id="54">
    <w:p w14:paraId="0B58480D" w14:textId="77777777" w:rsidR="008B64A3" w:rsidRDefault="008B64A3" w:rsidP="008B64A3">
      <w:pPr>
        <w:pStyle w:val="FootnoteText"/>
        <w:ind w:firstLine="0"/>
      </w:pPr>
      <w:r>
        <w:rPr>
          <w:rStyle w:val="FootnoteReference"/>
        </w:rPr>
        <w:footnoteRef/>
      </w:r>
      <w:r>
        <w:t xml:space="preserve"> These texts have been edited and studied by David Juste in his monograph </w:t>
      </w:r>
      <w:r w:rsidRPr="006C69AF">
        <w:rPr>
          <w:i/>
          <w:iCs/>
        </w:rPr>
        <w:t>Les Alchandreana primitifs</w:t>
      </w:r>
      <w:r>
        <w:rPr>
          <w:i/>
          <w:iCs/>
        </w:rPr>
        <w:t xml:space="preserve"> </w:t>
      </w:r>
      <w:r>
        <w:t>(</w:t>
      </w:r>
      <w:r w:rsidRPr="006C69AF">
        <w:t>2007</w:t>
      </w:r>
      <w:r>
        <w:t>).</w:t>
      </w:r>
    </w:p>
  </w:footnote>
  <w:footnote w:id="55">
    <w:p w14:paraId="54D0BF83" w14:textId="5E7BD654" w:rsidR="008B64A3" w:rsidRDefault="008B64A3" w:rsidP="008B64A3">
      <w:pPr>
        <w:pStyle w:val="FootnoteText"/>
        <w:ind w:firstLine="0"/>
      </w:pPr>
      <w:r>
        <w:rPr>
          <w:rStyle w:val="FootnoteReference"/>
        </w:rPr>
        <w:footnoteRef/>
      </w:r>
      <w:r>
        <w:t xml:space="preserve"> More on the figure of Constantine the African can be found in d’Alverny, ‘Translations and Translators’, in  </w:t>
      </w:r>
      <w:r w:rsidRPr="00074CD1">
        <w:rPr>
          <w:i/>
          <w:iCs/>
        </w:rPr>
        <w:t>Renaissance and Renewal in the Twelfth Century</w:t>
      </w:r>
      <w:r>
        <w:t>,</w:t>
      </w:r>
      <w:r w:rsidRPr="00E80C1B">
        <w:t xml:space="preserve"> </w:t>
      </w:r>
      <w:r>
        <w:t xml:space="preserve">422-426; </w:t>
      </w:r>
      <w:bookmarkStart w:id="24" w:name="_Hlk150422180"/>
      <w:r w:rsidRPr="00AB393A">
        <w:t xml:space="preserve">Charles Joseph Singer, ‘A legend of Salerno: how Constantine the African brought the art of medicine to the Christians’, in </w:t>
      </w:r>
      <w:r w:rsidRPr="00AB393A">
        <w:rPr>
          <w:i/>
          <w:iCs/>
        </w:rPr>
        <w:t>Johns Hopkins Hospital bulletin</w:t>
      </w:r>
      <w:r w:rsidRPr="00AB393A">
        <w:t xml:space="preserve">, 28 (1917) </w:t>
      </w:r>
      <w:r>
        <w:t>64-69</w:t>
      </w:r>
      <w:bookmarkEnd w:id="24"/>
      <w:r>
        <w:t xml:space="preserve">; </w:t>
      </w:r>
      <w:bookmarkStart w:id="25" w:name="_Hlk150422365"/>
      <w:r w:rsidRPr="009913B5">
        <w:rPr>
          <w:i/>
          <w:iCs/>
        </w:rPr>
        <w:t>Constantine the African and ʻAlī ibn al-ʻAbbās al-Magūsī: the Pantegni and Related Texts</w:t>
      </w:r>
      <w:r w:rsidRPr="009913B5">
        <w:t>, ed. by C. Burnett and D. Jacquart (Leiden-New York-Cologne: Brill, 1994</w:t>
      </w:r>
      <w:bookmarkEnd w:id="25"/>
      <w:r w:rsidRPr="009913B5">
        <w:t>)</w:t>
      </w:r>
      <w:r>
        <w:t>;</w:t>
      </w:r>
      <w:r w:rsidRPr="009913B5">
        <w:t xml:space="preserve"> </w:t>
      </w:r>
      <w:bookmarkStart w:id="26" w:name="_Hlk150422430"/>
      <w:r>
        <w:t xml:space="preserve">Erik Kwakkel, Francis Newton, </w:t>
      </w:r>
      <w:r w:rsidRPr="00E93A9A">
        <w:rPr>
          <w:i/>
          <w:iCs/>
        </w:rPr>
        <w:t>Medicine at Monte Cassino, Constantine the African and the Oldest Manuscript of his Pantegni</w:t>
      </w:r>
      <w:r>
        <w:t xml:space="preserve"> (Turnhout: Brepols, 2019)</w:t>
      </w:r>
      <w:bookmarkEnd w:id="26"/>
      <w:r>
        <w:t>.</w:t>
      </w:r>
    </w:p>
  </w:footnote>
  <w:footnote w:id="56">
    <w:p w14:paraId="674FE58C" w14:textId="3FDFF430" w:rsidR="008B64A3" w:rsidRDefault="008B64A3" w:rsidP="008B64A3">
      <w:pPr>
        <w:pStyle w:val="FootnoteText"/>
        <w:ind w:firstLine="0"/>
      </w:pPr>
      <w:r>
        <w:rPr>
          <w:rStyle w:val="FootnoteReference"/>
        </w:rPr>
        <w:footnoteRef/>
      </w:r>
      <w:r>
        <w:t xml:space="preserve"> d’Alverny, ‘Translations and Translators’, 427.</w:t>
      </w:r>
    </w:p>
  </w:footnote>
  <w:footnote w:id="57">
    <w:p w14:paraId="7F260758" w14:textId="3CF717D9" w:rsidR="008B64A3" w:rsidRDefault="008B64A3" w:rsidP="008B64A3">
      <w:pPr>
        <w:pStyle w:val="FootnoteText"/>
        <w:ind w:firstLine="0"/>
      </w:pPr>
      <w:r>
        <w:rPr>
          <w:rStyle w:val="FootnoteReference"/>
        </w:rPr>
        <w:footnoteRef/>
      </w:r>
      <w:r>
        <w:t xml:space="preserve"> For more information on translators working in Italy see Pergola, </w:t>
      </w:r>
      <w:r w:rsidRPr="00584F85">
        <w:rPr>
          <w:i/>
          <w:iCs/>
        </w:rPr>
        <w:t>I luoghi del tradurre nel Medioevo</w:t>
      </w:r>
      <w:r>
        <w:rPr>
          <w:i/>
          <w:iCs/>
        </w:rPr>
        <w:t xml:space="preserve"> </w:t>
      </w:r>
      <w:r>
        <w:t>(2006), 39-52;</w:t>
      </w:r>
      <w:r w:rsidRPr="007C5DFB">
        <w:t xml:space="preserve"> </w:t>
      </w:r>
      <w:r>
        <w:t xml:space="preserve">d’Alverny, ‘Translations and Translators’, 422-426, 433-435, 437-438. On Michael Scot see J. Wood Brown, </w:t>
      </w:r>
      <w:r w:rsidRPr="00755CA5">
        <w:rPr>
          <w:i/>
          <w:iCs/>
        </w:rPr>
        <w:t>An Enquiry into The Life and Legend of Michael Scot</w:t>
      </w:r>
      <w:r>
        <w:t xml:space="preserve"> (Edinburgh: David Douglas, 1897); Lynn Thorndike, </w:t>
      </w:r>
      <w:r w:rsidRPr="00F62A0A">
        <w:rPr>
          <w:i/>
          <w:iCs/>
        </w:rPr>
        <w:t>Michael Scot</w:t>
      </w:r>
      <w:r>
        <w:t xml:space="preserve"> (London:</w:t>
      </w:r>
      <w:r w:rsidR="00FB1172">
        <w:t xml:space="preserve"> </w:t>
      </w:r>
      <w:r>
        <w:t xml:space="preserve">Nelson, 1965);  Lorenzo Minio-Paluello, ‘Michael Scot’, in </w:t>
      </w:r>
      <w:r w:rsidRPr="00545AE6">
        <w:rPr>
          <w:i/>
          <w:iCs/>
        </w:rPr>
        <w:t>The Dictionary of Scientific Biography,</w:t>
      </w:r>
      <w:r>
        <w:t xml:space="preserve"> ed. by C. C. Gillispie, XI (New York</w:t>
      </w:r>
      <w:r w:rsidR="008530BA">
        <w:t>: Scribner,</w:t>
      </w:r>
      <w:r>
        <w:t xml:space="preserve"> 1974), 361-65; Raoul Manselli, ‘La corte di Federico II e Michele Scoto’, in </w:t>
      </w:r>
      <w:r w:rsidRPr="00EC218E">
        <w:rPr>
          <w:i/>
          <w:iCs/>
        </w:rPr>
        <w:t>L’Averroismo in Italia</w:t>
      </w:r>
      <w:r>
        <w:t xml:space="preserve"> (Rome: Accademia Nazionale dei Lincei, 1979), 63-80; Charles S. F. </w:t>
      </w:r>
      <w:r w:rsidRPr="008B32EF">
        <w:t xml:space="preserve">Burnett, </w:t>
      </w:r>
      <w:r>
        <w:t>‘</w:t>
      </w:r>
      <w:r w:rsidRPr="008B32EF">
        <w:t>Michael Scot and the Transmission of Scientific Culture from Toledo to Bologna via the Court of Frederick II Hohenstaufen</w:t>
      </w:r>
      <w:r>
        <w:t>’, in</w:t>
      </w:r>
      <w:r w:rsidRPr="008B32EF">
        <w:t xml:space="preserve"> </w:t>
      </w:r>
      <w:r w:rsidRPr="008B32EF">
        <w:rPr>
          <w:i/>
          <w:iCs/>
        </w:rPr>
        <w:t>Micrologus 2</w:t>
      </w:r>
      <w:r w:rsidRPr="008B32EF">
        <w:t xml:space="preserve"> (1994)</w:t>
      </w:r>
      <w:r>
        <w:t xml:space="preserve">, </w:t>
      </w:r>
      <w:r w:rsidRPr="008B32EF">
        <w:t>101–26</w:t>
      </w:r>
      <w:r>
        <w:t>; Eleonora Andriani,</w:t>
      </w:r>
      <w:r w:rsidRPr="00F55989">
        <w:t xml:space="preserve"> </w:t>
      </w:r>
      <w:r>
        <w:t>‘</w:t>
      </w:r>
      <w:r w:rsidRPr="00F55989">
        <w:t xml:space="preserve">The </w:t>
      </w:r>
      <w:r w:rsidR="00F41B05">
        <w:t>I</w:t>
      </w:r>
      <w:r w:rsidRPr="00F55989">
        <w:t xml:space="preserve">nfluence of the </w:t>
      </w:r>
      <w:r w:rsidR="00F41B05">
        <w:t>S</w:t>
      </w:r>
      <w:r w:rsidRPr="00F55989">
        <w:t xml:space="preserve">tars and the </w:t>
      </w:r>
      <w:r w:rsidR="00F41B05">
        <w:t>I</w:t>
      </w:r>
      <w:r w:rsidRPr="00F55989">
        <w:t xml:space="preserve">ntervention of </w:t>
      </w:r>
      <w:r w:rsidR="00F41B05">
        <w:t>D</w:t>
      </w:r>
      <w:r w:rsidRPr="00F55989">
        <w:t xml:space="preserve">emons in </w:t>
      </w:r>
      <w:r w:rsidR="00F41B05">
        <w:t>W</w:t>
      </w:r>
      <w:r w:rsidRPr="00F55989">
        <w:t xml:space="preserve">ars: </w:t>
      </w:r>
      <w:r w:rsidR="00F41B05">
        <w:t>A</w:t>
      </w:r>
      <w:r w:rsidRPr="00F55989">
        <w:t xml:space="preserve">n </w:t>
      </w:r>
      <w:r w:rsidR="00F41B05">
        <w:t>I</w:t>
      </w:r>
      <w:r w:rsidRPr="00F55989">
        <w:t xml:space="preserve">nsight into the </w:t>
      </w:r>
      <w:r>
        <w:t>‘</w:t>
      </w:r>
      <w:r w:rsidRPr="00F55989">
        <w:t>Liber Introductorius</w:t>
      </w:r>
      <w:r>
        <w:t>’</w:t>
      </w:r>
      <w:r w:rsidRPr="00F55989">
        <w:t xml:space="preserve"> of Michael Scot</w:t>
      </w:r>
      <w:r w:rsidR="00F41B05">
        <w:t>,</w:t>
      </w:r>
      <w:r>
        <w:t xml:space="preserve">’ in </w:t>
      </w:r>
      <w:r w:rsidRPr="00F55989">
        <w:rPr>
          <w:i/>
          <w:iCs/>
        </w:rPr>
        <w:t xml:space="preserve">Giornale critico della filosofia italiana </w:t>
      </w:r>
      <w:r w:rsidRPr="00F55989">
        <w:t>VII.14, fasc. II (2018), 275-89</w:t>
      </w:r>
      <w:r>
        <w:t xml:space="preserve">; Michael Scot, </w:t>
      </w:r>
      <w:r w:rsidRPr="00545AE6">
        <w:rPr>
          <w:i/>
          <w:iCs/>
        </w:rPr>
        <w:t>Liber particularis, Liber physionomie</w:t>
      </w:r>
      <w:r>
        <w:t xml:space="preserve">, ed. by </w:t>
      </w:r>
      <w:r w:rsidRPr="00F62A0A">
        <w:t>O</w:t>
      </w:r>
      <w:r w:rsidR="004B10DF">
        <w:t>.</w:t>
      </w:r>
      <w:r w:rsidRPr="00F62A0A">
        <w:t xml:space="preserve"> Voskoboynikov</w:t>
      </w:r>
      <w:r>
        <w:t xml:space="preserve"> (Florence</w:t>
      </w:r>
      <w:r w:rsidRPr="00F62A0A">
        <w:t xml:space="preserve"> : Sismel - Edizioni del Galluzzo, 2019</w:t>
      </w:r>
      <w:r>
        <w:t xml:space="preserve">); </w:t>
      </w:r>
    </w:p>
  </w:footnote>
  <w:footnote w:id="58">
    <w:p w14:paraId="70F4B2DA" w14:textId="77777777" w:rsidR="008B64A3" w:rsidRDefault="008B64A3" w:rsidP="008B64A3">
      <w:pPr>
        <w:pStyle w:val="FootnoteText"/>
        <w:ind w:firstLine="0"/>
      </w:pPr>
      <w:r>
        <w:rPr>
          <w:rStyle w:val="FootnoteReference"/>
        </w:rPr>
        <w:footnoteRef/>
      </w:r>
      <w:r>
        <w:t xml:space="preserve"> Hermann of Carinthia was also active in Languedoc. See Charles Homer Haskins, </w:t>
      </w:r>
      <w:r w:rsidRPr="00366FD7">
        <w:rPr>
          <w:i/>
          <w:iCs/>
        </w:rPr>
        <w:t>Studies in the History of Medieval Science</w:t>
      </w:r>
      <w:r>
        <w:t xml:space="preserve"> (Cambridge, Mass: Harvard University Press, 1924), 11-12. </w:t>
      </w:r>
    </w:p>
  </w:footnote>
  <w:footnote w:id="59">
    <w:p w14:paraId="767E4702" w14:textId="77777777" w:rsidR="008B64A3" w:rsidRDefault="008B64A3" w:rsidP="008B64A3">
      <w:pPr>
        <w:pStyle w:val="FootnoteText"/>
        <w:ind w:firstLine="0"/>
      </w:pPr>
      <w:r>
        <w:rPr>
          <w:rStyle w:val="FootnoteReference"/>
        </w:rPr>
        <w:footnoteRef/>
      </w:r>
      <w:r>
        <w:t xml:space="preserve"> The list of translators offered in this chapter does not claim to be exhaustive. A very useful map of the Spanish Reconquista and the translators can be found in Dag Nikolaus Hasse, ‘The Social Conditions of the Arabic-(Hebrew-) Latin translation Movements in Medieval Spain and in the Renaissance’, in </w:t>
      </w:r>
      <w:r w:rsidRPr="00415FA0">
        <w:rPr>
          <w:i/>
          <w:iCs/>
        </w:rPr>
        <w:t>Wissen über Grenzen, Arabisches Wissen und lateinisches Mittelalter</w:t>
      </w:r>
      <w:r>
        <w:t xml:space="preserve">, ed. by </w:t>
      </w:r>
      <w:r w:rsidRPr="00506040">
        <w:t>A</w:t>
      </w:r>
      <w:r>
        <w:t>.</w:t>
      </w:r>
      <w:r w:rsidRPr="00506040">
        <w:t xml:space="preserve"> Speer and L</w:t>
      </w:r>
      <w:r>
        <w:t>.</w:t>
      </w:r>
      <w:r w:rsidRPr="00506040">
        <w:t xml:space="preserve"> Wegener</w:t>
      </w:r>
      <w:r>
        <w:t xml:space="preserve"> (Berlin: De Gruyter, 2006), 68-86: 70. On the importance of Toledo as a centre for translations see Charles Burnett, ‘The Coherence if the Arabic-Latin Translation Program in Toledo in the Twelfth Century’, in </w:t>
      </w:r>
      <w:r w:rsidRPr="00545AE6">
        <w:rPr>
          <w:i/>
          <w:iCs/>
        </w:rPr>
        <w:t>Science in Context</w:t>
      </w:r>
      <w:r>
        <w:t>, 14 (1/2), (2001), 249-88.</w:t>
      </w:r>
    </w:p>
  </w:footnote>
  <w:footnote w:id="60">
    <w:p w14:paraId="657714A1" w14:textId="607E257F" w:rsidR="008B64A3" w:rsidRPr="008C1EBD" w:rsidRDefault="008B64A3" w:rsidP="008B64A3">
      <w:pPr>
        <w:pStyle w:val="FootnoteText"/>
        <w:ind w:firstLine="0"/>
      </w:pPr>
      <w:r>
        <w:rPr>
          <w:rStyle w:val="FootnoteReference"/>
        </w:rPr>
        <w:footnoteRef/>
      </w:r>
      <w:r>
        <w:t xml:space="preserve"> On Adelard of Bath see Louisa Cochrane, ‘</w:t>
      </w:r>
      <w:r w:rsidRPr="003D0BD0">
        <w:t xml:space="preserve">Adelard of Bath and the </w:t>
      </w:r>
      <w:r w:rsidR="009C0663">
        <w:t>A</w:t>
      </w:r>
      <w:r w:rsidRPr="003D0BD0">
        <w:t>strolabe</w:t>
      </w:r>
      <w:r>
        <w:t xml:space="preserve">’, in </w:t>
      </w:r>
      <w:r w:rsidRPr="003D0BD0">
        <w:rPr>
          <w:i/>
          <w:iCs/>
        </w:rPr>
        <w:t>Proceedings of the Somersetshire Archaeological and Natural History Society</w:t>
      </w:r>
      <w:r>
        <w:t>,</w:t>
      </w:r>
      <w:r w:rsidRPr="003D0BD0">
        <w:t xml:space="preserve"> 124 </w:t>
      </w:r>
      <w:r>
        <w:t>(</w:t>
      </w:r>
      <w:r w:rsidRPr="003D0BD0">
        <w:t>1980</w:t>
      </w:r>
      <w:r>
        <w:t xml:space="preserve">), 141-150;  Louisa Cochrane, </w:t>
      </w:r>
      <w:r w:rsidRPr="008C1EBD">
        <w:rPr>
          <w:i/>
          <w:iCs/>
        </w:rPr>
        <w:t xml:space="preserve">Adelard of Bath: the </w:t>
      </w:r>
      <w:r w:rsidR="00B77590">
        <w:rPr>
          <w:i/>
          <w:iCs/>
        </w:rPr>
        <w:t>F</w:t>
      </w:r>
      <w:r w:rsidRPr="008C1EBD">
        <w:rPr>
          <w:i/>
          <w:iCs/>
        </w:rPr>
        <w:t xml:space="preserve">irst English </w:t>
      </w:r>
      <w:r w:rsidR="00B77590">
        <w:rPr>
          <w:i/>
          <w:iCs/>
        </w:rPr>
        <w:t>S</w:t>
      </w:r>
      <w:r w:rsidRPr="008C1EBD">
        <w:rPr>
          <w:i/>
          <w:iCs/>
        </w:rPr>
        <w:t>cientist</w:t>
      </w:r>
      <w:r>
        <w:t xml:space="preserve"> (</w:t>
      </w:r>
      <w:r w:rsidRPr="008C1EBD">
        <w:t>Lond</w:t>
      </w:r>
      <w:r>
        <w:t xml:space="preserve">on: British Museum, 1994); Charles Burnett (ed.), </w:t>
      </w:r>
      <w:r w:rsidRPr="008C1EBD">
        <w:rPr>
          <w:i/>
          <w:iCs/>
        </w:rPr>
        <w:t xml:space="preserve">Adelard of Bath: an English </w:t>
      </w:r>
      <w:r w:rsidR="00B77590">
        <w:rPr>
          <w:i/>
          <w:iCs/>
        </w:rPr>
        <w:t>S</w:t>
      </w:r>
      <w:r w:rsidRPr="008C1EBD">
        <w:rPr>
          <w:i/>
          <w:iCs/>
        </w:rPr>
        <w:t xml:space="preserve">cientist and Arabist of the </w:t>
      </w:r>
      <w:r w:rsidR="00B77590">
        <w:rPr>
          <w:i/>
          <w:iCs/>
        </w:rPr>
        <w:t>E</w:t>
      </w:r>
      <w:r w:rsidRPr="008C1EBD">
        <w:rPr>
          <w:i/>
          <w:iCs/>
        </w:rPr>
        <w:t xml:space="preserve">arly </w:t>
      </w:r>
      <w:r w:rsidR="00B77590">
        <w:rPr>
          <w:i/>
          <w:iCs/>
        </w:rPr>
        <w:t>T</w:t>
      </w:r>
      <w:r w:rsidRPr="008C1EBD">
        <w:rPr>
          <w:i/>
          <w:iCs/>
        </w:rPr>
        <w:t xml:space="preserve">welfth </w:t>
      </w:r>
      <w:r w:rsidR="00B77590">
        <w:rPr>
          <w:i/>
          <w:iCs/>
        </w:rPr>
        <w:t>C</w:t>
      </w:r>
      <w:r w:rsidRPr="008C1EBD">
        <w:rPr>
          <w:i/>
          <w:iCs/>
        </w:rPr>
        <w:t>entury</w:t>
      </w:r>
      <w:r>
        <w:rPr>
          <w:i/>
          <w:iCs/>
        </w:rPr>
        <w:t xml:space="preserve"> </w:t>
      </w:r>
      <w:r>
        <w:t>(</w:t>
      </w:r>
      <w:r w:rsidRPr="008C1EBD">
        <w:t>London: Warburg Institute, 1987</w:t>
      </w:r>
      <w:r>
        <w:t>); Charles Burnett,</w:t>
      </w:r>
      <w:r w:rsidRPr="008C1EBD">
        <w:t xml:space="preserve"> </w:t>
      </w:r>
      <w:r>
        <w:t>‘</w:t>
      </w:r>
      <w:r w:rsidRPr="008C1EBD">
        <w:t>Adelard of Bath and the Arabs</w:t>
      </w:r>
      <w:r>
        <w:t xml:space="preserve">’, in </w:t>
      </w:r>
      <w:r w:rsidRPr="003D0BD0">
        <w:rPr>
          <w:i/>
          <w:iCs/>
        </w:rPr>
        <w:t>Rencontres de cultures dans la philosophie médiévale. Traductions et traducteurs de l'antiquité tardive au 14e siècle</w:t>
      </w:r>
      <w:r>
        <w:t xml:space="preserve"> (1990), 89-107. See also Charles Burnett, </w:t>
      </w:r>
      <w:r w:rsidRPr="006A5CCD">
        <w:rPr>
          <w:i/>
          <w:iCs/>
        </w:rPr>
        <w:t>The Introduction of Arabic Learning into England</w:t>
      </w:r>
      <w:r>
        <w:t xml:space="preserve"> [The Panizzi Lectures] (London: The British Library, 1997).</w:t>
      </w:r>
    </w:p>
  </w:footnote>
  <w:footnote w:id="61">
    <w:p w14:paraId="245F5CE6" w14:textId="77777777" w:rsidR="008B64A3" w:rsidRDefault="008B64A3" w:rsidP="008B64A3">
      <w:pPr>
        <w:pStyle w:val="FootnoteText"/>
        <w:ind w:firstLine="0"/>
      </w:pPr>
      <w:r>
        <w:rPr>
          <w:rStyle w:val="FootnoteReference"/>
        </w:rPr>
        <w:footnoteRef/>
      </w:r>
      <w:r>
        <w:t xml:space="preserve"> Charles Burnett, ‘Some Comment on the Translating of Works from Arabic into Latin in the Mid-Twelfth Century’, in </w:t>
      </w:r>
      <w:r w:rsidRPr="00DF5CF5">
        <w:rPr>
          <w:i/>
          <w:iCs/>
        </w:rPr>
        <w:t>Miscellanea Mediaevalia</w:t>
      </w:r>
      <w:r>
        <w:t>, 17 (Berlin: De Gruyter, 1985), 161-171: 165.</w:t>
      </w:r>
    </w:p>
  </w:footnote>
  <w:footnote w:id="62">
    <w:p w14:paraId="704B8CB5" w14:textId="1BC6959D" w:rsidR="00C5228D" w:rsidRPr="00D34CFF" w:rsidRDefault="00C5228D" w:rsidP="00D34CFF">
      <w:pPr>
        <w:pStyle w:val="FootnoteText"/>
        <w:ind w:firstLine="0"/>
        <w:rPr>
          <w:lang w:val="es-ES"/>
        </w:rPr>
      </w:pPr>
      <w:r>
        <w:rPr>
          <w:rStyle w:val="FootnoteReference"/>
        </w:rPr>
        <w:footnoteRef/>
      </w:r>
      <w:r>
        <w:t xml:space="preserve"> </w:t>
      </w:r>
      <w:r w:rsidRPr="00D34CFF">
        <w:t xml:space="preserve">On the </w:t>
      </w:r>
      <w:r w:rsidR="00EE158E" w:rsidRPr="00D34CFF">
        <w:t>collaboration between Plato of Tivoli and</w:t>
      </w:r>
      <w:r w:rsidRPr="00D34CFF">
        <w:t xml:space="preserve"> </w:t>
      </w:r>
      <w:r w:rsidR="00EE158E" w:rsidRPr="00D34CFF">
        <w:t>see</w:t>
      </w:r>
      <w:r w:rsidR="00D34CFF">
        <w:rPr>
          <w:lang w:val="es-ES"/>
        </w:rPr>
        <w:t xml:space="preserve"> </w:t>
      </w:r>
      <w:r w:rsidR="00D34CFF" w:rsidRPr="00402A31">
        <w:t xml:space="preserve">José Chabás, “Interactions between Jewish and Christian Astronomers in the Iberian Peninsula”, in </w:t>
      </w:r>
      <w:r w:rsidR="00D34CFF" w:rsidRPr="00402A31">
        <w:rPr>
          <w:i/>
          <w:iCs/>
        </w:rPr>
        <w:t>Science in Medieval Jewish Culture</w:t>
      </w:r>
      <w:r w:rsidR="00D34CFF" w:rsidRPr="00402A31">
        <w:t xml:space="preserve">s, ed. by G. Freudenthal (New York: Cambridge University Press, 2011), 147-171; Marie-Thérèse d’Alverny, “Translations and Translators”, in </w:t>
      </w:r>
      <w:r w:rsidR="00D34CFF" w:rsidRPr="00402A31">
        <w:rPr>
          <w:i/>
          <w:iCs/>
        </w:rPr>
        <w:t>Renaissance and Renewal in the Twelfth Century</w:t>
      </w:r>
      <w:r w:rsidR="00D34CFF" w:rsidRPr="00402A31">
        <w:t>, ed. by R. L. Benson and G. Constable (Oxford: Claredon Press, 1982), 421-462;   Julio Samsó, ‘El procés de la transmissió científica al nord-est de la península Ibèrica al segle XII: els textos llatins’, i</w:t>
      </w:r>
      <w:r w:rsidR="00D34CFF" w:rsidRPr="00402A31">
        <w:rPr>
          <w:lang w:val="es-ES"/>
        </w:rPr>
        <w:t xml:space="preserve">n </w:t>
      </w:r>
      <w:r w:rsidR="00D34CFF" w:rsidRPr="00402A31">
        <w:rPr>
          <w:i/>
          <w:iCs/>
          <w:lang w:val="es-ES"/>
        </w:rPr>
        <w:t>La ciencia en la historia dels Països Catalans, vol. I Dels àrabs al Renaixement,</w:t>
      </w:r>
      <w:r w:rsidR="00D34CFF" w:rsidRPr="00402A31">
        <w:rPr>
          <w:lang w:val="es-ES"/>
        </w:rPr>
        <w:t xml:space="preserve"> dir. Joan Vernet and Ramon Parés (València: Institut d’Estudis Catalans and Universitat de València, 2004), 269-296.</w:t>
      </w:r>
    </w:p>
  </w:footnote>
  <w:footnote w:id="63">
    <w:p w14:paraId="797BB96B" w14:textId="5F624190" w:rsidR="008B64A3" w:rsidRDefault="008B64A3" w:rsidP="008B64A3">
      <w:pPr>
        <w:pStyle w:val="FootnoteText"/>
        <w:ind w:firstLine="0"/>
      </w:pPr>
      <w:r>
        <w:rPr>
          <w:rStyle w:val="FootnoteReference"/>
        </w:rPr>
        <w:footnoteRef/>
      </w:r>
      <w:r>
        <w:t xml:space="preserve"> Burnett, ‘Some Comment on the Translating of Works…’, 165; d’Alverny, ‘Translations and Translators’, 453. On Gerard see also </w:t>
      </w:r>
      <w:bookmarkStart w:id="27" w:name="_Hlk150424487"/>
      <w:r>
        <w:t xml:space="preserve">Jose S. </w:t>
      </w:r>
      <w:bookmarkStart w:id="28" w:name="_Hlk141450186"/>
      <w:r>
        <w:t xml:space="preserve">Gil, ‘The Translators of the Period of D. Raymundo: </w:t>
      </w:r>
      <w:bookmarkEnd w:id="28"/>
      <w:r>
        <w:t xml:space="preserve">Their Personalities and Translations (1125-1187)’, in </w:t>
      </w:r>
      <w:r w:rsidRPr="00245295">
        <w:rPr>
          <w:i/>
          <w:iCs/>
        </w:rPr>
        <w:t>Rencontres de cultures dans la philosophie médiévale, traductions et traducteurs de l’altiquité tardive au XIVe siècle</w:t>
      </w:r>
      <w:r w:rsidRPr="00245295">
        <w:t xml:space="preserve"> (Louvain-la-Neuve: Publications de l’Institut d’Études Médiévales, 1990),</w:t>
      </w:r>
      <w:r>
        <w:t xml:space="preserve"> 109-119</w:t>
      </w:r>
      <w:bookmarkEnd w:id="27"/>
      <w:r>
        <w:t>:110-112.</w:t>
      </w:r>
    </w:p>
  </w:footnote>
  <w:footnote w:id="64">
    <w:p w14:paraId="1A854438" w14:textId="778E24DC" w:rsidR="008B64A3" w:rsidRDefault="008B64A3" w:rsidP="008B64A3">
      <w:pPr>
        <w:pStyle w:val="FootnoteText"/>
        <w:ind w:firstLine="0"/>
      </w:pPr>
      <w:r>
        <w:rPr>
          <w:rStyle w:val="FootnoteReference"/>
        </w:rPr>
        <w:footnoteRef/>
      </w:r>
      <w:r>
        <w:t xml:space="preserve"> Burnett, ‘Some Comment on the Translating of Works…’, 166.</w:t>
      </w:r>
    </w:p>
  </w:footnote>
  <w:footnote w:id="65">
    <w:p w14:paraId="0596E60C" w14:textId="08BDE486" w:rsidR="008B64A3" w:rsidRDefault="008B64A3" w:rsidP="008B64A3">
      <w:pPr>
        <w:pStyle w:val="FootnoteText"/>
        <w:ind w:firstLine="0"/>
      </w:pPr>
      <w:r>
        <w:rPr>
          <w:rStyle w:val="FootnoteReference"/>
        </w:rPr>
        <w:footnoteRef/>
      </w:r>
      <w:r>
        <w:t xml:space="preserve"> Burnett, ‘Some Comment on the Translating of Works…’, 168. This is also inferred by a gloss probably by Gerard of Cremona, see Charles </w:t>
      </w:r>
      <w:bookmarkStart w:id="29" w:name="_Hlk150424585"/>
      <w:r>
        <w:t xml:space="preserve">Burnett, ‘The Strategy of Revision in the Arabic-Latin Translations from Toledo: The Case of Abū Ma‘shar’s </w:t>
      </w:r>
      <w:r w:rsidRPr="00761404">
        <w:rPr>
          <w:i/>
          <w:iCs/>
        </w:rPr>
        <w:t>On the Great Conjunctions</w:t>
      </w:r>
      <w:r w:rsidRPr="00761404">
        <w:t>’</w:t>
      </w:r>
      <w:r>
        <w:t xml:space="preserve">, in </w:t>
      </w:r>
      <w:r w:rsidRPr="008836BC">
        <w:rPr>
          <w:i/>
          <w:iCs/>
          <w:lang w:val="fr-FR"/>
        </w:rPr>
        <w:t>Les traducteurs au travail, leurs manuscrits et leurs méthodes</w:t>
      </w:r>
      <w:r>
        <w:t>, ed. by J. Hamesse (Turnhout: Brepols, 2001), 51-113</w:t>
      </w:r>
      <w:bookmarkEnd w:id="29"/>
      <w:r>
        <w:t>: 67.</w:t>
      </w:r>
    </w:p>
  </w:footnote>
  <w:footnote w:id="66">
    <w:p w14:paraId="09041BB3" w14:textId="0DD38C24" w:rsidR="008B64A3" w:rsidRDefault="008B64A3" w:rsidP="008B64A3">
      <w:pPr>
        <w:pStyle w:val="FootnoteText"/>
        <w:ind w:firstLine="0"/>
      </w:pPr>
      <w:r>
        <w:rPr>
          <w:rStyle w:val="FootnoteReference"/>
        </w:rPr>
        <w:footnoteRef/>
      </w:r>
      <w:r>
        <w:t xml:space="preserve"> Charles Burnett, ‘Translating from Arabic into Latin in the Middle Ages: Theory, Practice, and Criticism’, in</w:t>
      </w:r>
      <w:r w:rsidRPr="00D8718D">
        <w:t xml:space="preserve"> </w:t>
      </w:r>
      <w:r w:rsidRPr="008836BC">
        <w:rPr>
          <w:i/>
          <w:iCs/>
          <w:lang w:val="fr-FR"/>
        </w:rPr>
        <w:t>Éditer, traduire, interpréter. Essais de méthodologie philosophique</w:t>
      </w:r>
      <w:r>
        <w:t>, e</w:t>
      </w:r>
      <w:r w:rsidRPr="00D8718D">
        <w:t>d.</w:t>
      </w:r>
      <w:r>
        <w:t xml:space="preserve"> by</w:t>
      </w:r>
      <w:r w:rsidRPr="00D8718D">
        <w:t xml:space="preserve"> S</w:t>
      </w:r>
      <w:r w:rsidR="00CC6DDC">
        <w:t>.</w:t>
      </w:r>
      <w:r w:rsidRPr="00D8718D">
        <w:t xml:space="preserve"> G. Lofts</w:t>
      </w:r>
      <w:r w:rsidR="00CC6DDC">
        <w:t xml:space="preserve"> and</w:t>
      </w:r>
      <w:r w:rsidRPr="00D8718D">
        <w:t xml:space="preserve"> P</w:t>
      </w:r>
      <w:r w:rsidR="00CC6DDC">
        <w:t>.</w:t>
      </w:r>
      <w:r w:rsidRPr="00D8718D">
        <w:t xml:space="preserve"> W. Rosemann </w:t>
      </w:r>
      <w:r>
        <w:t>(</w:t>
      </w:r>
      <w:r w:rsidRPr="00D8718D">
        <w:t>Louvain</w:t>
      </w:r>
      <w:r>
        <w:t>: Peeters,</w:t>
      </w:r>
      <w:r w:rsidRPr="00D8718D">
        <w:t xml:space="preserve"> 1997</w:t>
      </w:r>
      <w:r>
        <w:t>), 55-78: 60.</w:t>
      </w:r>
    </w:p>
  </w:footnote>
  <w:footnote w:id="67">
    <w:p w14:paraId="7DA7647C" w14:textId="52764614" w:rsidR="008B64A3" w:rsidRDefault="008B64A3" w:rsidP="008B64A3">
      <w:pPr>
        <w:pStyle w:val="FootnoteText"/>
        <w:ind w:firstLine="0"/>
      </w:pPr>
      <w:r>
        <w:rPr>
          <w:rStyle w:val="FootnoteReference"/>
        </w:rPr>
        <w:footnoteRef/>
      </w:r>
      <w:r>
        <w:t xml:space="preserve"> Burnett, ‘Translating from Arabic into Latin in the Middle Ages: Theory, Practice, and Criticism’ (1997), 63. On the different styles of translating see also Dag Nikolaus Hasse and Andreas Büttner, ‘Notes on Anonymous Twelfth-Century Translations of Philosophical Texts from Arabic into Latin on the Iberian Peninsula’, </w:t>
      </w:r>
      <w:r w:rsidRPr="001A4ACC">
        <w:t>in</w:t>
      </w:r>
      <w:r w:rsidRPr="00626B70">
        <w:rPr>
          <w:i/>
          <w:iCs/>
        </w:rPr>
        <w:t xml:space="preserve"> The Arabic, Hebrew and Latin Reception of Avicenna</w:t>
      </w:r>
      <w:r w:rsidR="00F1687D">
        <w:rPr>
          <w:i/>
          <w:iCs/>
        </w:rPr>
        <w:t>’</w:t>
      </w:r>
      <w:r w:rsidRPr="00626B70">
        <w:rPr>
          <w:i/>
          <w:iCs/>
        </w:rPr>
        <w:t>s Physics and Cosmology</w:t>
      </w:r>
      <w:r>
        <w:t xml:space="preserve">, ed. by </w:t>
      </w:r>
      <w:r w:rsidRPr="00626B70">
        <w:t>D</w:t>
      </w:r>
      <w:r>
        <w:t>.</w:t>
      </w:r>
      <w:r w:rsidRPr="00626B70">
        <w:t xml:space="preserve"> N</w:t>
      </w:r>
      <w:r>
        <w:t>.</w:t>
      </w:r>
      <w:r w:rsidRPr="00626B70">
        <w:t xml:space="preserve"> Hasse and A</w:t>
      </w:r>
      <w:r>
        <w:t>.</w:t>
      </w:r>
      <w:r w:rsidRPr="00626B70">
        <w:t xml:space="preserve"> Bertolacci</w:t>
      </w:r>
      <w:r>
        <w:t xml:space="preserve"> (Berlin: De Gruyter, 2018)</w:t>
      </w:r>
      <w:r w:rsidR="00F1687D">
        <w:t xml:space="preserve"> 313-370</w:t>
      </w:r>
      <w:r>
        <w:t>.</w:t>
      </w:r>
    </w:p>
  </w:footnote>
  <w:footnote w:id="68">
    <w:p w14:paraId="19C6EDAC" w14:textId="18DED61E" w:rsidR="008B64A3" w:rsidRDefault="008B64A3" w:rsidP="008B64A3">
      <w:pPr>
        <w:pStyle w:val="FootnoteText"/>
        <w:ind w:firstLine="0"/>
      </w:pPr>
      <w:r>
        <w:rPr>
          <w:rStyle w:val="FootnoteReference"/>
        </w:rPr>
        <w:footnoteRef/>
      </w:r>
      <w:r>
        <w:t xml:space="preserve"> On Gundissalinus see </w:t>
      </w:r>
      <w:r w:rsidRPr="0030448B">
        <w:t>Gil, ‘The Translators of the Period of D. Raymundo</w:t>
      </w:r>
      <w:r>
        <w:t>,</w:t>
      </w:r>
      <w:r w:rsidR="00AA5DAC">
        <w:t>’</w:t>
      </w:r>
      <w:r>
        <w:t xml:space="preserve"> 115-119.</w:t>
      </w:r>
    </w:p>
  </w:footnote>
  <w:footnote w:id="69">
    <w:p w14:paraId="7F98A670" w14:textId="547FFB61" w:rsidR="008B64A3" w:rsidRDefault="008B64A3" w:rsidP="008B64A3">
      <w:pPr>
        <w:pStyle w:val="FootnoteText"/>
        <w:ind w:firstLine="0"/>
      </w:pPr>
      <w:r>
        <w:rPr>
          <w:rStyle w:val="FootnoteReference"/>
        </w:rPr>
        <w:footnoteRef/>
      </w:r>
      <w:r>
        <w:t xml:space="preserve"> </w:t>
      </w:r>
      <w:r w:rsidRPr="00A42C3E">
        <w:t>More information in Charles Burnett</w:t>
      </w:r>
      <w:r w:rsidR="0026704B">
        <w:t>,</w:t>
      </w:r>
      <w:r w:rsidRPr="00A42C3E">
        <w:t xml:space="preserve"> ‘A Group of Arabic-Latin Translators Working in Northern Spain in the mid-12th Century’, in </w:t>
      </w:r>
      <w:r w:rsidRPr="00A42C3E">
        <w:rPr>
          <w:i/>
          <w:iCs/>
        </w:rPr>
        <w:t>Journal of the Royal Asiatic Society of Great Britain &amp; Ireland</w:t>
      </w:r>
      <w:r w:rsidRPr="00A42C3E">
        <w:t xml:space="preserve"> (London: Royal Asiatic Society of Great Britain &amp; Ireland, 1977) 62-108; Charles Burnett, ‘Some Comments on the Translating of Works from Arabic into Latin in the Mid-Twelfth Century’, in </w:t>
      </w:r>
      <w:r w:rsidRPr="00A42C3E">
        <w:rPr>
          <w:i/>
          <w:iCs/>
        </w:rPr>
        <w:t>Miscellanea Medievalia</w:t>
      </w:r>
      <w:r w:rsidRPr="00A42C3E">
        <w:t xml:space="preserve"> (Berlin: Walter De Gruyter, 1985), 161-171; Charles Burnett, ‘The Coherence of the Arabic-Latin Translation Program in Toledo in the Twelfth Century’, in </w:t>
      </w:r>
      <w:r w:rsidRPr="00A42C3E">
        <w:rPr>
          <w:i/>
          <w:iCs/>
        </w:rPr>
        <w:t>Science in Context,</w:t>
      </w:r>
      <w:r w:rsidRPr="00A42C3E">
        <w:t xml:space="preserve"> 14 (1/2) (2001), 249-288; Dag Nikolaus Hasse, ‘The Social Conditions of the Arabic-Hebrew-Latin Translation Movements in Medieval Spain and in the Renaissance’, 68-86. Charles Burnett, </w:t>
      </w:r>
      <w:r w:rsidRPr="00A42C3E">
        <w:rPr>
          <w:i/>
          <w:iCs/>
        </w:rPr>
        <w:t>Arabic into Latin in the Middle Ages. The Translators and their Intellectual and Social Context</w:t>
      </w:r>
      <w:r w:rsidR="00245627">
        <w:rPr>
          <w:i/>
          <w:iCs/>
        </w:rPr>
        <w:t xml:space="preserve"> </w:t>
      </w:r>
      <w:r w:rsidR="00245627">
        <w:t>(</w:t>
      </w:r>
      <w:r w:rsidR="00245627" w:rsidRPr="00245627">
        <w:t>Farnham: Ashgate, 2009</w:t>
      </w:r>
      <w:r w:rsidR="00245627">
        <w:t>)</w:t>
      </w:r>
      <w:r>
        <w:t>.</w:t>
      </w:r>
    </w:p>
  </w:footnote>
  <w:footnote w:id="70">
    <w:p w14:paraId="1E36176B" w14:textId="77777777" w:rsidR="008B64A3" w:rsidRPr="00431E7A" w:rsidRDefault="008B64A3" w:rsidP="008B64A3">
      <w:pPr>
        <w:pStyle w:val="FootnoteText"/>
        <w:ind w:firstLine="0"/>
      </w:pPr>
      <w:r>
        <w:rPr>
          <w:rStyle w:val="FootnoteReference"/>
        </w:rPr>
        <w:footnoteRef/>
      </w:r>
      <w:r>
        <w:t xml:space="preserve"> Edward Grant, ‘Translations in the Twelfth and Thirteenth Centuries’, 130-142, in E. Grant, </w:t>
      </w:r>
      <w:r w:rsidRPr="006D2EB4">
        <w:rPr>
          <w:i/>
          <w:iCs/>
        </w:rPr>
        <w:t>History of Natural Philosophy, From the Ancient World to the Nineteenth Century</w:t>
      </w:r>
      <w:r>
        <w:t xml:space="preserve"> (New York: Cambridge University Press, 2007); Edward Grant, ‘The New Beginning: the Age of Translation in the Twelfth and Thirteenth Centuries’, 18-32, in E. Grant, </w:t>
      </w:r>
      <w:r w:rsidRPr="0001293D">
        <w:rPr>
          <w:i/>
          <w:iCs/>
        </w:rPr>
        <w:t>The Foundations of Modern Science in the Middle Ages, Their religious, Institutional and Intellectual Contexts</w:t>
      </w:r>
      <w:r>
        <w:t xml:space="preserve"> (New York: Cambridge University Press, 1996); David C. Lindberg, ‘The Transmission of Greek and Arabic Learning to the West’, in </w:t>
      </w:r>
      <w:r w:rsidRPr="00D90B02">
        <w:rPr>
          <w:i/>
          <w:iCs/>
        </w:rPr>
        <w:t>Science in the Middle Ages</w:t>
      </w:r>
      <w:r>
        <w:t xml:space="preserve">, ed. by David C. Lindberg (Chicago-London: University of Chicago Press, 1978), 52-90. For a list of texts translated from Arabic and Greek in the twelfth and thirteenth centuries see Edward Grant, </w:t>
      </w:r>
      <w:r w:rsidRPr="00D90B02">
        <w:rPr>
          <w:i/>
          <w:iCs/>
        </w:rPr>
        <w:t>A Source Book in Medieval Science</w:t>
      </w:r>
      <w:r>
        <w:t xml:space="preserve"> (Cambridge, Mass.: Harvard University Press, 1974), 35-41. Specifically on the translations of philosophical works see Cristina d’Ancona, ‘</w:t>
      </w:r>
      <w:r w:rsidRPr="000F2BBE">
        <w:rPr>
          <w:lang w:val="it-IT"/>
        </w:rPr>
        <w:t>Le traduzioni in latino e in arabo. Con</w:t>
      </w:r>
      <w:r>
        <w:rPr>
          <w:lang w:val="it-IT"/>
        </w:rPr>
        <w:t>tin</w:t>
      </w:r>
      <w:r w:rsidRPr="000F2BBE">
        <w:rPr>
          <w:lang w:val="it-IT"/>
        </w:rPr>
        <w:t xml:space="preserve">uità e trasformazioni della tradizione filosofica greca fra tarda antichità e Medioevo’, in </w:t>
      </w:r>
      <w:r w:rsidRPr="000F2BBE">
        <w:rPr>
          <w:i/>
          <w:iCs/>
          <w:lang w:val="it-IT"/>
        </w:rPr>
        <w:t>Universalità della ragione: pluralità delle filosofie nel Medioevo</w:t>
      </w:r>
      <w:r w:rsidRPr="00431E7A">
        <w:rPr>
          <w:i/>
          <w:iCs/>
        </w:rPr>
        <w:t xml:space="preserve"> = </w:t>
      </w:r>
      <w:r w:rsidRPr="000F2BBE">
        <w:rPr>
          <w:i/>
          <w:iCs/>
          <w:lang w:val="fr-FR"/>
        </w:rPr>
        <w:t>Universalité de la raison: pluralité des philosophies au Moyen Âge =</w:t>
      </w:r>
      <w:r w:rsidRPr="00431E7A">
        <w:rPr>
          <w:i/>
          <w:iCs/>
        </w:rPr>
        <w:t xml:space="preserve"> Universality of reason: plurality of philosophies in the Middle Ages: XII </w:t>
      </w:r>
      <w:r w:rsidRPr="000F2BBE">
        <w:rPr>
          <w:i/>
          <w:iCs/>
          <w:lang w:val="it-IT"/>
        </w:rPr>
        <w:t>Congresso internazionale di filosofia medievale, Palermo, 17-22 settembre 2007</w:t>
      </w:r>
      <w:r>
        <w:t xml:space="preserve">, ed. by A. Musco (Palermo: </w:t>
      </w:r>
      <w:r w:rsidRPr="000F2BBE">
        <w:rPr>
          <w:lang w:val="it-IT"/>
        </w:rPr>
        <w:t>Officina di Studi Medievali</w:t>
      </w:r>
      <w:r>
        <w:t>, 2012), 73-103.</w:t>
      </w:r>
    </w:p>
  </w:footnote>
  <w:footnote w:id="71">
    <w:p w14:paraId="1C2D19BF" w14:textId="77777777" w:rsidR="008B64A3" w:rsidRDefault="008B64A3" w:rsidP="008B64A3">
      <w:pPr>
        <w:pStyle w:val="FootnoteText"/>
        <w:ind w:firstLine="0"/>
      </w:pPr>
      <w:r>
        <w:rPr>
          <w:rStyle w:val="FootnoteReference"/>
        </w:rPr>
        <w:footnoteRef/>
      </w:r>
      <w:r>
        <w:t xml:space="preserve"> See Francis J. Carmody, </w:t>
      </w:r>
      <w:r w:rsidRPr="00066DA3">
        <w:rPr>
          <w:i/>
          <w:iCs/>
        </w:rPr>
        <w:t xml:space="preserve">Arabic Astronomical and Astrological Sciences in Latin Translation, a Critical Bibliography </w:t>
      </w:r>
      <w:r>
        <w:t>(Berkeley-Los Angeles: University of California Press, 1956).</w:t>
      </w:r>
    </w:p>
  </w:footnote>
  <w:footnote w:id="72">
    <w:p w14:paraId="09417EDE" w14:textId="77777777" w:rsidR="008B64A3" w:rsidRPr="002A7942" w:rsidRDefault="008B64A3" w:rsidP="008B64A3">
      <w:pPr>
        <w:pStyle w:val="FootnoteText"/>
        <w:ind w:firstLine="0"/>
      </w:pPr>
      <w:r>
        <w:rPr>
          <w:rStyle w:val="FootnoteReference"/>
        </w:rPr>
        <w:footnoteRef/>
      </w:r>
      <w:r>
        <w:t xml:space="preserve"> Juan Vernet offers some indicative figures on the subjects that were translated during the twelfth century. Based on the works of the twenty-eight authors that he considers, the exact sciences (mathematics, astrology and astronomy) account for 47% of the total, philosophy for 21%, medicine 20% and the occult sciences (among which geomancy, alchemy and necromancy) account for 4%. See Juan Vernet, </w:t>
      </w:r>
      <w:r w:rsidRPr="00BA1D03">
        <w:rPr>
          <w:i/>
          <w:iCs/>
        </w:rPr>
        <w:t>Ce que la culture doit aux Arabes d’Espagne</w:t>
      </w:r>
      <w:r>
        <w:t xml:space="preserve"> (Paris: Sinbad, 2000), 95-96.</w:t>
      </w:r>
    </w:p>
  </w:footnote>
  <w:footnote w:id="73">
    <w:p w14:paraId="460E85A8" w14:textId="65D965BF" w:rsidR="00EE158E" w:rsidRDefault="00EE158E" w:rsidP="00EE158E">
      <w:pPr>
        <w:pStyle w:val="FootnoteText"/>
        <w:ind w:firstLine="0"/>
      </w:pPr>
      <w:r>
        <w:rPr>
          <w:rStyle w:val="FootnoteReference"/>
        </w:rPr>
        <w:footnoteRef/>
      </w:r>
      <w:r>
        <w:t xml:space="preserve"> </w:t>
      </w:r>
      <w:r w:rsidRPr="00C913F3">
        <w:t>On Plato of Tivoli see</w:t>
      </w:r>
      <w:r w:rsidR="00347277" w:rsidRPr="00347277">
        <w:t xml:space="preserve"> Samsó, ‘El procés de la transmissió científica al nord-est de la península Ibèrica al segle XII: els textos llatins’, in </w:t>
      </w:r>
      <w:r w:rsidR="00347277" w:rsidRPr="00347277">
        <w:rPr>
          <w:i/>
          <w:iCs/>
        </w:rPr>
        <w:t>La ciencia en la historia dels Països Catalans</w:t>
      </w:r>
      <w:r w:rsidR="00347277" w:rsidRPr="00347277">
        <w:t xml:space="preserve">, </w:t>
      </w:r>
      <w:r w:rsidR="00841E64" w:rsidRPr="00A12F29">
        <w:rPr>
          <w:i/>
          <w:iCs/>
        </w:rPr>
        <w:t>, I Dels àrabs al Renaixement</w:t>
      </w:r>
      <w:r w:rsidR="00841E64">
        <w:t>, ed. by J. Vernet and R. Parés (Valencia: Institut d’Estudis Catalans, 2004)</w:t>
      </w:r>
      <w:r w:rsidR="00347277" w:rsidRPr="00347277">
        <w:t>, 2</w:t>
      </w:r>
      <w:r w:rsidR="0045512F">
        <w:t>70</w:t>
      </w:r>
      <w:r w:rsidR="00347277" w:rsidRPr="00347277">
        <w:t>-2</w:t>
      </w:r>
      <w:r w:rsidR="00C913F3">
        <w:t>82</w:t>
      </w:r>
      <w:r w:rsidR="00347277">
        <w:t>;</w:t>
      </w:r>
      <w:r w:rsidRPr="00347277">
        <w:t xml:space="preserve"> Baldassarre Boncompagni, </w:t>
      </w:r>
      <w:r w:rsidRPr="00347277">
        <w:rPr>
          <w:i/>
          <w:iCs/>
        </w:rPr>
        <w:t>Delle versioni fatte da Platone Tiburtino, traduttore del secolo duodecimo</w:t>
      </w:r>
      <w:r w:rsidRPr="00347277">
        <w:t xml:space="preserve"> (Roma: Tipografia delle Belle Arti, 1851).</w:t>
      </w:r>
    </w:p>
  </w:footnote>
  <w:footnote w:id="74">
    <w:p w14:paraId="30ACD341" w14:textId="77777777" w:rsidR="008B64A3" w:rsidRPr="004645B2" w:rsidRDefault="008B64A3" w:rsidP="008B64A3">
      <w:pPr>
        <w:pStyle w:val="FootnoteText"/>
        <w:ind w:firstLine="0"/>
      </w:pPr>
      <w:r>
        <w:rPr>
          <w:rStyle w:val="FootnoteReference"/>
        </w:rPr>
        <w:footnoteRef/>
      </w:r>
      <w:r>
        <w:t xml:space="preserve"> Carmody, </w:t>
      </w:r>
      <w:r w:rsidRPr="00066DA3">
        <w:rPr>
          <w:i/>
          <w:iCs/>
        </w:rPr>
        <w:t>Arabic Astronomical and Astrological Sciences in Latin Translation</w:t>
      </w:r>
      <w:r>
        <w:rPr>
          <w:i/>
          <w:iCs/>
        </w:rPr>
        <w:t xml:space="preserve"> </w:t>
      </w:r>
      <w:r>
        <w:t xml:space="preserve">(1956), 129-130. For the edition of this text see Al-Battānī, </w:t>
      </w:r>
      <w:r w:rsidRPr="00A6032A">
        <w:rPr>
          <w:i/>
          <w:iCs/>
        </w:rPr>
        <w:t>Opus Astronomicum, I,</w:t>
      </w:r>
      <w:r>
        <w:t xml:space="preserve"> ed. by Carlo Alfonso Nallino (Milan: Ulrico Hoepli, 1903).</w:t>
      </w:r>
    </w:p>
  </w:footnote>
  <w:footnote w:id="75">
    <w:p w14:paraId="71313ED3" w14:textId="20F3C86D" w:rsidR="008B64A3" w:rsidRDefault="008B64A3" w:rsidP="008B64A3">
      <w:pPr>
        <w:pStyle w:val="FootnoteText"/>
        <w:ind w:firstLine="0"/>
      </w:pPr>
      <w:r>
        <w:rPr>
          <w:rStyle w:val="FootnoteReference"/>
        </w:rPr>
        <w:footnoteRef/>
      </w:r>
      <w:r>
        <w:t xml:space="preserve"> Carmody, </w:t>
      </w:r>
      <w:r w:rsidRPr="00066DA3">
        <w:rPr>
          <w:i/>
          <w:iCs/>
        </w:rPr>
        <w:t>Arabic Astronomical and Astrological Sciences in Latin Translation</w:t>
      </w:r>
      <w:r>
        <w:t xml:space="preserve">, 74-75; Haskins, </w:t>
      </w:r>
      <w:r w:rsidRPr="002B0210">
        <w:rPr>
          <w:i/>
          <w:iCs/>
        </w:rPr>
        <w:t>Studies in the History of Medieval Science</w:t>
      </w:r>
      <w:r>
        <w:t xml:space="preserve"> (Cambridge: Harvard University Press, 1924), 68-70. For a more thorough discussion of Plato of Tivoli’s work as a translator see Julio Samsó, ‘El procédes de la trasmissió científica al nord-est de la peninsula Ibèrica al segle XII: els textos llatins’, in </w:t>
      </w:r>
      <w:r w:rsidRPr="00A12F29">
        <w:rPr>
          <w:i/>
          <w:iCs/>
        </w:rPr>
        <w:t>La ciència en la història dels Països Catalans, I Dels àrabs al Renaixement</w:t>
      </w:r>
      <w:r>
        <w:t xml:space="preserve"> </w:t>
      </w:r>
      <w:r w:rsidR="00841E64">
        <w:t xml:space="preserve">(2004), </w:t>
      </w:r>
      <w:r>
        <w:t>269-296.</w:t>
      </w:r>
    </w:p>
  </w:footnote>
  <w:footnote w:id="76">
    <w:p w14:paraId="0944192B" w14:textId="77777777" w:rsidR="008B64A3" w:rsidRPr="0057282C" w:rsidRDefault="008B64A3" w:rsidP="008B64A3">
      <w:pPr>
        <w:pStyle w:val="FootnoteText"/>
        <w:ind w:firstLine="0"/>
        <w:rPr>
          <w:lang w:val="it-IT"/>
        </w:rPr>
      </w:pPr>
      <w:r>
        <w:rPr>
          <w:rStyle w:val="FootnoteReference"/>
        </w:rPr>
        <w:footnoteRef/>
      </w:r>
      <w:r w:rsidRPr="00402A31">
        <w:rPr>
          <w:i/>
          <w:iCs/>
          <w:lang w:val="it-IT"/>
        </w:rPr>
        <w:t xml:space="preserve">Fasciculus geomanticus : in quo varia variorum opera geomantica continentur. Opus maximè curiosum, à multis hactenus desideratum / nunc verò magno studio correctum &amp; ex parte iam prima vice editum </w:t>
      </w:r>
      <w:r w:rsidRPr="00402A31">
        <w:rPr>
          <w:lang w:val="it-IT"/>
        </w:rPr>
        <w:t>(Verona: 1687)</w:t>
      </w:r>
      <w:r>
        <w:rPr>
          <w:lang w:val="it-IT"/>
        </w:rPr>
        <w:t>.</w:t>
      </w:r>
      <w:r>
        <w:t xml:space="preserve"> </w:t>
      </w:r>
    </w:p>
  </w:footnote>
  <w:footnote w:id="77">
    <w:p w14:paraId="14864B7C" w14:textId="77777777" w:rsidR="008B64A3" w:rsidRDefault="008B64A3" w:rsidP="008B64A3">
      <w:pPr>
        <w:pStyle w:val="FootnoteText"/>
        <w:ind w:firstLine="0"/>
      </w:pPr>
      <w:r>
        <w:rPr>
          <w:rStyle w:val="FootnoteReference"/>
        </w:rPr>
        <w:footnoteRef/>
      </w:r>
      <w:r>
        <w:t xml:space="preserve"> For a more detailed account of the translations of Hugo Sanctelliensis see </w:t>
      </w:r>
      <w:r w:rsidRPr="005C4B31">
        <w:rPr>
          <w:i/>
          <w:iCs/>
        </w:rPr>
        <w:t>The Liber Aristotilis of Hugo of Santalla</w:t>
      </w:r>
      <w:r w:rsidRPr="00546B87">
        <w:t xml:space="preserve"> (London: The Warburg Institute, 1997)</w:t>
      </w:r>
      <w:r>
        <w:t xml:space="preserve">, 1-2 and José Martínez Gázquez, </w:t>
      </w:r>
      <w:r w:rsidRPr="005C4B31">
        <w:rPr>
          <w:i/>
          <w:iCs/>
        </w:rPr>
        <w:t>The Attitude of the Medieval Latin Translators Towards the Arabic Sciences</w:t>
      </w:r>
      <w:r>
        <w:t xml:space="preserve"> (Florence: Sismel – Edizioni del Galluzzo, 2016), 51-61.</w:t>
      </w:r>
    </w:p>
  </w:footnote>
  <w:footnote w:id="78">
    <w:p w14:paraId="7F0A84BF" w14:textId="77777777" w:rsidR="008B64A3" w:rsidRDefault="008B64A3" w:rsidP="008B64A3">
      <w:pPr>
        <w:pStyle w:val="FootnoteText"/>
        <w:ind w:firstLine="0"/>
      </w:pPr>
      <w:r>
        <w:rPr>
          <w:rStyle w:val="FootnoteReference"/>
        </w:rPr>
        <w:footnoteRef/>
      </w:r>
      <w:r>
        <w:t xml:space="preserve"> This is edited by Charles Burnett and David Pingree in </w:t>
      </w:r>
      <w:bookmarkStart w:id="31" w:name="_Hlk112767820"/>
      <w:r w:rsidRPr="005C1346">
        <w:rPr>
          <w:i/>
          <w:iCs/>
        </w:rPr>
        <w:t>The Liber Aristotilis of Hugo of Santalla</w:t>
      </w:r>
      <w:r>
        <w:t xml:space="preserve"> (London: The Warburg Institute, 1997).</w:t>
      </w:r>
    </w:p>
    <w:bookmarkEnd w:id="31"/>
  </w:footnote>
  <w:footnote w:id="79">
    <w:p w14:paraId="51939623" w14:textId="77777777" w:rsidR="008B64A3" w:rsidRDefault="008B64A3" w:rsidP="008B64A3">
      <w:pPr>
        <w:pStyle w:val="FootnoteText"/>
        <w:ind w:firstLine="0"/>
      </w:pPr>
      <w:r>
        <w:rPr>
          <w:rStyle w:val="FootnoteReference"/>
        </w:rPr>
        <w:footnoteRef/>
      </w:r>
      <w:r>
        <w:t xml:space="preserve"> Burnett, ‘A Group of Arabic-Latin Translators’ (1977), 69, 106-8.</w:t>
      </w:r>
    </w:p>
  </w:footnote>
  <w:footnote w:id="80">
    <w:p w14:paraId="25F39535" w14:textId="3DDA9651" w:rsidR="008B64A3" w:rsidRDefault="008B64A3" w:rsidP="008B64A3">
      <w:pPr>
        <w:pStyle w:val="FootnoteText"/>
        <w:ind w:firstLine="0"/>
      </w:pPr>
      <w:r>
        <w:rPr>
          <w:rStyle w:val="FootnoteReference"/>
        </w:rPr>
        <w:footnoteRef/>
      </w:r>
      <w:r>
        <w:t xml:space="preserve"> Burnett, ‘A Group of Arabic-Latin Translators</w:t>
      </w:r>
      <w:r w:rsidR="00AB4CFD">
        <w:t>,</w:t>
      </w:r>
      <w:r>
        <w:t>’ 66-9, 78-97.</w:t>
      </w:r>
    </w:p>
  </w:footnote>
  <w:footnote w:id="81">
    <w:p w14:paraId="0CAFD997" w14:textId="60783EDE" w:rsidR="008B64A3" w:rsidRDefault="008B64A3" w:rsidP="008B64A3">
      <w:pPr>
        <w:pStyle w:val="FootnoteText"/>
        <w:ind w:firstLine="0"/>
      </w:pPr>
      <w:r>
        <w:rPr>
          <w:rStyle w:val="FootnoteReference"/>
        </w:rPr>
        <w:footnoteRef/>
      </w:r>
      <w:r>
        <w:t xml:space="preserve"> </w:t>
      </w:r>
      <w:r w:rsidRPr="004B658C">
        <w:rPr>
          <w:i/>
          <w:iCs/>
        </w:rPr>
        <w:t>Le De secretis nature du pseudo-Apollonius de Tyane du Kitāb sirr al-ḫalīqa de Balinus</w:t>
      </w:r>
      <w:r>
        <w:t xml:space="preserve">, ed. by F. Hudry (Paris: </w:t>
      </w:r>
      <w:r w:rsidRPr="004B658C">
        <w:t>Société d'étude de l</w:t>
      </w:r>
      <w:r w:rsidR="00C87BAF">
        <w:t>’</w:t>
      </w:r>
      <w:r w:rsidRPr="004B658C">
        <w:t>histoire de l</w:t>
      </w:r>
      <w:r w:rsidR="00C87BAF">
        <w:t>’</w:t>
      </w:r>
      <w:r w:rsidRPr="004B658C">
        <w:t>alchimie</w:t>
      </w:r>
      <w:r>
        <w:t>, 1999).</w:t>
      </w:r>
    </w:p>
  </w:footnote>
  <w:footnote w:id="82">
    <w:p w14:paraId="513B2655" w14:textId="77777777" w:rsidR="008B64A3" w:rsidRDefault="008B64A3" w:rsidP="008B64A3">
      <w:pPr>
        <w:pStyle w:val="FootnoteText"/>
        <w:ind w:firstLine="0"/>
      </w:pPr>
      <w:r>
        <w:rPr>
          <w:rStyle w:val="FootnoteReference"/>
        </w:rPr>
        <w:footnoteRef/>
      </w:r>
      <w:r>
        <w:t xml:space="preserve"> See Charles Burnett, ‘Arabic Divinatory Texts and Celtic Folklore: A Comment on the Theory and Practice of Scapulimancy in Western Europe’, in </w:t>
      </w:r>
      <w:r w:rsidRPr="001B6B76">
        <w:rPr>
          <w:i/>
          <w:iCs/>
        </w:rPr>
        <w:t>Cambridge Medieval Celtic Studies,</w:t>
      </w:r>
      <w:r>
        <w:t xml:space="preserve"> 6, (1983), 31-42, esp. 39-40. See also </w:t>
      </w:r>
      <w:r w:rsidRPr="00185765">
        <w:rPr>
          <w:i/>
          <w:iCs/>
        </w:rPr>
        <w:t>Textes médiévaux de scapulomancie</w:t>
      </w:r>
      <w:r>
        <w:t>, ed. by S. Rapisarda (Paris: Classiques Garnier, 2017).</w:t>
      </w:r>
    </w:p>
  </w:footnote>
  <w:footnote w:id="83">
    <w:p w14:paraId="653A78B9" w14:textId="08F42C14" w:rsidR="008B64A3" w:rsidRDefault="008B64A3" w:rsidP="008B64A3">
      <w:pPr>
        <w:pStyle w:val="FootnoteText"/>
        <w:ind w:firstLine="0"/>
      </w:pPr>
      <w:r>
        <w:rPr>
          <w:rStyle w:val="FootnoteReference"/>
        </w:rPr>
        <w:footnoteRef/>
      </w:r>
      <w:r>
        <w:t xml:space="preserve"> Pasquale Arfé, ‘L’</w:t>
      </w:r>
      <w:r w:rsidRPr="00A407B4">
        <w:rPr>
          <w:i/>
          <w:iCs/>
        </w:rPr>
        <w:t xml:space="preserve">Ars geomantiae </w:t>
      </w:r>
      <w:r>
        <w:t>di Ugo di Santalla. Il testo e la sua tradizione’, 65-91: 65.</w:t>
      </w:r>
    </w:p>
  </w:footnote>
  <w:footnote w:id="84">
    <w:p w14:paraId="0F3635FD" w14:textId="7E4DF966" w:rsidR="008B64A3" w:rsidRDefault="008B64A3" w:rsidP="008B64A3">
      <w:pPr>
        <w:pStyle w:val="FootnoteText"/>
        <w:ind w:firstLine="0"/>
      </w:pPr>
      <w:r>
        <w:rPr>
          <w:rStyle w:val="FootnoteReference"/>
        </w:rPr>
        <w:footnoteRef/>
      </w:r>
      <w:r>
        <w:t xml:space="preserve"> The critical edition of the </w:t>
      </w:r>
      <w:r w:rsidRPr="00DC2122">
        <w:rPr>
          <w:i/>
          <w:iCs/>
        </w:rPr>
        <w:t>Ars geomantiae</w:t>
      </w:r>
      <w:r>
        <w:t xml:space="preserve"> is being prepared by Pasquale Arfé. On the text see Arfé, ‘L’</w:t>
      </w:r>
      <w:r w:rsidRPr="00A407B4">
        <w:rPr>
          <w:i/>
          <w:iCs/>
        </w:rPr>
        <w:t xml:space="preserve">Ars geomantiae </w:t>
      </w:r>
      <w:r>
        <w:t xml:space="preserve">di Ugo di Santalla. Il testo e la sua tradizione’, 65-91; Arfé, ‘Le dimore delle stelle nel </w:t>
      </w:r>
      <w:r w:rsidRPr="00B96212">
        <w:rPr>
          <w:i/>
          <w:iCs/>
        </w:rPr>
        <w:t>Prologus super Artem geomantiae</w:t>
      </w:r>
      <w:r>
        <w:t xml:space="preserve"> di Ugo di Santalla’, 41-71; Arfé, ‘Attorno all’edizione dell’</w:t>
      </w:r>
      <w:r w:rsidRPr="00F738AB">
        <w:rPr>
          <w:i/>
          <w:iCs/>
        </w:rPr>
        <w:t>Ars geomantiae</w:t>
      </w:r>
      <w:r>
        <w:t xml:space="preserve">: le fonti esplicite e implicite’, in </w:t>
      </w:r>
      <w:r w:rsidRPr="00F738AB">
        <w:rPr>
          <w:i/>
          <w:iCs/>
        </w:rPr>
        <w:t xml:space="preserve">Quaestio 19. Stars, Kingdoms, Beliefs and Masses </w:t>
      </w:r>
      <w:r w:rsidR="00AD11BC">
        <w:t>(</w:t>
      </w:r>
      <w:r>
        <w:t>2019), 101-128.</w:t>
      </w:r>
    </w:p>
  </w:footnote>
  <w:footnote w:id="85">
    <w:p w14:paraId="2DC1EA27" w14:textId="621CBBEF" w:rsidR="008B64A3" w:rsidRDefault="008B64A3" w:rsidP="008B64A3">
      <w:pPr>
        <w:pStyle w:val="FootnoteText"/>
        <w:ind w:firstLine="0"/>
      </w:pPr>
      <w:r>
        <w:rPr>
          <w:rStyle w:val="FootnoteReference"/>
        </w:rPr>
        <w:footnoteRef/>
      </w:r>
      <w:r>
        <w:t xml:space="preserve"> For an edition of the </w:t>
      </w:r>
      <w:r w:rsidRPr="004E7240">
        <w:rPr>
          <w:i/>
          <w:iCs/>
        </w:rPr>
        <w:t>Vita, Commemoratio librorum</w:t>
      </w:r>
      <w:r>
        <w:t xml:space="preserve"> and </w:t>
      </w:r>
      <w:r w:rsidRPr="004E7240">
        <w:rPr>
          <w:i/>
          <w:iCs/>
        </w:rPr>
        <w:t>Eulogium</w:t>
      </w:r>
      <w:r>
        <w:t xml:space="preserve"> of Gerard of Cremona see Burnett, </w:t>
      </w:r>
      <w:r w:rsidRPr="004E7240">
        <w:rPr>
          <w:i/>
          <w:iCs/>
        </w:rPr>
        <w:t>The Coherence</w:t>
      </w:r>
      <w:r>
        <w:t xml:space="preserve">, 273-287. </w:t>
      </w:r>
    </w:p>
  </w:footnote>
  <w:footnote w:id="86">
    <w:p w14:paraId="03409956" w14:textId="7559B441" w:rsidR="008B64A3" w:rsidRPr="002C026D" w:rsidRDefault="008B64A3" w:rsidP="008B64A3">
      <w:pPr>
        <w:pStyle w:val="FootnoteText"/>
        <w:ind w:firstLine="0"/>
      </w:pPr>
      <w:r>
        <w:rPr>
          <w:rStyle w:val="FootnoteReference"/>
        </w:rPr>
        <w:footnoteRef/>
      </w:r>
      <w:r>
        <w:t xml:space="preserve"> For a complete list of Gerard’s translations see Grant, </w:t>
      </w:r>
      <w:r w:rsidRPr="00CA1495">
        <w:rPr>
          <w:i/>
          <w:iCs/>
        </w:rPr>
        <w:t>A Sourcebook in Medieval Sciences</w:t>
      </w:r>
      <w:r>
        <w:t xml:space="preserve">, 35-38. A </w:t>
      </w:r>
      <w:r w:rsidR="0060271D">
        <w:t>detailed</w:t>
      </w:r>
      <w:r>
        <w:t xml:space="preserve"> account on Gerard of Cremona can also be found on the online page of the </w:t>
      </w:r>
      <w:r w:rsidRPr="00004A5A">
        <w:rPr>
          <w:i/>
          <w:iCs/>
        </w:rPr>
        <w:t>Treccani Encyclopaedia:</w:t>
      </w:r>
      <w:r>
        <w:t xml:space="preserve"> </w:t>
      </w:r>
      <w:hyperlink r:id="rId1" w:history="1">
        <w:r w:rsidRPr="002C026D">
          <w:rPr>
            <w:rStyle w:val="Hyperlink"/>
            <w:color w:val="auto"/>
          </w:rPr>
          <w:t>https://www.treccani.it/enciclopedia/gherardo-da-cremona_%28Dizionario-Biografico%29/</w:t>
        </w:r>
      </w:hyperlink>
      <w:r w:rsidRPr="002C026D">
        <w:t xml:space="preserve"> .</w:t>
      </w:r>
    </w:p>
  </w:footnote>
  <w:footnote w:id="87">
    <w:p w14:paraId="60473070" w14:textId="0CCC6B09" w:rsidR="008B64A3" w:rsidRDefault="008B64A3" w:rsidP="008B64A3">
      <w:pPr>
        <w:pStyle w:val="FootnoteText"/>
        <w:ind w:firstLine="0"/>
      </w:pPr>
      <w:r>
        <w:rPr>
          <w:rStyle w:val="FootnoteReference"/>
        </w:rPr>
        <w:footnoteRef/>
      </w:r>
      <w:r>
        <w:t xml:space="preserve">  Bologna, Univ. Lib., lat. 449 (760): “Geomantia ex arabico translate per magistrum Gerardum de Cremona. Si quis per Artem astronomicam..”, see Lynn Thorndike, </w:t>
      </w:r>
      <w:r w:rsidRPr="00155FFD">
        <w:rPr>
          <w:i/>
          <w:iCs/>
        </w:rPr>
        <w:t>History of Magic and Experimental Science</w:t>
      </w:r>
      <w:r>
        <w:t xml:space="preserve">, II (New York: Macmillan &amp; Co., 1923), 119, “Geomancia optima Gyraldi Cremonensis secundum astrologiam demonstratam. Incipit ars geomancye magistri G. Cre&lt;monensis&gt; ab auctoribus via astronomica compilate. Si quis per Artem astronomicam…”, ‘Cremonensis Geomantia. Incipit geomantia magistri Gerardi de Cremona, compilatam secundum judicia astrorum astronomie a qua veritatem assumit et precepta signorum judicia querentem de re dubia ad vera deducit judicia. Si quis per Artem astronomicam geomanticam…”, “incipit geomantia edita a magistro Gerardo Cremonensi. Si quis per Artem astronomicam…”, in Charmasson, </w:t>
      </w:r>
      <w:r w:rsidR="00972368" w:rsidRPr="0029051C">
        <w:rPr>
          <w:i/>
          <w:iCs/>
        </w:rPr>
        <w:t>Recherches</w:t>
      </w:r>
      <w:r w:rsidR="00972368">
        <w:rPr>
          <w:i/>
          <w:iCs/>
        </w:rPr>
        <w:t xml:space="preserve"> sur une technique divinatoire</w:t>
      </w:r>
      <w:r>
        <w:t>, 129.</w:t>
      </w:r>
    </w:p>
  </w:footnote>
  <w:footnote w:id="88">
    <w:p w14:paraId="261A1B5F" w14:textId="61945A54" w:rsidR="008B64A3" w:rsidRPr="007757BF" w:rsidRDefault="008B64A3" w:rsidP="008B64A3">
      <w:pPr>
        <w:pStyle w:val="FootnoteText"/>
        <w:ind w:firstLine="0"/>
      </w:pPr>
      <w:r>
        <w:rPr>
          <w:rStyle w:val="FootnoteReference"/>
        </w:rPr>
        <w:footnoteRef/>
      </w:r>
      <w:r>
        <w:t xml:space="preserve"> For a list of manuscripts see Thorndike, </w:t>
      </w:r>
      <w:r w:rsidRPr="00155FFD">
        <w:rPr>
          <w:i/>
          <w:iCs/>
        </w:rPr>
        <w:t>History of Magic and Experimental Science</w:t>
      </w:r>
      <w:r>
        <w:t xml:space="preserve">, II (1923), 119, note 6. See also Charmasson, </w:t>
      </w:r>
      <w:r w:rsidRPr="0029051C">
        <w:rPr>
          <w:i/>
          <w:iCs/>
        </w:rPr>
        <w:t>Recherches</w:t>
      </w:r>
      <w:r w:rsidR="00973042">
        <w:rPr>
          <w:i/>
          <w:iCs/>
        </w:rPr>
        <w:t xml:space="preserve"> sur une technique divinatoire</w:t>
      </w:r>
      <w:r>
        <w:t>,</w:t>
      </w:r>
      <w:r>
        <w:rPr>
          <w:i/>
          <w:iCs/>
        </w:rPr>
        <w:t xml:space="preserve"> </w:t>
      </w:r>
      <w:r>
        <w:t>130, n. 4.</w:t>
      </w:r>
    </w:p>
  </w:footnote>
  <w:footnote w:id="89">
    <w:p w14:paraId="5298DE75" w14:textId="575E21B7" w:rsidR="008B64A3" w:rsidRPr="00D948C4" w:rsidRDefault="008B64A3" w:rsidP="008B64A3">
      <w:pPr>
        <w:pStyle w:val="FootnoteText"/>
        <w:ind w:firstLine="0"/>
      </w:pPr>
      <w:r>
        <w:rPr>
          <w:rStyle w:val="FootnoteReference"/>
        </w:rPr>
        <w:footnoteRef/>
      </w:r>
      <w:r>
        <w:t xml:space="preserve"> More on the geomancy of Gerard of Cremona in  Charmasson, </w:t>
      </w:r>
      <w:r w:rsidRPr="0029051C">
        <w:rPr>
          <w:i/>
          <w:iCs/>
        </w:rPr>
        <w:t>Recherches</w:t>
      </w:r>
      <w:r w:rsidR="007920EC">
        <w:rPr>
          <w:i/>
          <w:iCs/>
        </w:rPr>
        <w:t xml:space="preserve"> sur une technique divinatoire</w:t>
      </w:r>
      <w:r>
        <w:rPr>
          <w:i/>
          <w:iCs/>
        </w:rPr>
        <w:t xml:space="preserve"> </w:t>
      </w:r>
      <w:r>
        <w:t>(1980),</w:t>
      </w:r>
      <w:r>
        <w:rPr>
          <w:i/>
          <w:iCs/>
        </w:rPr>
        <w:t xml:space="preserve"> </w:t>
      </w:r>
      <w:r>
        <w:t>129-139.</w:t>
      </w:r>
    </w:p>
  </w:footnote>
  <w:footnote w:id="90">
    <w:p w14:paraId="4D9B0B44" w14:textId="559B4451" w:rsidR="008B64A3" w:rsidRDefault="008B64A3" w:rsidP="008B64A3">
      <w:pPr>
        <w:pStyle w:val="FootnoteText"/>
        <w:ind w:firstLine="0"/>
      </w:pPr>
      <w:r>
        <w:rPr>
          <w:rStyle w:val="FootnoteReference"/>
        </w:rPr>
        <w:footnoteRef/>
      </w:r>
      <w:r>
        <w:t xml:space="preserve"> Florence, Bibl. Med. Laur., MS. Plut., 30. 29., f. 1r: “Incipit liber geomancie noue magistri Ugonis Satiliensis editus ab Alatrabuluci translatione”; Florence, Bibl. Riccard., 829, f. 43: “Incipit opus translatum a magistro G. de arabico in latinum</w:t>
      </w:r>
      <w:r w:rsidR="007A0AB9">
        <w:t>.</w:t>
      </w:r>
      <w:r>
        <w:t>”</w:t>
      </w:r>
    </w:p>
  </w:footnote>
  <w:footnote w:id="91">
    <w:p w14:paraId="500C0499" w14:textId="2ADDD8DA" w:rsidR="008B64A3" w:rsidRDefault="008B64A3" w:rsidP="008B64A3">
      <w:pPr>
        <w:pStyle w:val="FootnoteText"/>
        <w:ind w:firstLine="0"/>
      </w:pPr>
      <w:r>
        <w:rPr>
          <w:rStyle w:val="FootnoteReference"/>
        </w:rPr>
        <w:footnoteRef/>
      </w:r>
      <w:r>
        <w:t xml:space="preserve"> </w:t>
      </w:r>
      <w:r w:rsidRPr="00610B7D">
        <w:t>Uppsala, Universitetsbibliotek,</w:t>
      </w:r>
      <w:r w:rsidRPr="00920490">
        <w:t xml:space="preserve"> </w:t>
      </w:r>
      <w:r w:rsidRPr="00610B7D">
        <w:t>Ms. C 619, ff. 1r-60r</w:t>
      </w:r>
      <w:r>
        <w:t xml:space="preserve">, f.1r: “Incipiunt capitula sciencie inferioris elementi propter defectum scriptorum et acceleracionem reddicionis exemplarium a duabus translacionibus extracta diuersimode. Primum exemplar erat translacio que incipit Rerum opifex deus […] Secunda erat Auicenna a magistro Gerhardo cremonense translata que incipit Estimaverunt indi et quam ambarum translacionum capitula […] sunt commixta’. See  Irene Zavattero, ‘Estimaverunt Indi: La traditione testuale di un anonimo trattato di geomanzia’, in </w:t>
      </w:r>
      <w:r w:rsidRPr="006F6EE6">
        <w:rPr>
          <w:i/>
          <w:iCs/>
        </w:rPr>
        <w:t>Geomancy and Other Forms of Divination</w:t>
      </w:r>
      <w:r>
        <w:t xml:space="preserve"> </w:t>
      </w:r>
      <w:r w:rsidR="001812F7">
        <w:t>(</w:t>
      </w:r>
      <w:r>
        <w:t xml:space="preserve">2017), 31-63: 32; see also A. K. Ziegler, ‘Histoire de la géomancie latine di milieu du XIIe siècle au milieu du XVIIe siècle’, in </w:t>
      </w:r>
      <w:r w:rsidRPr="00610B7D">
        <w:rPr>
          <w:i/>
          <w:iCs/>
        </w:rPr>
        <w:t>Positions des thèses soutenues par les élèves de la promotion de 1934 pour obtenir la diplôme d’archiviste paléographe</w:t>
      </w:r>
      <w:r w:rsidRPr="00610B7D">
        <w:t xml:space="preserve"> </w:t>
      </w:r>
      <w:r>
        <w:t>(</w:t>
      </w:r>
      <w:r w:rsidRPr="00610B7D">
        <w:t>Paris</w:t>
      </w:r>
      <w:r>
        <w:t>,</w:t>
      </w:r>
      <w:r w:rsidRPr="00610B7D">
        <w:t xml:space="preserve"> 1934</w:t>
      </w:r>
      <w:r>
        <w:t>)</w:t>
      </w:r>
      <w:r w:rsidRPr="00610B7D">
        <w:t>, 159-70: 165.</w:t>
      </w:r>
    </w:p>
  </w:footnote>
  <w:footnote w:id="92">
    <w:p w14:paraId="781933B3" w14:textId="77777777" w:rsidR="008B64A3" w:rsidRDefault="008B64A3" w:rsidP="008B64A3">
      <w:pPr>
        <w:pStyle w:val="FootnoteText"/>
        <w:ind w:firstLine="0"/>
      </w:pPr>
      <w:r>
        <w:rPr>
          <w:rStyle w:val="FootnoteReference"/>
        </w:rPr>
        <w:footnoteRef/>
      </w:r>
      <w:r>
        <w:t xml:space="preserve"> The edition of the </w:t>
      </w:r>
      <w:r w:rsidRPr="006F4681">
        <w:rPr>
          <w:i/>
          <w:iCs/>
        </w:rPr>
        <w:t>Estimaverunt Indi</w:t>
      </w:r>
      <w:r>
        <w:t xml:space="preserve"> is currently being prepared by Alessandro Palazzo and Irene Zavattero. </w:t>
      </w:r>
    </w:p>
  </w:footnote>
  <w:footnote w:id="93">
    <w:p w14:paraId="79E15D39" w14:textId="47FEC841" w:rsidR="008B64A3" w:rsidRDefault="008B64A3" w:rsidP="008B64A3">
      <w:pPr>
        <w:pStyle w:val="FootnoteText"/>
        <w:ind w:firstLine="0"/>
      </w:pPr>
      <w:r>
        <w:rPr>
          <w:rStyle w:val="FootnoteReference"/>
        </w:rPr>
        <w:footnoteRef/>
      </w:r>
      <w:r>
        <w:t xml:space="preserve">  Zavattero, ‘Estimaverunt Indi’, 31.</w:t>
      </w:r>
    </w:p>
  </w:footnote>
  <w:footnote w:id="94">
    <w:p w14:paraId="1B6A5FC6" w14:textId="6A5AC4D8" w:rsidR="008B64A3" w:rsidRDefault="008B64A3" w:rsidP="008B64A3">
      <w:pPr>
        <w:pStyle w:val="FootnoteText"/>
        <w:ind w:firstLine="0"/>
      </w:pPr>
      <w:r>
        <w:rPr>
          <w:rStyle w:val="FootnoteReference"/>
        </w:rPr>
        <w:footnoteRef/>
      </w:r>
      <w:r>
        <w:t xml:space="preserve"> Paris, B</w:t>
      </w:r>
      <w:r w:rsidRPr="00BF2652">
        <w:t>ibliothèque nationale</w:t>
      </w:r>
      <w:r>
        <w:t>, lat. 10270, f.84: “Completus est liber Salcharie Albasarith translates a magistro Salione, de ebrayco in latinum, Tholeti, secondo die exeunte Februario M</w:t>
      </w:r>
      <w:r w:rsidRPr="00FF71F5">
        <w:rPr>
          <w:vertAlign w:val="superscript"/>
        </w:rPr>
        <w:t>o</w:t>
      </w:r>
      <w:r>
        <w:t xml:space="preserve"> CC</w:t>
      </w:r>
      <w:r w:rsidRPr="00FF71F5">
        <w:rPr>
          <w:vertAlign w:val="superscript"/>
        </w:rPr>
        <w:t>o</w:t>
      </w:r>
      <w:r>
        <w:t xml:space="preserve"> XVIII</w:t>
      </w:r>
      <w:r w:rsidRPr="00FF71F5">
        <w:rPr>
          <w:vertAlign w:val="superscript"/>
        </w:rPr>
        <w:t>o</w:t>
      </w:r>
      <w:r>
        <w:t xml:space="preserve"> anno Christi”; Kassel, Astron. 4</w:t>
      </w:r>
      <w:r w:rsidRPr="00FF71F5">
        <w:rPr>
          <w:vertAlign w:val="superscript"/>
        </w:rPr>
        <w:t>o</w:t>
      </w:r>
      <w:r>
        <w:t xml:space="preserve"> 16, f.76: “Completus est liber Zacharie Albasarith  translates a magistro Sallice de arabico in latinum, Tholleti”. See Charmasson, </w:t>
      </w:r>
      <w:r w:rsidRPr="00827FD4">
        <w:rPr>
          <w:i/>
          <w:iCs/>
        </w:rPr>
        <w:t>Recherches</w:t>
      </w:r>
      <w:r w:rsidR="00626C9D">
        <w:rPr>
          <w:i/>
          <w:iCs/>
        </w:rPr>
        <w:t xml:space="preserve"> sur une technique divinatoire</w:t>
      </w:r>
      <w:r w:rsidR="00626C9D">
        <w:t xml:space="preserve"> (1980)</w:t>
      </w:r>
      <w:r w:rsidR="0062608A">
        <w:t>,</w:t>
      </w:r>
      <w:r>
        <w:t xml:space="preserve"> 198-199, and Lynn Thorndike, ‘A Third Translation by Salio’, in </w:t>
      </w:r>
      <w:r w:rsidRPr="00827FD4">
        <w:rPr>
          <w:i/>
          <w:iCs/>
        </w:rPr>
        <w:t>Speculum</w:t>
      </w:r>
      <w:r>
        <w:t>, 32, no. 1 (1957), 116-117.</w:t>
      </w:r>
    </w:p>
  </w:footnote>
  <w:footnote w:id="95">
    <w:p w14:paraId="5AE8E8A0" w14:textId="77777777" w:rsidR="008B64A3" w:rsidRDefault="008B64A3" w:rsidP="008B64A3">
      <w:pPr>
        <w:pStyle w:val="FootnoteText"/>
        <w:ind w:firstLine="0"/>
      </w:pPr>
      <w:r>
        <w:rPr>
          <w:rStyle w:val="FootnoteReference"/>
        </w:rPr>
        <w:footnoteRef/>
      </w:r>
      <w:r>
        <w:t xml:space="preserve"> Latin: Vatican City Library,</w:t>
      </w:r>
      <w:r w:rsidRPr="00B70D32">
        <w:t xml:space="preserve"> Urb. Lat. 262</w:t>
      </w:r>
      <w:r>
        <w:t xml:space="preserve">, ff. 2r-v; Oxford, Bod. Lib., </w:t>
      </w:r>
      <w:r w:rsidRPr="00B70D32">
        <w:t>Ashmole 393, IV</w:t>
      </w:r>
      <w:r w:rsidRPr="00247F3D">
        <w:t>, ff.</w:t>
      </w:r>
      <w:r>
        <w:t xml:space="preserve"> 131-151 ; Erfurt, Ampl., 4</w:t>
      </w:r>
      <w:r w:rsidRPr="00B70D32">
        <w:rPr>
          <w:vertAlign w:val="superscript"/>
        </w:rPr>
        <w:t>o</w:t>
      </w:r>
      <w:r>
        <w:t xml:space="preserve"> 380, ff. 1-47;</w:t>
      </w:r>
      <w:r w:rsidRPr="00B70D32">
        <w:t xml:space="preserve"> </w:t>
      </w:r>
      <w:r>
        <w:t>Kassel, Astron. 4</w:t>
      </w:r>
      <w:r w:rsidRPr="00FF71F5">
        <w:rPr>
          <w:vertAlign w:val="superscript"/>
        </w:rPr>
        <w:t>o</w:t>
      </w:r>
      <w:r>
        <w:t xml:space="preserve"> 16, ff. 43-75, </w:t>
      </w:r>
      <w:r w:rsidRPr="00E9299A">
        <w:t>Oxford, Bodleian Library, MS. Mash 2016</w:t>
      </w:r>
      <w:r>
        <w:t>. The edition of this text both in its Arabic original and Latin translation is currently being prepared by Blanca Villuendas Sabaté and Charles Burnett.</w:t>
      </w:r>
    </w:p>
  </w:footnote>
  <w:footnote w:id="96">
    <w:p w14:paraId="05A399AF" w14:textId="77C214E1" w:rsidR="00E8429E" w:rsidRDefault="00E8429E" w:rsidP="002E6E88">
      <w:pPr>
        <w:pStyle w:val="FootnoteText"/>
        <w:ind w:firstLine="0"/>
      </w:pPr>
      <w:r>
        <w:rPr>
          <w:rStyle w:val="FootnoteReference"/>
        </w:rPr>
        <w:footnoteRef/>
      </w:r>
      <w:r>
        <w:t xml:space="preserve"> Charmasson, ‘La géomancie médiévale: les traités et leur diffusion’, in</w:t>
      </w:r>
      <w:r w:rsidR="002E6E88">
        <w:t xml:space="preserve"> </w:t>
      </w:r>
      <w:r w:rsidRPr="002E6E88">
        <w:rPr>
          <w:i/>
          <w:iCs/>
        </w:rPr>
        <w:t>Geomancy and Other Forms of Divination,</w:t>
      </w:r>
      <w:r>
        <w:t xml:space="preserve"> 5-29: 27-28; Ead</w:t>
      </w:r>
      <w:r w:rsidR="002E6E88">
        <w:t>.</w:t>
      </w:r>
      <w:r>
        <w:t xml:space="preserve"> </w:t>
      </w:r>
      <w:r w:rsidRPr="002E6E88">
        <w:rPr>
          <w:i/>
          <w:iCs/>
        </w:rPr>
        <w:t>Recherches sur une technique divinatoire,</w:t>
      </w:r>
      <w:r>
        <w:t xml:space="preserve"> 227-266.</w:t>
      </w:r>
      <w:r w:rsidR="002E6E88" w:rsidRPr="002E6E88">
        <w:t xml:space="preserve"> In light of </w:t>
      </w:r>
      <w:r w:rsidR="002E6E88">
        <w:t xml:space="preserve">recent </w:t>
      </w:r>
      <w:r w:rsidR="002E6E88" w:rsidRPr="002E6E88">
        <w:t>research progress, Charmasson</w:t>
      </w:r>
      <w:r w:rsidR="00D834A9">
        <w:t>’</w:t>
      </w:r>
      <w:r w:rsidR="002E6E88" w:rsidRPr="002E6E88">
        <w:t xml:space="preserve">s estimates relating to the number of </w:t>
      </w:r>
      <w:r w:rsidR="002E6E88">
        <w:t xml:space="preserve">geomantic </w:t>
      </w:r>
      <w:r w:rsidR="002E6E88" w:rsidRPr="002E6E88">
        <w:t xml:space="preserve">manuscripts must be revised </w:t>
      </w:r>
      <w:r w:rsidR="002E6E88">
        <w:t xml:space="preserve">due to the identification of new </w:t>
      </w:r>
      <w:r w:rsidR="002E6E88" w:rsidRPr="002E6E88">
        <w:t>manuscript witnesses</w:t>
      </w:r>
      <w:r w:rsidR="002E6E88">
        <w:t>.</w:t>
      </w:r>
      <w:r w:rsidR="00D834A9">
        <w:t xml:space="preserve"> </w:t>
      </w:r>
      <w:r w:rsidR="002907E5">
        <w:t xml:space="preserve">Among the noteworthy recipients of geomantic texts are Michael Bishop of Tarazona, in Aragon, to whom Hugo Sanctelliensis dedicates his translation of the Rerum Opifex, Bartholomew of Parma dedicates his own geomantic compositions to the Bishop of Reggio Theodosius of Flisco. In addition to the dedication of geomantic works to ecclesiastical authorities, several works are owned by princes and leaders: a copy of the </w:t>
      </w:r>
      <w:r w:rsidR="002907E5" w:rsidRPr="002907E5">
        <w:rPr>
          <w:i/>
          <w:iCs/>
        </w:rPr>
        <w:t>Liber arenalis scientiae</w:t>
      </w:r>
      <w:r w:rsidR="002907E5">
        <w:t xml:space="preserve"> is contained in a miscellaneous manuscripts dedicated to Henry VII (BL, Arundel 66), </w:t>
      </w:r>
      <w:r w:rsidR="001721FD">
        <w:t xml:space="preserve">James II of Aragon is known to have owned some geomantic texts and to have studied them in his youth; the library of Charles V of France contained at least thirty geomantic texts, while Richard II requested for a geomantic treatise to be written for him. The library catalogue of the ruler of Mantua Francesco Gonzaga lists five geomantic manuscripts. As well as the ecclesiastical and political elites of the time, prominent intellectuals were also interested in geomancy and owned texts on the topic. Some examples of owners of geomantic texts are Richard of Fournival and Gerard d’Abbeville. For a much more detailed account of famous possessor of geomantic texts see Charmasson, </w:t>
      </w:r>
      <w:r w:rsidR="001721FD" w:rsidRPr="00626193">
        <w:rPr>
          <w:i/>
          <w:iCs/>
        </w:rPr>
        <w:t>Recherches sur une technique divinatoire</w:t>
      </w:r>
      <w:r w:rsidR="001721FD">
        <w:t xml:space="preserve">, </w:t>
      </w:r>
      <w:r w:rsidR="0099097C">
        <w:t>227-232.</w:t>
      </w:r>
    </w:p>
  </w:footnote>
  <w:footnote w:id="97">
    <w:p w14:paraId="2AFD7533" w14:textId="00F4B676" w:rsidR="000921B8" w:rsidRDefault="000921B8" w:rsidP="00D57B5B">
      <w:pPr>
        <w:pStyle w:val="FootnoteText"/>
        <w:ind w:firstLine="0"/>
      </w:pPr>
      <w:r>
        <w:rPr>
          <w:rStyle w:val="FootnoteReference"/>
        </w:rPr>
        <w:footnoteRef/>
      </w:r>
      <w:r>
        <w:t xml:space="preserve"> Studies on vernacular compositions include Paul Meyer, ‘Traités en vers provençaux sur l’astrologie et la géomancie’, </w:t>
      </w:r>
      <w:r w:rsidRPr="000921B8">
        <w:rPr>
          <w:i/>
          <w:iCs/>
        </w:rPr>
        <w:t>Romania</w:t>
      </w:r>
      <w:r>
        <w:t xml:space="preserve">, 102 (1897), 225-275; Gianfranco Contini, </w:t>
      </w:r>
      <w:r w:rsidRPr="000921B8">
        <w:rPr>
          <w:i/>
          <w:iCs/>
        </w:rPr>
        <w:t>Un poemetto provenzale di argomento geomantico</w:t>
      </w:r>
      <w:r>
        <w:t xml:space="preserve"> (Fribourg: Librairie de l’Université, 1940); Laurel Means, ‘A translation of Martin of </w:t>
      </w:r>
      <w:r w:rsidRPr="000921B8">
        <w:rPr>
          <w:i/>
          <w:iCs/>
        </w:rPr>
        <w:t>Spain’s De geomancia</w:t>
      </w:r>
      <w:r>
        <w:t xml:space="preserve">’, in </w:t>
      </w:r>
      <w:r w:rsidRPr="000921B8">
        <w:rPr>
          <w:i/>
          <w:iCs/>
        </w:rPr>
        <w:t>Popular and Practical Science of Medieval England</w:t>
      </w:r>
      <w:r>
        <w:t>, ed. by Lister M. Matheson</w:t>
      </w:r>
      <w:r w:rsidR="0027588C">
        <w:t>) (Medieval Texts and Studies, 11)</w:t>
      </w:r>
      <w:r>
        <w:t xml:space="preserve"> </w:t>
      </w:r>
      <w:r w:rsidR="0027588C">
        <w:t xml:space="preserve">(East Lansing, Mich.: </w:t>
      </w:r>
      <w:r>
        <w:t>Colleagues Press, 1994</w:t>
      </w:r>
      <w:r w:rsidR="0027588C">
        <w:t xml:space="preserve">), </w:t>
      </w:r>
      <w:r>
        <w:t>61-121; S</w:t>
      </w:r>
      <w:r w:rsidR="0027588C">
        <w:t>andro</w:t>
      </w:r>
      <w:r>
        <w:t xml:space="preserve"> Bertelli, </w:t>
      </w:r>
      <w:r w:rsidR="0027588C">
        <w:t>‘</w:t>
      </w:r>
      <w:r>
        <w:t>Un manoscritto di geomanzia in volgare della fine del secolo XIII</w:t>
      </w:r>
      <w:r w:rsidR="0027588C">
        <w:t>’, in</w:t>
      </w:r>
      <w:r>
        <w:t xml:space="preserve"> </w:t>
      </w:r>
      <w:r w:rsidRPr="0027588C">
        <w:rPr>
          <w:i/>
          <w:iCs/>
        </w:rPr>
        <w:t>Studi di filologia italiana. Bollettino annuale dell’Accademia della Crusca,</w:t>
      </w:r>
      <w:r>
        <w:t xml:space="preserve"> 57 (1999), 5-32; </w:t>
      </w:r>
      <w:bookmarkStart w:id="34" w:name="_Hlk166919934"/>
      <w:r w:rsidRPr="0014728A">
        <w:t>K</w:t>
      </w:r>
      <w:r w:rsidR="00D57B5B" w:rsidRPr="0014728A">
        <w:t xml:space="preserve">aty </w:t>
      </w:r>
      <w:r w:rsidRPr="0014728A">
        <w:t xml:space="preserve">S. Bernard, </w:t>
      </w:r>
      <w:r w:rsidRPr="0014728A">
        <w:rPr>
          <w:i/>
          <w:iCs/>
        </w:rPr>
        <w:t>Compter, dire et figurer: édition et commentaire de textes divinatoires et maqiques en occitan médiéval</w:t>
      </w:r>
      <w:r w:rsidRPr="0014728A">
        <w:t xml:space="preserve">, </w:t>
      </w:r>
      <w:r w:rsidR="0027588C" w:rsidRPr="0014728A">
        <w:t>(Bordeaux</w:t>
      </w:r>
      <w:r w:rsidR="00D57B5B" w:rsidRPr="0014728A">
        <w:t>:</w:t>
      </w:r>
      <w:r w:rsidR="0027588C" w:rsidRPr="0014728A">
        <w:t xml:space="preserve"> </w:t>
      </w:r>
      <w:r w:rsidRPr="0014728A">
        <w:t>Université Michel de Montaigne</w:t>
      </w:r>
      <w:r w:rsidR="00D57B5B" w:rsidRPr="0014728A">
        <w:t>,</w:t>
      </w:r>
      <w:r w:rsidRPr="0014728A">
        <w:t xml:space="preserve"> 2008</w:t>
      </w:r>
      <w:r w:rsidR="0027588C" w:rsidRPr="0014728A">
        <w:t>)</w:t>
      </w:r>
      <w:r w:rsidRPr="0014728A">
        <w:t>; E</w:t>
      </w:r>
      <w:r w:rsidR="00D57B5B" w:rsidRPr="0014728A">
        <w:t xml:space="preserve">lisa </w:t>
      </w:r>
      <w:r w:rsidRPr="0014728A">
        <w:t xml:space="preserve">Rubino, </w:t>
      </w:r>
      <w:r w:rsidR="00D57B5B" w:rsidRPr="0014728A">
        <w:t>‘</w:t>
      </w:r>
      <w:r w:rsidRPr="0014728A">
        <w:t>An Italian Translation of William of Moerbeke’s Geomancy,</w:t>
      </w:r>
      <w:r w:rsidR="00D57B5B" w:rsidRPr="0014728A">
        <w:t>’ in</w:t>
      </w:r>
      <w:r w:rsidRPr="0014728A">
        <w:t xml:space="preserve"> </w:t>
      </w:r>
      <w:r w:rsidRPr="0014728A">
        <w:rPr>
          <w:i/>
          <w:iCs/>
        </w:rPr>
        <w:t>Medioevo. Rivista di storia della filosofia medievale</w:t>
      </w:r>
      <w:r w:rsidRPr="0014728A">
        <w:t>, 42 (2017), 81-98</w:t>
      </w:r>
      <w:r w:rsidR="00D57B5B" w:rsidRPr="0014728A">
        <w:t xml:space="preserve">; </w:t>
      </w:r>
      <w:r w:rsidRPr="0014728A">
        <w:t>F</w:t>
      </w:r>
      <w:r w:rsidR="00D57B5B" w:rsidRPr="0014728A">
        <w:t>rank</w:t>
      </w:r>
      <w:r w:rsidRPr="0014728A">
        <w:t xml:space="preserve"> Fürbeth, </w:t>
      </w:r>
      <w:r w:rsidR="00D57B5B" w:rsidRPr="0014728A">
        <w:t>‘</w:t>
      </w:r>
      <w:r w:rsidRPr="0014728A">
        <w:t>Sandrichter und Dämonen in der Geomantie des Mittelalters,</w:t>
      </w:r>
      <w:r w:rsidR="00D57B5B" w:rsidRPr="0014728A">
        <w:t>’</w:t>
      </w:r>
      <w:r w:rsidRPr="0014728A">
        <w:t xml:space="preserve"> </w:t>
      </w:r>
      <w:r w:rsidR="00D57B5B" w:rsidRPr="0014728A">
        <w:t xml:space="preserve">in </w:t>
      </w:r>
      <w:r w:rsidRPr="0014728A">
        <w:rPr>
          <w:i/>
          <w:iCs/>
        </w:rPr>
        <w:t>Turpiloquium. Kommunikation mit Teufeln und Dämonen in Mittelalter und Früher Neuzeit</w:t>
      </w:r>
      <w:r w:rsidRPr="0014728A">
        <w:t>,</w:t>
      </w:r>
      <w:r w:rsidR="00D57B5B" w:rsidRPr="0014728A">
        <w:t xml:space="preserve"> ed. by J. Bockmann, J. Gold (</w:t>
      </w:r>
      <w:r w:rsidRPr="0014728A">
        <w:t>Würzburg</w:t>
      </w:r>
      <w:r w:rsidR="00D57B5B" w:rsidRPr="0014728A">
        <w:t>: Königshausen &amp; Neumann,</w:t>
      </w:r>
      <w:r w:rsidRPr="0014728A">
        <w:t xml:space="preserve"> 2017</w:t>
      </w:r>
      <w:r w:rsidR="00D57B5B" w:rsidRPr="0014728A">
        <w:t>)</w:t>
      </w:r>
      <w:r w:rsidRPr="0014728A">
        <w:t>, 161-185: 179-185</w:t>
      </w:r>
      <w:r w:rsidR="00D57B5B" w:rsidRPr="0014728A">
        <w:t>;</w:t>
      </w:r>
      <w:r>
        <w:t xml:space="preserve">  </w:t>
      </w:r>
      <w:bookmarkEnd w:id="34"/>
      <w:r>
        <w:t>M</w:t>
      </w:r>
      <w:r w:rsidR="00D57B5B">
        <w:t>arco</w:t>
      </w:r>
      <w:r>
        <w:t xml:space="preserve"> Heiles, </w:t>
      </w:r>
      <w:r w:rsidRPr="00D57B5B">
        <w:rPr>
          <w:i/>
          <w:iCs/>
        </w:rPr>
        <w:t>Das Losbuch. Manuskriptologie einer Textsorte des 14. bis 16. Jahrhunderts</w:t>
      </w:r>
      <w:r>
        <w:t xml:space="preserve"> </w:t>
      </w:r>
      <w:r w:rsidR="00D57B5B">
        <w:t xml:space="preserve">(Wien–Köln–Weimar: </w:t>
      </w:r>
      <w:r>
        <w:t>Böhlau, 2018</w:t>
      </w:r>
      <w:r w:rsidR="00D57B5B">
        <w:t>)</w:t>
      </w:r>
      <w:r>
        <w:t>, 105-149.</w:t>
      </w:r>
    </w:p>
  </w:footnote>
  <w:footnote w:id="98">
    <w:p w14:paraId="343116B8" w14:textId="218A493A" w:rsidR="008B64A3" w:rsidRDefault="008B64A3" w:rsidP="008B64A3">
      <w:pPr>
        <w:pStyle w:val="FootnoteText"/>
        <w:ind w:firstLine="0"/>
      </w:pPr>
      <w:r>
        <w:rPr>
          <w:rStyle w:val="FootnoteReference"/>
        </w:rPr>
        <w:footnoteRef/>
      </w:r>
      <w:r>
        <w:t xml:space="preserve"> </w:t>
      </w:r>
      <w:r w:rsidR="007A0590">
        <w:t xml:space="preserve">On Moerbeke see </w:t>
      </w:r>
      <w:r>
        <w:t xml:space="preserve">Pieter Beullens, </w:t>
      </w:r>
      <w:r w:rsidRPr="0065380D">
        <w:rPr>
          <w:i/>
          <w:iCs/>
        </w:rPr>
        <w:t>The Friar and the Philosopher. William of Moerbeke and the Rise of Aristotle’s Science in Medieval Europe</w:t>
      </w:r>
      <w:r>
        <w:t xml:space="preserve"> (London: Routledge, 2023).</w:t>
      </w:r>
      <w:r w:rsidR="007A0590">
        <w:t xml:space="preserve"> Beullens however does not believe in the attribution of the </w:t>
      </w:r>
      <w:r w:rsidR="007A0590" w:rsidRPr="007A0590">
        <w:rPr>
          <w:i/>
          <w:iCs/>
        </w:rPr>
        <w:t>Geomantia</w:t>
      </w:r>
      <w:r w:rsidR="007A0590">
        <w:t xml:space="preserve"> to Moerbeke.</w:t>
      </w:r>
    </w:p>
  </w:footnote>
  <w:footnote w:id="99">
    <w:p w14:paraId="5A416D74" w14:textId="77777777" w:rsidR="008B64A3" w:rsidRDefault="008B64A3" w:rsidP="008B64A3">
      <w:pPr>
        <w:pStyle w:val="FootnoteText"/>
        <w:ind w:firstLine="0"/>
      </w:pPr>
      <w:r>
        <w:rPr>
          <w:rStyle w:val="FootnoteReference"/>
        </w:rPr>
        <w:footnoteRef/>
      </w:r>
      <w:r>
        <w:t xml:space="preserve"> For a list of the manuscripts of the </w:t>
      </w:r>
      <w:r w:rsidRPr="00DE0209">
        <w:rPr>
          <w:i/>
          <w:iCs/>
        </w:rPr>
        <w:t>Geomantia</w:t>
      </w:r>
      <w:r>
        <w:t xml:space="preserve"> see Elisa Rubino, ‘Per una edizione critica della </w:t>
      </w:r>
      <w:r w:rsidRPr="007F5398">
        <w:rPr>
          <w:i/>
          <w:iCs/>
        </w:rPr>
        <w:t>Geomantia</w:t>
      </w:r>
      <w:r>
        <w:t xml:space="preserve"> di Guglielmo di Moerbeke. Il testo del proemio e della prima distinzione della prima parte’, in </w:t>
      </w:r>
      <w:r w:rsidRPr="002E5479">
        <w:rPr>
          <w:i/>
          <w:iCs/>
        </w:rPr>
        <w:t xml:space="preserve">Geomancy and Other Forms of Divination </w:t>
      </w:r>
      <w:r>
        <w:t>(2017), 93-134: 94-95.</w:t>
      </w:r>
    </w:p>
  </w:footnote>
  <w:footnote w:id="100">
    <w:p w14:paraId="1B10E877" w14:textId="77777777" w:rsidR="008B64A3" w:rsidRDefault="008B64A3" w:rsidP="008B64A3">
      <w:pPr>
        <w:pStyle w:val="FootnoteText"/>
        <w:ind w:firstLine="0"/>
      </w:pPr>
      <w:r>
        <w:rPr>
          <w:rStyle w:val="FootnoteReference"/>
        </w:rPr>
        <w:footnoteRef/>
      </w:r>
      <w:r>
        <w:t xml:space="preserve"> The first doubts had been advanced by Martin Grabmann, in Grabmann, </w:t>
      </w:r>
      <w:r w:rsidRPr="005A2B3A">
        <w:rPr>
          <w:i/>
          <w:iCs/>
        </w:rPr>
        <w:t>Guglielmo di Moerbeke O.P. il traduttore delle opere di Aristotele</w:t>
      </w:r>
      <w:r>
        <w:t xml:space="preserve"> (Miscellanea historiae pontificiae, 11), (Rome: Pontificia Università  Gregoriana, 1946), 49, 167-168, note 176.  The </w:t>
      </w:r>
      <w:r w:rsidRPr="005A2B3A">
        <w:rPr>
          <w:i/>
          <w:iCs/>
        </w:rPr>
        <w:t>Geomantia</w:t>
      </w:r>
      <w:r>
        <w:t xml:space="preserve"> was subsequently classified as apocryphal by Thomas Kaeppeli, in Kaeppeli, </w:t>
      </w:r>
      <w:r w:rsidRPr="005A2B3A">
        <w:rPr>
          <w:i/>
          <w:iCs/>
        </w:rPr>
        <w:t>Scriptores Ordinis Praedicatorum Medii Aevi</w:t>
      </w:r>
      <w:r>
        <w:t xml:space="preserve">, vol. II (Rome: Typis Polyglottis Vaticanis, 1975), 129.  More recently, the attribution of this geomantic text to Moerbeke has been rejected by Pieter Beullens in Beullens, ‘Why William of Moerbeke is Not the Author of ‘his’ </w:t>
      </w:r>
      <w:r w:rsidRPr="00AB4314">
        <w:rPr>
          <w:i/>
          <w:iCs/>
        </w:rPr>
        <w:t>Geomantia</w:t>
      </w:r>
      <w:r>
        <w:t xml:space="preserve"> (and why that does not make the text less interesting)’, in </w:t>
      </w:r>
      <w:r w:rsidRPr="00AB4314">
        <w:rPr>
          <w:i/>
          <w:iCs/>
        </w:rPr>
        <w:t>Mediterranea. International journal for the transfer of knowledge</w:t>
      </w:r>
      <w:r w:rsidRPr="00AB4314">
        <w:t>, 4 (2019), 239–244</w:t>
      </w:r>
      <w:r>
        <w:t>.</w:t>
      </w:r>
    </w:p>
  </w:footnote>
  <w:footnote w:id="101">
    <w:p w14:paraId="72B2D13A" w14:textId="5319B427" w:rsidR="008B64A3" w:rsidRDefault="008B64A3" w:rsidP="008B64A3">
      <w:pPr>
        <w:pStyle w:val="FootnoteText"/>
        <w:ind w:firstLine="0"/>
      </w:pPr>
      <w:r>
        <w:rPr>
          <w:rStyle w:val="FootnoteReference"/>
        </w:rPr>
        <w:footnoteRef/>
      </w:r>
      <w:r>
        <w:t xml:space="preserve"> Guillelmi de Morbeca, </w:t>
      </w:r>
      <w:r w:rsidRPr="00FA79F4">
        <w:rPr>
          <w:i/>
          <w:iCs/>
        </w:rPr>
        <w:t>Geomantia</w:t>
      </w:r>
      <w:r>
        <w:t xml:space="preserve"> I-IV, 4, ed. by E. Rubino (Florence: Sismel-Edizioni del Galluzzo, 2021). The authorship of the </w:t>
      </w:r>
      <w:r w:rsidRPr="00C243EF">
        <w:rPr>
          <w:i/>
          <w:iCs/>
        </w:rPr>
        <w:t>Geomantia</w:t>
      </w:r>
      <w:r>
        <w:t xml:space="preserve"> is discussed in an introductory essay by Alessandra Beccarisi,</w:t>
      </w:r>
      <w:r w:rsidR="00973042">
        <w:t xml:space="preserve"> ‘Guglielmo di Moerbeke e la geomanzia,’</w:t>
      </w:r>
      <w:r>
        <w:t xml:space="preserve"> pages XXIX-XXXVI.</w:t>
      </w:r>
    </w:p>
  </w:footnote>
  <w:footnote w:id="102">
    <w:p w14:paraId="5111A085" w14:textId="73349595" w:rsidR="008B64A3" w:rsidRDefault="008B64A3" w:rsidP="008B64A3">
      <w:pPr>
        <w:pStyle w:val="FootnoteText"/>
        <w:ind w:firstLine="0"/>
      </w:pPr>
      <w:r>
        <w:rPr>
          <w:rStyle w:val="FootnoteReference"/>
        </w:rPr>
        <w:footnoteRef/>
      </w:r>
      <w:r>
        <w:t xml:space="preserve"> On the sources of the </w:t>
      </w:r>
      <w:r w:rsidRPr="008D7320">
        <w:rPr>
          <w:i/>
          <w:iCs/>
        </w:rPr>
        <w:t>Geomantia</w:t>
      </w:r>
      <w:r>
        <w:t xml:space="preserve"> see Alessandra Beccarisi, ‘</w:t>
      </w:r>
      <w:r w:rsidR="00973042">
        <w:t>Guglielmo di Moerbeke e la geomanzia’</w:t>
      </w:r>
      <w:r>
        <w:t xml:space="preserve">, in </w:t>
      </w:r>
      <w:r w:rsidRPr="00FA79F4">
        <w:rPr>
          <w:i/>
          <w:iCs/>
        </w:rPr>
        <w:t>Geomantia</w:t>
      </w:r>
      <w:r>
        <w:t xml:space="preserve"> I-IV, 4, ed. by E. Rubino (2021), XL-LVIII.</w:t>
      </w:r>
    </w:p>
  </w:footnote>
  <w:footnote w:id="103">
    <w:p w14:paraId="2C47F14C" w14:textId="3AD8077E" w:rsidR="008B64A3" w:rsidRPr="00F31E10" w:rsidRDefault="008B64A3" w:rsidP="008B64A3">
      <w:pPr>
        <w:pStyle w:val="FootnoteText"/>
        <w:ind w:firstLine="0"/>
        <w:rPr>
          <w:b/>
          <w:bCs/>
        </w:rPr>
      </w:pPr>
      <w:r>
        <w:rPr>
          <w:rStyle w:val="FootnoteReference"/>
        </w:rPr>
        <w:footnoteRef/>
      </w:r>
      <w:r>
        <w:t xml:space="preserve"> Beccarisi, ‘</w:t>
      </w:r>
      <w:r w:rsidR="00973042">
        <w:t>Guglielmo di Moerbeke e la geomanzia’</w:t>
      </w:r>
      <w:r>
        <w:t>, XII-XXII.</w:t>
      </w:r>
    </w:p>
  </w:footnote>
  <w:footnote w:id="104">
    <w:p w14:paraId="5F00C86C" w14:textId="77777777" w:rsidR="008B64A3" w:rsidRDefault="008B64A3" w:rsidP="008B64A3">
      <w:pPr>
        <w:pStyle w:val="FootnoteText"/>
        <w:ind w:firstLine="0"/>
      </w:pPr>
      <w:r>
        <w:rPr>
          <w:rStyle w:val="FootnoteReference"/>
        </w:rPr>
        <w:footnoteRef/>
      </w:r>
      <w:r>
        <w:t xml:space="preserve"> Vienna, Nationalbibliothek, Ms. Lat. 2469 (XIII c.), ff. 1-40; Vienna, Nationalbibliothek, Ms. Lat. 5523 (XV c.), ff. 1-205v; Oxford, BL, Ms. Digby 134 (XV c.), ff. 1-128. The text from 1294 has been translated into Italian between the fifteenth and the sixteenth centuries, see the codex Florence, Bibl. Nat. Magliab. Ms. XX-13, ff. 1-60.</w:t>
      </w:r>
    </w:p>
  </w:footnote>
  <w:footnote w:id="105">
    <w:p w14:paraId="3C15D2F1" w14:textId="230FE92C" w:rsidR="008B64A3" w:rsidRDefault="008B64A3" w:rsidP="008B64A3">
      <w:pPr>
        <w:pStyle w:val="FootnoteText"/>
        <w:ind w:firstLine="0"/>
      </w:pPr>
      <w:r>
        <w:rPr>
          <w:rStyle w:val="FootnoteReference"/>
        </w:rPr>
        <w:footnoteRef/>
      </w:r>
      <w:r>
        <w:t xml:space="preserve"> Charmasson, </w:t>
      </w:r>
      <w:r w:rsidRPr="00C5756F">
        <w:rPr>
          <w:i/>
          <w:iCs/>
        </w:rPr>
        <w:t>Recherches</w:t>
      </w:r>
      <w:r w:rsidR="00BC7B46">
        <w:rPr>
          <w:i/>
          <w:iCs/>
        </w:rPr>
        <w:t xml:space="preserve"> sur une technique divinatoire</w:t>
      </w:r>
      <w:r>
        <w:t xml:space="preserve">, 150; Thorndike, </w:t>
      </w:r>
      <w:r w:rsidRPr="007247AB">
        <w:rPr>
          <w:i/>
          <w:iCs/>
        </w:rPr>
        <w:t>History of Magic</w:t>
      </w:r>
      <w:r>
        <w:t xml:space="preserve">, II (1923), 835. </w:t>
      </w:r>
    </w:p>
  </w:footnote>
  <w:footnote w:id="106">
    <w:p w14:paraId="2C4A3D1F" w14:textId="42E97F82" w:rsidR="008B64A3" w:rsidRDefault="008B64A3" w:rsidP="008B64A3">
      <w:pPr>
        <w:pStyle w:val="FootnoteText"/>
        <w:ind w:firstLine="0"/>
      </w:pPr>
      <w:r>
        <w:rPr>
          <w:rStyle w:val="FootnoteReference"/>
        </w:rPr>
        <w:footnoteRef/>
      </w:r>
      <w:r>
        <w:t xml:space="preserve"> Charmasson, </w:t>
      </w:r>
      <w:r w:rsidRPr="00C5756F">
        <w:rPr>
          <w:i/>
          <w:iCs/>
        </w:rPr>
        <w:t>Recherches</w:t>
      </w:r>
      <w:r>
        <w:t xml:space="preserve"> </w:t>
      </w:r>
      <w:r w:rsidR="00BC7B46">
        <w:rPr>
          <w:i/>
          <w:iCs/>
        </w:rPr>
        <w:t>sur une technique divinatoire</w:t>
      </w:r>
      <w:r>
        <w:t>, 150.</w:t>
      </w:r>
    </w:p>
  </w:footnote>
  <w:footnote w:id="107">
    <w:p w14:paraId="3717925F" w14:textId="22061EF6" w:rsidR="008B64A3" w:rsidRDefault="008B64A3" w:rsidP="008B64A3">
      <w:pPr>
        <w:pStyle w:val="FootnoteText"/>
        <w:ind w:firstLine="0"/>
      </w:pPr>
      <w:r>
        <w:rPr>
          <w:rStyle w:val="FootnoteReference"/>
        </w:rPr>
        <w:footnoteRef/>
      </w:r>
      <w:r>
        <w:t xml:space="preserve"> For a list of manuscripts containing these two texts, see Charmasson, </w:t>
      </w:r>
      <w:r w:rsidRPr="00C5756F">
        <w:rPr>
          <w:i/>
          <w:iCs/>
        </w:rPr>
        <w:t>Recherches</w:t>
      </w:r>
      <w:r>
        <w:t xml:space="preserve"> </w:t>
      </w:r>
      <w:r w:rsidR="006C79F3">
        <w:rPr>
          <w:i/>
          <w:iCs/>
        </w:rPr>
        <w:t>sur une technique divinatoire</w:t>
      </w:r>
      <w:r>
        <w:t xml:space="preserve">, 150, note 4. </w:t>
      </w:r>
    </w:p>
  </w:footnote>
  <w:footnote w:id="108">
    <w:p w14:paraId="1E5724A0" w14:textId="29547339" w:rsidR="008B64A3" w:rsidRDefault="008B64A3" w:rsidP="008B64A3">
      <w:pPr>
        <w:pStyle w:val="FootnoteText"/>
        <w:ind w:firstLine="0"/>
      </w:pPr>
      <w:r>
        <w:rPr>
          <w:rStyle w:val="FootnoteReference"/>
        </w:rPr>
        <w:footnoteRef/>
      </w:r>
      <w:r>
        <w:t xml:space="preserve"> Charmasson, </w:t>
      </w:r>
      <w:r w:rsidRPr="00C5756F">
        <w:rPr>
          <w:i/>
          <w:iCs/>
        </w:rPr>
        <w:t>Recherches</w:t>
      </w:r>
      <w:r>
        <w:t xml:space="preserve"> </w:t>
      </w:r>
      <w:r w:rsidR="00BC7B46">
        <w:rPr>
          <w:i/>
          <w:iCs/>
        </w:rPr>
        <w:t>sur une technique divinatoire</w:t>
      </w:r>
      <w:r>
        <w:t>, 150-155.</w:t>
      </w:r>
    </w:p>
  </w:footnote>
  <w:footnote w:id="109">
    <w:p w14:paraId="1024C700" w14:textId="4B211E6A" w:rsidR="008B64A3" w:rsidRDefault="008B64A3" w:rsidP="008B64A3">
      <w:pPr>
        <w:pStyle w:val="FootnoteText"/>
        <w:ind w:firstLine="0"/>
      </w:pPr>
      <w:r>
        <w:rPr>
          <w:rStyle w:val="FootnoteReference"/>
        </w:rPr>
        <w:footnoteRef/>
      </w:r>
      <w:r>
        <w:t xml:space="preserve"> Further biographical information can be found in Charmasson, </w:t>
      </w:r>
      <w:r w:rsidRPr="00C5756F">
        <w:rPr>
          <w:i/>
          <w:iCs/>
        </w:rPr>
        <w:t>Recherches</w:t>
      </w:r>
      <w:r w:rsidR="00772B62" w:rsidRPr="00772B62">
        <w:rPr>
          <w:i/>
          <w:iCs/>
        </w:rPr>
        <w:t xml:space="preserve"> </w:t>
      </w:r>
      <w:r w:rsidR="00772B62">
        <w:rPr>
          <w:i/>
          <w:iCs/>
        </w:rPr>
        <w:t>sur une technique divinatoire</w:t>
      </w:r>
      <w:r>
        <w:t xml:space="preserve"> (1980), 177-178;</w:t>
      </w:r>
      <w:r w:rsidRPr="00244EDB">
        <w:t xml:space="preserve"> </w:t>
      </w:r>
      <w:r w:rsidRPr="0017378C">
        <w:t>Charmasson,</w:t>
      </w:r>
      <w:r>
        <w:t xml:space="preserve"> </w:t>
      </w:r>
      <w:r w:rsidRPr="0017378C">
        <w:rPr>
          <w:i/>
          <w:iCs/>
        </w:rPr>
        <w:t>Sciences et techniques divinatoires au XVe siècle. Roland l'Écrivain, médecin, astrologue et géomancien, diplôme d'archiviste paléographe</w:t>
      </w:r>
      <w:r w:rsidRPr="0017378C">
        <w:t>,</w:t>
      </w:r>
      <w:r>
        <w:t xml:space="preserve"> (</w:t>
      </w:r>
      <w:r w:rsidRPr="0017378C">
        <w:t>Paris</w:t>
      </w:r>
      <w:r>
        <w:t>:</w:t>
      </w:r>
      <w:r w:rsidRPr="0017378C">
        <w:t xml:space="preserve"> Résumé dans Positions des thèses de l</w:t>
      </w:r>
      <w:r w:rsidR="0073792D">
        <w:t>’</w:t>
      </w:r>
      <w:r w:rsidRPr="0017378C">
        <w:t>École des chartes, 1973</w:t>
      </w:r>
      <w:r>
        <w:t>),</w:t>
      </w:r>
      <w:r w:rsidRPr="0017378C">
        <w:t xml:space="preserve"> 27-31</w:t>
      </w:r>
      <w:r w:rsidR="00BB34BC">
        <w:t>;</w:t>
      </w:r>
      <w:r>
        <w:t xml:space="preserve"> </w:t>
      </w:r>
      <w:r w:rsidRPr="00244EDB">
        <w:t xml:space="preserve">Charmasson, </w:t>
      </w:r>
      <w:r>
        <w:t>‘</w:t>
      </w:r>
      <w:r w:rsidRPr="00244EDB">
        <w:t>Roland l</w:t>
      </w:r>
      <w:r w:rsidR="0018066D">
        <w:t>’</w:t>
      </w:r>
      <w:r w:rsidRPr="00244EDB">
        <w:t>Écrivain, médecin des ducs de Bourgogne</w:t>
      </w:r>
      <w:r>
        <w:t>’</w:t>
      </w:r>
      <w:r w:rsidRPr="00244EDB">
        <w:t>,</w:t>
      </w:r>
      <w:r>
        <w:t xml:space="preserve"> in</w:t>
      </w:r>
      <w:r w:rsidRPr="00244EDB">
        <w:t xml:space="preserve"> </w:t>
      </w:r>
      <w:r w:rsidRPr="00244EDB">
        <w:rPr>
          <w:i/>
          <w:iCs/>
        </w:rPr>
        <w:t>Actes du 101e Congrès des sociétés savantes,</w:t>
      </w:r>
      <w:r w:rsidRPr="00244EDB">
        <w:t xml:space="preserve"> </w:t>
      </w:r>
      <w:r>
        <w:t>III (</w:t>
      </w:r>
      <w:r w:rsidRPr="00244EDB">
        <w:t>Lille</w:t>
      </w:r>
      <w:r>
        <w:t>:</w:t>
      </w:r>
      <w:r w:rsidRPr="00244EDB">
        <w:t xml:space="preserve"> 1976</w:t>
      </w:r>
      <w:r>
        <w:t>)</w:t>
      </w:r>
      <w:r w:rsidRPr="00244EDB">
        <w:t>, 21-32</w:t>
      </w:r>
      <w:r>
        <w:t>; Ernest W</w:t>
      </w:r>
      <w:r w:rsidRPr="00244EDB">
        <w:t xml:space="preserve">ickersheimer, </w:t>
      </w:r>
      <w:r w:rsidRPr="00244EDB">
        <w:rPr>
          <w:i/>
          <w:iCs/>
        </w:rPr>
        <w:t>Dictionnaire biographique des médecins en France au Moyen Âge</w:t>
      </w:r>
      <w:r>
        <w:rPr>
          <w:i/>
          <w:iCs/>
        </w:rPr>
        <w:t xml:space="preserve">, </w:t>
      </w:r>
      <w:r w:rsidRPr="00244EDB">
        <w:t xml:space="preserve">II </w:t>
      </w:r>
      <w:r>
        <w:t>(</w:t>
      </w:r>
      <w:r w:rsidRPr="00244EDB">
        <w:t>Genève</w:t>
      </w:r>
      <w:r>
        <w:t>:</w:t>
      </w:r>
      <w:r w:rsidRPr="00244EDB">
        <w:t xml:space="preserve"> Droz</w:t>
      </w:r>
      <w:r>
        <w:t>,</w:t>
      </w:r>
      <w:r w:rsidRPr="00244EDB">
        <w:t xml:space="preserve"> 1979</w:t>
      </w:r>
      <w:r>
        <w:t>)</w:t>
      </w:r>
      <w:r w:rsidRPr="00244EDB">
        <w:t>, 733-734</w:t>
      </w:r>
      <w:r>
        <w:t xml:space="preserve">; </w:t>
      </w:r>
    </w:p>
  </w:footnote>
  <w:footnote w:id="110">
    <w:p w14:paraId="6DF2F94E" w14:textId="0FEB9D73" w:rsidR="008B64A3" w:rsidRDefault="008B64A3" w:rsidP="008B64A3">
      <w:pPr>
        <w:pStyle w:val="FootnoteText"/>
        <w:ind w:firstLine="0"/>
      </w:pPr>
      <w:r>
        <w:rPr>
          <w:rStyle w:val="FootnoteReference"/>
        </w:rPr>
        <w:footnoteRef/>
      </w:r>
      <w:r>
        <w:t xml:space="preserve"> See Lynn Thorndike and Pearl Kibre</w:t>
      </w:r>
      <w:r w:rsidRPr="00344812">
        <w:rPr>
          <w:i/>
          <w:iCs/>
        </w:rPr>
        <w:t>, A Catalogue of Medieval Scientific Writings in Latin, Revised and Augmented Edition</w:t>
      </w:r>
      <w:r>
        <w:t xml:space="preserve"> (Cambridge, Mass.: The Medieval Academy of America, 1963), 146.</w:t>
      </w:r>
    </w:p>
  </w:footnote>
  <w:footnote w:id="111">
    <w:p w14:paraId="1D5308EB" w14:textId="2A3FCF86" w:rsidR="008B64A3" w:rsidRDefault="008B64A3" w:rsidP="008B64A3">
      <w:pPr>
        <w:pStyle w:val="FootnoteText"/>
        <w:ind w:firstLine="0"/>
      </w:pPr>
      <w:r>
        <w:rPr>
          <w:rStyle w:val="FootnoteReference"/>
        </w:rPr>
        <w:footnoteRef/>
      </w:r>
      <w:r>
        <w:t xml:space="preserve"> Charmasson, </w:t>
      </w:r>
      <w:r w:rsidRPr="00C5756F">
        <w:rPr>
          <w:i/>
          <w:iCs/>
        </w:rPr>
        <w:t>Recherches</w:t>
      </w:r>
      <w:r>
        <w:t xml:space="preserve"> </w:t>
      </w:r>
      <w:r w:rsidR="00772B62">
        <w:rPr>
          <w:i/>
          <w:iCs/>
        </w:rPr>
        <w:t>sur une technique divinatoire</w:t>
      </w:r>
      <w:r>
        <w:t>, 182.</w:t>
      </w:r>
    </w:p>
  </w:footnote>
  <w:footnote w:id="112">
    <w:p w14:paraId="1589E249" w14:textId="59890036" w:rsidR="008B64A3" w:rsidRDefault="008B64A3" w:rsidP="008B64A3">
      <w:pPr>
        <w:pStyle w:val="FootnoteText"/>
        <w:ind w:firstLine="0"/>
      </w:pPr>
      <w:r>
        <w:rPr>
          <w:rStyle w:val="FootnoteReference"/>
        </w:rPr>
        <w:footnoteRef/>
      </w:r>
      <w:r>
        <w:t xml:space="preserve"> See Elisa Rubino, ‘An Italian Translation of William of Moerbeke’s Geomancy’, in </w:t>
      </w:r>
      <w:r w:rsidRPr="00C03416">
        <w:rPr>
          <w:i/>
          <w:iCs/>
        </w:rPr>
        <w:t xml:space="preserve">Medioevo. Rivista di storia della filosofia medievale, </w:t>
      </w:r>
      <w:r>
        <w:t xml:space="preserve">XLII (Padua: Il Poligrafo, 2017), 81-98. Most of the treatises in their vernacular translations are transmitted anonymously, see Charmasson, </w:t>
      </w:r>
      <w:r w:rsidRPr="001A5B23">
        <w:rPr>
          <w:i/>
          <w:iCs/>
        </w:rPr>
        <w:t>Recherches</w:t>
      </w:r>
      <w:r w:rsidR="005D57F8">
        <w:rPr>
          <w:i/>
          <w:iCs/>
        </w:rPr>
        <w:t xml:space="preserve"> sur une technique divinatoire</w:t>
      </w:r>
      <w:r>
        <w:t>, 213.</w:t>
      </w:r>
    </w:p>
  </w:footnote>
  <w:footnote w:id="113">
    <w:p w14:paraId="65BAC5DC" w14:textId="77777777" w:rsidR="008B64A3" w:rsidRDefault="008B64A3" w:rsidP="008B64A3">
      <w:pPr>
        <w:pStyle w:val="FootnoteText"/>
        <w:ind w:firstLine="0"/>
      </w:pPr>
      <w:r>
        <w:rPr>
          <w:rStyle w:val="FootnoteReference"/>
        </w:rPr>
        <w:footnoteRef/>
      </w:r>
      <w:r>
        <w:t xml:space="preserve"> The poem has been edited in Theodor Ebneter, </w:t>
      </w:r>
      <w:r w:rsidRPr="00393B09">
        <w:rPr>
          <w:i/>
          <w:iCs/>
        </w:rPr>
        <w:t>Poème sur les signes géomantiques en ancient Provençal, publié d’après le manuscript unique de la Bibliothèque Nationale de Paris</w:t>
      </w:r>
      <w:r>
        <w:t xml:space="preserve"> (Bibliotheca Helvetica Romana II) (Lausanne: Urs Graf-Verlag, 1995); see also Gianfranco Contini, </w:t>
      </w:r>
      <w:r w:rsidRPr="00E05B69">
        <w:rPr>
          <w:i/>
          <w:iCs/>
        </w:rPr>
        <w:t xml:space="preserve">Un poemetto provenzale di argomento geomantico </w:t>
      </w:r>
      <w:r>
        <w:t>(Fribourg: Université de Fribourg, 1940). Both Contini and Ebneter agree in dating the poem from the first half of the fourteenth century.</w:t>
      </w:r>
    </w:p>
  </w:footnote>
  <w:footnote w:id="114">
    <w:p w14:paraId="494583BB" w14:textId="5FAAC728" w:rsidR="008B64A3" w:rsidRDefault="008B64A3" w:rsidP="008B64A3">
      <w:pPr>
        <w:pStyle w:val="FootnoteText"/>
        <w:ind w:firstLine="0"/>
      </w:pPr>
      <w:r>
        <w:rPr>
          <w:rStyle w:val="FootnoteReference"/>
        </w:rPr>
        <w:footnoteRef/>
      </w:r>
      <w:r>
        <w:t xml:space="preserve"> For a list of geomantic works in vernacular see Charmasson, </w:t>
      </w:r>
      <w:r w:rsidRPr="00E05B69">
        <w:rPr>
          <w:i/>
          <w:iCs/>
        </w:rPr>
        <w:t>Recherches</w:t>
      </w:r>
      <w:r>
        <w:t xml:space="preserve"> </w:t>
      </w:r>
      <w:r w:rsidR="006F5899">
        <w:rPr>
          <w:i/>
          <w:iCs/>
        </w:rPr>
        <w:t>sur une technique divinatoire</w:t>
      </w:r>
      <w:r>
        <w:t xml:space="preserve">, 301-304; see also Laurel Means, ‘A translation of Martin of Spain’s </w:t>
      </w:r>
      <w:r w:rsidRPr="00F2320F">
        <w:rPr>
          <w:i/>
          <w:iCs/>
        </w:rPr>
        <w:t>De geomancia</w:t>
      </w:r>
      <w:r w:rsidRPr="00F2320F">
        <w:t>’</w:t>
      </w:r>
      <w:r>
        <w:t xml:space="preserve">, in </w:t>
      </w:r>
      <w:r w:rsidRPr="00F2320F">
        <w:rPr>
          <w:i/>
          <w:iCs/>
        </w:rPr>
        <w:t>Popular and Practical Science of Medieval England</w:t>
      </w:r>
      <w:r>
        <w:t>, ed. by L. M. Matheson, (East Lansing, Mich.:</w:t>
      </w:r>
      <w:r w:rsidRPr="00F2320F">
        <w:t xml:space="preserve"> </w:t>
      </w:r>
      <w:r>
        <w:t>Colleagues Press, 1994), 61-121;</w:t>
      </w:r>
      <w:r w:rsidRPr="00966B41">
        <w:t xml:space="preserve"> </w:t>
      </w:r>
      <w:r>
        <w:t xml:space="preserve">Sandro Bertelli, ‘Un manoscritto di geomanzia in volgare della fine del secolo XIII’, in </w:t>
      </w:r>
      <w:r w:rsidRPr="00966B41">
        <w:rPr>
          <w:i/>
          <w:iCs/>
        </w:rPr>
        <w:t xml:space="preserve">Studi di filologia italiana. Bollettino annuale dell’Accademia della Crusca, </w:t>
      </w:r>
      <w:r>
        <w:t xml:space="preserve">57 (1999), 5-32; Tony Hunt, </w:t>
      </w:r>
      <w:r w:rsidRPr="00AA28F8">
        <w:rPr>
          <w:i/>
          <w:iCs/>
        </w:rPr>
        <w:t>Writing the Future. Prognistic Texts of Medieval England</w:t>
      </w:r>
      <w:r>
        <w:t xml:space="preserve"> (Paris: Classiques Garnier, 2013), 294-332.</w:t>
      </w:r>
    </w:p>
  </w:footnote>
  <w:footnote w:id="115">
    <w:p w14:paraId="0ADB6B9D" w14:textId="323D4C12" w:rsidR="008B64A3" w:rsidRDefault="008B64A3" w:rsidP="008B64A3">
      <w:pPr>
        <w:pStyle w:val="FootnoteText"/>
        <w:ind w:firstLine="0"/>
      </w:pPr>
      <w:r>
        <w:rPr>
          <w:rStyle w:val="FootnoteReference"/>
        </w:rPr>
        <w:footnoteRef/>
      </w:r>
      <w:r>
        <w:t xml:space="preserve"> </w:t>
      </w:r>
      <w:r w:rsidR="00F34934">
        <w:t xml:space="preserve">Alessandro </w:t>
      </w:r>
      <w:r>
        <w:t>Palazzo, ‘Dibattiti filosofici e scientifici sulla geomanzia nel medioevo latino’, in</w:t>
      </w:r>
      <w:r w:rsidRPr="006B75A9">
        <w:t xml:space="preserve"> </w:t>
      </w:r>
      <w:r w:rsidRPr="006B75A9">
        <w:rPr>
          <w:i/>
          <w:iCs/>
        </w:rPr>
        <w:t>Trans/Form/Ação</w:t>
      </w:r>
      <w:r w:rsidRPr="00160D8C">
        <w:t>, vol. 42 (2019)</w:t>
      </w:r>
      <w:r>
        <w:t>,</w:t>
      </w:r>
      <w:r w:rsidRPr="00160D8C">
        <w:t xml:space="preserve"> 31-56</w:t>
      </w:r>
      <w:r>
        <w:t>: 33.</w:t>
      </w:r>
    </w:p>
  </w:footnote>
  <w:footnote w:id="116">
    <w:p w14:paraId="1EBC0EE0" w14:textId="3DBC2F44" w:rsidR="008B64A3" w:rsidRDefault="008B64A3" w:rsidP="008B64A3">
      <w:pPr>
        <w:pStyle w:val="FootnoteText"/>
        <w:ind w:firstLine="0"/>
      </w:pPr>
      <w:r>
        <w:rPr>
          <w:rStyle w:val="FootnoteReference"/>
        </w:rPr>
        <w:footnoteRef/>
      </w:r>
      <w:r>
        <w:t xml:space="preserve"> </w:t>
      </w:r>
      <w:bookmarkStart w:id="37" w:name="_Hlk124000936"/>
      <w:r>
        <w:t xml:space="preserve">Dominicus Gundissalinus, </w:t>
      </w:r>
      <w:r w:rsidRPr="00D73B7A">
        <w:rPr>
          <w:i/>
          <w:iCs/>
        </w:rPr>
        <w:t>De divisione philosophiae</w:t>
      </w:r>
      <w:r>
        <w:rPr>
          <w:i/>
          <w:iCs/>
        </w:rPr>
        <w:t xml:space="preserve"> (Über die Einteilung der Philosophie)</w:t>
      </w:r>
      <w:r>
        <w:t xml:space="preserve">, ed. </w:t>
      </w:r>
      <w:r w:rsidR="00B3267B">
        <w:t xml:space="preserve">A. </w:t>
      </w:r>
      <w:r>
        <w:t xml:space="preserve">Fidora </w:t>
      </w:r>
      <w:r w:rsidR="00B3267B">
        <w:t>and</w:t>
      </w:r>
      <w:r>
        <w:t xml:space="preserve"> </w:t>
      </w:r>
      <w:r w:rsidR="00B3267B">
        <w:t xml:space="preserve">D. </w:t>
      </w:r>
      <w:r>
        <w:t>Werner (Freiburg: Herder,2007), 228</w:t>
      </w:r>
      <w:bookmarkEnd w:id="37"/>
      <w:r>
        <w:t>: “[De astronomia] Astronomia est scientia, quae cursus et positionem stellarum secundum hominum opinionem describit ad temporum notitiam. Genus est, quod ipsa de proposita sibi ut oportet quaestione est scientia iudicandi secundum planetarum et signorum positionem. Cum enim multae sint scientiae iudicandi de proposita questione ut geomantia, quae est divinatio in terra, hydromantia in aqua, aeromantia in aere, pyromantia in igne, chiromantia in manu et multae aliae, ut scientia augurandi in volatu et garritu avium vel in spatula arietis et similia, haec ceteris dignior est, quia ex dispositione caelestium corporum, quae sunt in terris ventura praenuntiat</w:t>
      </w:r>
      <w:r w:rsidR="0091012B">
        <w:t>.</w:t>
      </w:r>
      <w:r>
        <w:t>” (Gundissalinus uses ‘astronomia’ for astrology and vice versa).</w:t>
      </w:r>
    </w:p>
  </w:footnote>
  <w:footnote w:id="117">
    <w:p w14:paraId="2F935AA1" w14:textId="1FBAFFF1" w:rsidR="008B64A3" w:rsidRDefault="008B64A3" w:rsidP="008B64A3">
      <w:pPr>
        <w:pStyle w:val="FootnoteText"/>
        <w:ind w:firstLine="0"/>
      </w:pPr>
      <w:r>
        <w:rPr>
          <w:rStyle w:val="FootnoteReference"/>
        </w:rPr>
        <w:footnoteRef/>
      </w:r>
      <w:r>
        <w:t xml:space="preserve"> Thomas de Aquino, </w:t>
      </w:r>
      <w:r w:rsidRPr="0048210C">
        <w:rPr>
          <w:i/>
          <w:iCs/>
        </w:rPr>
        <w:t>Liber de sortibus ad dominum Iacobum de Tonengo</w:t>
      </w:r>
      <w:r>
        <w:t xml:space="preserve"> </w:t>
      </w:r>
      <w:r w:rsidR="00376245">
        <w:t>[</w:t>
      </w:r>
      <w:r w:rsidRPr="0048210C">
        <w:rPr>
          <w:i/>
          <w:iCs/>
        </w:rPr>
        <w:t>Sancti Thomae de Aquino Opera Omnia</w:t>
      </w:r>
      <w:r>
        <w:t>, vol. 43</w:t>
      </w:r>
      <w:r w:rsidR="00376245">
        <w:t>]</w:t>
      </w:r>
      <w:r>
        <w:t xml:space="preserve"> (Rome: Editori di San Tommaso, 1976), 229-241.</w:t>
      </w:r>
    </w:p>
  </w:footnote>
  <w:footnote w:id="118">
    <w:p w14:paraId="43088F41" w14:textId="3530D5DC" w:rsidR="008B64A3" w:rsidRDefault="008B64A3" w:rsidP="008B64A3">
      <w:pPr>
        <w:pStyle w:val="FootnoteText"/>
        <w:ind w:firstLine="0"/>
      </w:pPr>
      <w:r>
        <w:rPr>
          <w:rStyle w:val="FootnoteReference"/>
        </w:rPr>
        <w:footnoteRef/>
      </w:r>
      <w:r>
        <w:t xml:space="preserve"> </w:t>
      </w:r>
      <w:r w:rsidRPr="00860E4E">
        <w:rPr>
          <w:i/>
          <w:iCs/>
        </w:rPr>
        <w:t>S. Thomae Aquinatis Summa Theologiae, tomus II Parts II II</w:t>
      </w:r>
      <w:r>
        <w:t xml:space="preserve"> (</w:t>
      </w:r>
      <w:r w:rsidRPr="00860E4E">
        <w:rPr>
          <w:i/>
          <w:iCs/>
        </w:rPr>
        <w:t>cum textu ex recensione leonina</w:t>
      </w:r>
      <w:r>
        <w:t>), ed. by De Rubeis, P. Billuart and O. P. Faucher (Turin-Rome: Marinetti</w:t>
      </w:r>
      <w:r w:rsidR="00D30753">
        <w:t>,</w:t>
      </w:r>
      <w:r>
        <w:t xml:space="preserve"> 1948), 476-492.</w:t>
      </w:r>
    </w:p>
  </w:footnote>
  <w:footnote w:id="119">
    <w:p w14:paraId="3A6C965E" w14:textId="77777777" w:rsidR="008B64A3" w:rsidRDefault="008B64A3" w:rsidP="008B64A3">
      <w:pPr>
        <w:pStyle w:val="FootnoteText"/>
        <w:ind w:firstLine="0"/>
      </w:pPr>
      <w:r>
        <w:rPr>
          <w:rStyle w:val="FootnoteReference"/>
        </w:rPr>
        <w:footnoteRef/>
      </w:r>
      <w:r>
        <w:t xml:space="preserve"> For Aquinas’ dissertation on geomancy and the divinatory arts I refer to the study of Pasquale Porro, ‘Divinazione e geomanzia in Tommaso d’Aquino: qualche osservazione sul </w:t>
      </w:r>
      <w:r w:rsidRPr="00330BC9">
        <w:rPr>
          <w:i/>
          <w:iCs/>
        </w:rPr>
        <w:t>De sortibus</w:t>
      </w:r>
      <w:r w:rsidRPr="00330BC9">
        <w:t>’</w:t>
      </w:r>
      <w:r>
        <w:t xml:space="preserve">, in </w:t>
      </w:r>
      <w:r w:rsidRPr="00330BC9">
        <w:rPr>
          <w:i/>
          <w:iCs/>
        </w:rPr>
        <w:t>Geomancy and Other Forms of Divination</w:t>
      </w:r>
      <w:r>
        <w:t xml:space="preserve"> (2017), 143-166.</w:t>
      </w:r>
    </w:p>
  </w:footnote>
  <w:footnote w:id="120">
    <w:p w14:paraId="72D1613F" w14:textId="08E4C029" w:rsidR="008B64A3" w:rsidRPr="00A224F1" w:rsidRDefault="008B64A3" w:rsidP="008B64A3">
      <w:pPr>
        <w:pStyle w:val="FootnoteText"/>
        <w:ind w:firstLine="0"/>
      </w:pPr>
      <w:r>
        <w:rPr>
          <w:rStyle w:val="FootnoteReference"/>
        </w:rPr>
        <w:footnoteRef/>
      </w:r>
      <w:r>
        <w:t xml:space="preserve"> Thomas de Aquino, </w:t>
      </w:r>
      <w:r w:rsidRPr="0048210C">
        <w:rPr>
          <w:i/>
          <w:iCs/>
        </w:rPr>
        <w:t>Liber de sortibus</w:t>
      </w:r>
      <w:r w:rsidRPr="002B6F55">
        <w:t>,</w:t>
      </w:r>
      <w:r>
        <w:t xml:space="preserve"> p.</w:t>
      </w:r>
      <w:r>
        <w:rPr>
          <w:i/>
          <w:iCs/>
        </w:rPr>
        <w:t xml:space="preserve"> </w:t>
      </w:r>
      <w:r>
        <w:t>229, 50-54: “Relinquitur igitur quod homines sorte aliquid inquirunt in rebus humanis aliqualiter ad se pertinentibus, que per propriam prudentiam non possunt cognoscere nec ad effectum perducere</w:t>
      </w:r>
      <w:r w:rsidR="006B15AF">
        <w:t>.</w:t>
      </w:r>
      <w:r>
        <w:t>”</w:t>
      </w:r>
    </w:p>
  </w:footnote>
  <w:footnote w:id="121">
    <w:p w14:paraId="658CAA91" w14:textId="69F01BC6" w:rsidR="008B64A3" w:rsidRDefault="008B64A3" w:rsidP="008B64A3">
      <w:pPr>
        <w:pStyle w:val="FootnoteText"/>
        <w:ind w:firstLine="0"/>
      </w:pPr>
      <w:r>
        <w:rPr>
          <w:rStyle w:val="FootnoteReference"/>
        </w:rPr>
        <w:footnoteRef/>
      </w:r>
      <w:r>
        <w:t xml:space="preserve"> For a clear classification of the various forms of prediction according to the </w:t>
      </w:r>
      <w:r w:rsidRPr="005941EF">
        <w:rPr>
          <w:i/>
          <w:iCs/>
        </w:rPr>
        <w:t>De sortibus</w:t>
      </w:r>
      <w:r>
        <w:t>, see the table in  Porro, ‘Divinazione e geomanzia in Tommaso d’Aquino</w:t>
      </w:r>
      <w:r w:rsidRPr="00330BC9">
        <w:t>’</w:t>
      </w:r>
      <w:r>
        <w:t>, 150.</w:t>
      </w:r>
    </w:p>
  </w:footnote>
  <w:footnote w:id="122">
    <w:p w14:paraId="6078601B" w14:textId="77777777" w:rsidR="008B64A3" w:rsidRDefault="008B64A3" w:rsidP="008B64A3">
      <w:pPr>
        <w:pStyle w:val="FootnoteText"/>
        <w:ind w:firstLine="0"/>
      </w:pPr>
      <w:r>
        <w:rPr>
          <w:rStyle w:val="FootnoteReference"/>
        </w:rPr>
        <w:footnoteRef/>
      </w:r>
      <w:r>
        <w:t xml:space="preserve"> The intermediate relationship occupied by men in the cosmos as a creature partly corporeal and partly immaterial in relationship to astral influences will be examined more in depth in the following chapters of this thesis.</w:t>
      </w:r>
    </w:p>
  </w:footnote>
  <w:footnote w:id="123">
    <w:p w14:paraId="050BC713" w14:textId="50D36FEC" w:rsidR="008B64A3" w:rsidRPr="009859F2" w:rsidRDefault="008B64A3" w:rsidP="008B64A3">
      <w:pPr>
        <w:pStyle w:val="FootnoteText"/>
        <w:ind w:firstLine="0"/>
      </w:pPr>
      <w:r>
        <w:rPr>
          <w:rStyle w:val="FootnoteReference"/>
        </w:rPr>
        <w:footnoteRef/>
      </w:r>
      <w:r>
        <w:t xml:space="preserve"> Thomas de Aquino, </w:t>
      </w:r>
      <w:r w:rsidRPr="0048210C">
        <w:rPr>
          <w:i/>
          <w:iCs/>
        </w:rPr>
        <w:t>Liber de sortibus</w:t>
      </w:r>
      <w:r w:rsidRPr="002B6F55">
        <w:t>,</w:t>
      </w:r>
      <w:r>
        <w:t xml:space="preserve"> p. 233-4, 124-154: “Quia tamen ad actus humanos non solum concurrunt uoluntas et intellectus que impressioni syderum non subduntur, sed etiam sensitiua pars anime que, in eo quod corporali utitur organo, necesse est quod corporibus celestibus subiciatur, potest dici quod ex dispositione celestium corporum aliqua inclinatio fit in nobis ad hec uel illa facienda: in quantum scilicet ad hoc inducimur per ymaginariam apprehensionem et per appetitus sensitiui passiones, scilicet iram, timorem et alia huiusmodi ad que homo est magis uel minus dispositus secundum corporalem complexionem, que subditur dispositioni stellarum. Qui tamen homo per intellectus et uoluntatem ymaginationis fantasmata et sensibilis appetitus passiones reprimere potest, ex stellarum dispositione nulla necessitas inducitur homini ad agendum sed quedam inclinatio sola quam sapientes moderando refrenan</w:t>
      </w:r>
      <w:r w:rsidR="00417592">
        <w:t>t</w:t>
      </w:r>
      <w:r>
        <w:t xml:space="preserve">; propter quod et Tholomeus dicit in Centilogio quod «sapiens homo dominatur astris», id est inclinationi que ex astrorum dispositione relinquitur. Stulti uero omnino secundum eam aguntur, quasi ratione non utentes: in quo parum discordant a bestiis, secundum illum Psalmi «Homo cum in honore esset non intellexit, comparatus est iumentis insipientibus et similis factus est illis». </w:t>
      </w:r>
      <w:r w:rsidRPr="00241CFB">
        <w:t>(Psalm 48, v. 21)</w:t>
      </w:r>
      <w:r>
        <w:t xml:space="preserve"> Et ‘quia stultorum, secundum Salomonem, infinitus est numerus’</w:t>
      </w:r>
      <w:r w:rsidR="00417592" w:rsidRPr="00417592">
        <w:t>(Ecclesiastes, 1 v. 15)</w:t>
      </w:r>
      <w:r>
        <w:t>, in paucis autem perfecte ratio dominatur, in pluribus hominum inclinationes celestium corporum sortiuntur effectum</w:t>
      </w:r>
      <w:r w:rsidR="00875CCB">
        <w:t>.</w:t>
      </w:r>
      <w:r>
        <w:t>”</w:t>
      </w:r>
      <w:r w:rsidR="006E070E">
        <w:t xml:space="preserve"> On the </w:t>
      </w:r>
      <w:r w:rsidR="006E070E" w:rsidRPr="006E070E">
        <w:rPr>
          <w:i/>
          <w:iCs/>
        </w:rPr>
        <w:t>Centiloquium</w:t>
      </w:r>
      <w:r w:rsidR="006E070E">
        <w:t xml:space="preserve"> see </w:t>
      </w:r>
      <w:r w:rsidR="006E070E" w:rsidRPr="006E070E">
        <w:t>J</w:t>
      </w:r>
      <w:r w:rsidR="006E070E">
        <w:t>ean</w:t>
      </w:r>
      <w:r w:rsidR="006E070E" w:rsidRPr="006E070E">
        <w:t>-P</w:t>
      </w:r>
      <w:r w:rsidR="006E070E">
        <w:t>atrice</w:t>
      </w:r>
      <w:r w:rsidR="006E070E" w:rsidRPr="006E070E">
        <w:t xml:space="preserve"> Boudet, ‘Astrology Between Rational Science and Divine Inspiration. The Pseudo-Ptolemy’s </w:t>
      </w:r>
      <w:r w:rsidR="006E070E" w:rsidRPr="006E070E">
        <w:rPr>
          <w:i/>
          <w:iCs/>
        </w:rPr>
        <w:t>Centiloquium’</w:t>
      </w:r>
      <w:r w:rsidR="006E070E" w:rsidRPr="006E070E">
        <w:t xml:space="preserve">, in </w:t>
      </w:r>
      <w:r w:rsidR="006E070E" w:rsidRPr="006E070E">
        <w:rPr>
          <w:i/>
          <w:iCs/>
        </w:rPr>
        <w:t>Dialogues among Books in Medieval Western Magic and Divination</w:t>
      </w:r>
      <w:r w:rsidR="006E070E" w:rsidRPr="006E070E">
        <w:t>, ed</w:t>
      </w:r>
      <w:r w:rsidR="006E070E">
        <w:t>. by</w:t>
      </w:r>
      <w:r w:rsidR="006E070E" w:rsidRPr="006E070E">
        <w:t xml:space="preserve"> S. Rapisarda</w:t>
      </w:r>
      <w:r w:rsidR="006E070E">
        <w:t xml:space="preserve"> and</w:t>
      </w:r>
      <w:r w:rsidR="006E070E" w:rsidRPr="006E070E">
        <w:t xml:space="preserve"> E. Niblaeus </w:t>
      </w:r>
      <w:r w:rsidR="006E070E">
        <w:t>(</w:t>
      </w:r>
      <w:r w:rsidR="006E070E" w:rsidRPr="006E070E">
        <w:t>F</w:t>
      </w:r>
      <w:r w:rsidR="006E070E">
        <w:t>lorence: Sismel-Edizioni del Galluzzo,</w:t>
      </w:r>
      <w:r w:rsidR="006E070E" w:rsidRPr="006E070E">
        <w:t xml:space="preserve"> 2014</w:t>
      </w:r>
      <w:r w:rsidR="006E070E">
        <w:t>)</w:t>
      </w:r>
      <w:r w:rsidR="006E070E" w:rsidRPr="006E070E">
        <w:t>, 47-73</w:t>
      </w:r>
      <w:r w:rsidR="009859F2">
        <w:t>;</w:t>
      </w:r>
      <w:r w:rsidR="009859F2" w:rsidRPr="009859F2">
        <w:t xml:space="preserve"> J</w:t>
      </w:r>
      <w:r w:rsidR="009859F2">
        <w:t>ean-</w:t>
      </w:r>
      <w:r w:rsidR="009859F2" w:rsidRPr="009859F2">
        <w:t>P</w:t>
      </w:r>
      <w:r w:rsidR="009859F2">
        <w:t>atrice</w:t>
      </w:r>
      <w:r w:rsidR="009859F2" w:rsidRPr="009859F2">
        <w:t xml:space="preserve"> Boudet, ‘The Medieval Latin Versions of Pseudo-Ptolemy’s </w:t>
      </w:r>
      <w:r w:rsidR="009859F2" w:rsidRPr="009859F2">
        <w:rPr>
          <w:i/>
          <w:iCs/>
        </w:rPr>
        <w:t>Centiloquium</w:t>
      </w:r>
      <w:r w:rsidR="009859F2" w:rsidRPr="009859F2">
        <w:t xml:space="preserve">: A Survey’, in </w:t>
      </w:r>
      <w:r w:rsidR="009859F2" w:rsidRPr="009859F2">
        <w:rPr>
          <w:i/>
          <w:iCs/>
        </w:rPr>
        <w:t>Ptolemy’s Science of the Stars in the Middle Ages</w:t>
      </w:r>
      <w:r w:rsidR="009859F2" w:rsidRPr="009859F2">
        <w:t>, ed</w:t>
      </w:r>
      <w:r w:rsidR="009859F2">
        <w:t>. by</w:t>
      </w:r>
      <w:r w:rsidR="009859F2" w:rsidRPr="009859F2">
        <w:t xml:space="preserve"> D. Juste, B. van Dalen, D. N. Hasse</w:t>
      </w:r>
      <w:r w:rsidR="009859F2">
        <w:t xml:space="preserve"> and</w:t>
      </w:r>
      <w:r w:rsidR="009859F2" w:rsidRPr="009859F2">
        <w:t xml:space="preserve"> C. Burnett </w:t>
      </w:r>
      <w:r w:rsidR="009859F2">
        <w:t>(</w:t>
      </w:r>
      <w:r w:rsidR="009859F2" w:rsidRPr="009859F2">
        <w:t>Turnhout</w:t>
      </w:r>
      <w:r w:rsidR="009859F2">
        <w:t>: Brepols,</w:t>
      </w:r>
      <w:r w:rsidR="009859F2" w:rsidRPr="009859F2">
        <w:t xml:space="preserve"> 2020</w:t>
      </w:r>
      <w:r w:rsidR="009859F2">
        <w:t>)</w:t>
      </w:r>
      <w:r w:rsidR="009859F2" w:rsidRPr="009859F2">
        <w:t>, 283-304: 284</w:t>
      </w:r>
      <w:r w:rsidR="009859F2">
        <w:t xml:space="preserve">; Michele Rinaldi, </w:t>
      </w:r>
      <w:r w:rsidR="009859F2" w:rsidRPr="009859F2">
        <w:rPr>
          <w:i/>
          <w:iCs/>
        </w:rPr>
        <w:t>El libro delle cento parole di Ptholommeo: volgarizzamento inedito del Centiloquium pseudo-tolemaico</w:t>
      </w:r>
      <w:r w:rsidR="009859F2">
        <w:t xml:space="preserve"> (</w:t>
      </w:r>
      <w:r w:rsidR="009859F2" w:rsidRPr="009859F2">
        <w:t>Rom</w:t>
      </w:r>
      <w:r w:rsidR="009859F2">
        <w:t>e</w:t>
      </w:r>
      <w:r w:rsidR="009859F2" w:rsidRPr="009859F2">
        <w:t>: Salerno editrice, 2021</w:t>
      </w:r>
      <w:r w:rsidR="009859F2">
        <w:t>).</w:t>
      </w:r>
    </w:p>
  </w:footnote>
  <w:footnote w:id="124">
    <w:p w14:paraId="2FE0E085" w14:textId="15AE1048" w:rsidR="008B64A3" w:rsidRDefault="008B64A3" w:rsidP="008B64A3">
      <w:pPr>
        <w:pStyle w:val="FootnoteText"/>
        <w:ind w:firstLine="0"/>
      </w:pPr>
      <w:r>
        <w:rPr>
          <w:rStyle w:val="FootnoteReference"/>
        </w:rPr>
        <w:footnoteRef/>
      </w:r>
      <w:r>
        <w:t xml:space="preserve"> Porro, ‘Divinazione e geomanzia in Tommaso d’Aquino</w:t>
      </w:r>
      <w:r w:rsidRPr="00330BC9">
        <w:t>’</w:t>
      </w:r>
      <w:r>
        <w:t>, 157.</w:t>
      </w:r>
    </w:p>
  </w:footnote>
  <w:footnote w:id="125">
    <w:p w14:paraId="61122621" w14:textId="6E6B89F6" w:rsidR="008B64A3" w:rsidRDefault="008B64A3" w:rsidP="008B64A3">
      <w:pPr>
        <w:pStyle w:val="FootnoteText"/>
        <w:ind w:firstLine="0"/>
      </w:pPr>
      <w:r>
        <w:rPr>
          <w:rStyle w:val="FootnoteReference"/>
        </w:rPr>
        <w:footnoteRef/>
      </w:r>
      <w:r>
        <w:t xml:space="preserve"> Albertus Magnus, </w:t>
      </w:r>
      <w:r w:rsidRPr="0096157C">
        <w:rPr>
          <w:i/>
          <w:iCs/>
        </w:rPr>
        <w:t>De mineralibus</w:t>
      </w:r>
      <w:r>
        <w:t>, II 3 3, ed. A. Borgnet</w:t>
      </w:r>
      <w:r w:rsidR="00656428">
        <w:t xml:space="preserve"> [</w:t>
      </w:r>
      <w:r>
        <w:t>Opera omnia, 5</w:t>
      </w:r>
      <w:r w:rsidR="00656428">
        <w:t>]</w:t>
      </w:r>
      <w:r w:rsidR="00656428" w:rsidRPr="00656428">
        <w:t xml:space="preserve"> </w:t>
      </w:r>
      <w:r w:rsidR="00656428">
        <w:t>(Paris:</w:t>
      </w:r>
      <w:r w:rsidR="00656428" w:rsidRPr="00656428">
        <w:t xml:space="preserve"> Vivès</w:t>
      </w:r>
      <w:r w:rsidR="00656428">
        <w:t xml:space="preserve">, 1890 </w:t>
      </w:r>
      <w:r>
        <w:t xml:space="preserve"> 52a</w:t>
      </w:r>
      <w:r w:rsidR="00656428">
        <w:t>)</w:t>
      </w:r>
      <w:r>
        <w:t xml:space="preserve">. The English translation is taken from Albertus Magnus, </w:t>
      </w:r>
      <w:r w:rsidRPr="009D4961">
        <w:rPr>
          <w:i/>
          <w:iCs/>
        </w:rPr>
        <w:t>Book of Minerals</w:t>
      </w:r>
      <w:r>
        <w:t>, trans. by Dorothy Wyckoff (Oxford: Claredon Press: 1967), 136.</w:t>
      </w:r>
    </w:p>
  </w:footnote>
  <w:footnote w:id="126">
    <w:p w14:paraId="1126713C" w14:textId="0B0C5049" w:rsidR="008B64A3" w:rsidRDefault="008B64A3" w:rsidP="008B64A3">
      <w:pPr>
        <w:pStyle w:val="FootnoteText"/>
        <w:ind w:firstLine="0"/>
      </w:pPr>
      <w:r>
        <w:rPr>
          <w:rStyle w:val="FootnoteReference"/>
        </w:rPr>
        <w:footnoteRef/>
      </w:r>
      <w:r>
        <w:t xml:space="preserve"> Albertus Magnus, </w:t>
      </w:r>
      <w:r w:rsidRPr="00544EF9">
        <w:rPr>
          <w:i/>
          <w:iCs/>
        </w:rPr>
        <w:t>Super Ethica commentum et quaestiones</w:t>
      </w:r>
      <w:r>
        <w:t>, ed. W. Kübel, Aschendorff, Münster i.W., 1987 (Alberti Magni Opera Omnia, 14,2), p. 579, 24-34: “Si autem loquamur de scientia ex parte ipsius scientiae, sic omnis scientia perfecta bona est. Sed sunt quaedam quae sunt magis similitudines quaedam scientiarum, in quibus est parum vel nihil rationis et deficit experimentum, non ex parte experientis, sed ex parte ipsius rei, quae est experimentalis, sicut scientia augurandi, quae non habet plus rationis nisi quod avis movetur ad motum caeli, et similiter geomantia, quod figura caeli movet manum ad faciendum tot puncta, ut repraesentetur figura caeli. Et ideo dicit Ptolemaeus, quod huiusmodi scientias abhorruit propter paucitatem fortitudinis demonstrationis</w:t>
      </w:r>
      <w:r w:rsidR="00FB0D62">
        <w:t>.</w:t>
      </w:r>
      <w:r>
        <w:t>”</w:t>
      </w:r>
    </w:p>
  </w:footnote>
  <w:footnote w:id="127">
    <w:p w14:paraId="0AD2CEE9" w14:textId="77777777" w:rsidR="008B64A3" w:rsidRDefault="008B64A3" w:rsidP="008B64A3">
      <w:pPr>
        <w:pStyle w:val="FootnoteText"/>
        <w:ind w:firstLine="0"/>
      </w:pPr>
      <w:r>
        <w:rPr>
          <w:rStyle w:val="FootnoteReference"/>
        </w:rPr>
        <w:footnoteRef/>
      </w:r>
      <w:r>
        <w:t xml:space="preserve"> Albertus Magnus, </w:t>
      </w:r>
      <w:r w:rsidRPr="00B64B44">
        <w:rPr>
          <w:i/>
          <w:iCs/>
        </w:rPr>
        <w:t>Super Porphyrium De V universalibus</w:t>
      </w:r>
      <w:r>
        <w:rPr>
          <w:i/>
          <w:iCs/>
        </w:rPr>
        <w:t>,</w:t>
      </w:r>
      <w:r>
        <w:t xml:space="preserve"> ed. M.S. Noya, Aschendorff, Münster i.W., 2004 (Alberti Magni Opera Omnia. Editio Coloniensis, 1.1a), 1, 7, 15,67-70: “</w:t>
      </w:r>
      <w:r w:rsidRPr="00B64B44">
        <w:t>Et in realibus scientiis aliter est in probabilibus, et aliter in necessariis et stantibus, et aliter est in coniecturalibus, quae sunt scientiae divinationum, sicut in physiognomis et secunda parte astronomiae et in geomantia, nigromantia et aliis huiusmodi scientiis</w:t>
      </w:r>
      <w:r>
        <w:t xml:space="preserve">.” English translation from Alexander Fidora, ‘Divination and Scientific Prediction: The Epistemology of Prognostic Sciences in Medieval Europe’, in </w:t>
      </w:r>
      <w:r w:rsidRPr="00B64B44">
        <w:rPr>
          <w:i/>
          <w:iCs/>
        </w:rPr>
        <w:t>Early Science and Medicine</w:t>
      </w:r>
      <w:r>
        <w:t>, v</w:t>
      </w:r>
      <w:r w:rsidRPr="00B64B44">
        <w:t>ol. 18, No. 6 (2013), 517-535</w:t>
      </w:r>
      <w:r>
        <w:t>: 525.</w:t>
      </w:r>
    </w:p>
  </w:footnote>
  <w:footnote w:id="128">
    <w:p w14:paraId="54587864" w14:textId="77777777" w:rsidR="008B64A3" w:rsidRDefault="008B64A3" w:rsidP="008B64A3">
      <w:pPr>
        <w:pStyle w:val="FootnoteText"/>
        <w:ind w:firstLine="0"/>
      </w:pPr>
      <w:r>
        <w:rPr>
          <w:rStyle w:val="FootnoteReference"/>
        </w:rPr>
        <w:footnoteRef/>
      </w:r>
      <w:r>
        <w:t xml:space="preserve"> Sigerus de Brabantia, </w:t>
      </w:r>
      <w:r w:rsidRPr="00182A15">
        <w:rPr>
          <w:i/>
          <w:iCs/>
        </w:rPr>
        <w:t>Quaestiones in Metaphysicam (reportatio</w:t>
      </w:r>
      <w:r>
        <w:rPr>
          <w:i/>
          <w:iCs/>
        </w:rPr>
        <w:t>n de</w:t>
      </w:r>
      <w:r w:rsidRPr="00182A15">
        <w:rPr>
          <w:i/>
          <w:iCs/>
        </w:rPr>
        <w:t xml:space="preserve"> Cambridge</w:t>
      </w:r>
      <w:r>
        <w:t>), ed. A. Maurer, Éditions de l’Institut supérieur de philosophie, Louvain-la-Neuve, 1983 (Philosophes Médiévaux, 25), V, 41, p. 282, 14-24: “Quod autem dicunt quidam mathematicorum, quod quaedam figura determinetur corporibus caelestibus, ita ut sint effectus eorum, et ideo dicunt figuras iuvare ad inductionem effectuum corporum caelestium, non valet. Verum enim est quod naturas sic determinatas animalium effectorum a corporibus caelestibus. Consequenter figurae determinatae &lt;sunt&gt;, non quia determinentur corporibus caelestibus per se, sed animalibus quae ex eis causata sunt. Et ideo credo geomanticam et alias consimiles scientias fundari super frivola. Ptolemaeus etiam dicit quod abhorruit illas scientias.”</w:t>
      </w:r>
    </w:p>
  </w:footnote>
  <w:footnote w:id="129">
    <w:p w14:paraId="610F738F" w14:textId="71E7BBDD" w:rsidR="008B64A3" w:rsidRDefault="008B64A3" w:rsidP="008B64A3">
      <w:pPr>
        <w:pStyle w:val="FootnoteText"/>
        <w:ind w:firstLine="0"/>
      </w:pPr>
      <w:r>
        <w:rPr>
          <w:rStyle w:val="FootnoteReference"/>
        </w:rPr>
        <w:footnoteRef/>
      </w:r>
      <w:r>
        <w:t xml:space="preserve"> Bonaventura, </w:t>
      </w:r>
      <w:r w:rsidRPr="006738A1">
        <w:rPr>
          <w:i/>
          <w:iCs/>
        </w:rPr>
        <w:t>Collationes in Hexäemeron</w:t>
      </w:r>
      <w:r>
        <w:t>, studio et cura PP. Collegii a S. Bonaventura</w:t>
      </w:r>
      <w:r w:rsidR="00295C60">
        <w:t xml:space="preserve"> (Doctoris Seraphici S. Bonaventurae Opera Omnia, 5)</w:t>
      </w:r>
      <w:r>
        <w:t xml:space="preserve"> </w:t>
      </w:r>
      <w:r w:rsidR="0026528A">
        <w:t>(</w:t>
      </w:r>
      <w:r>
        <w:t>Claras Aquas, 1891</w:t>
      </w:r>
      <w:r w:rsidR="0026528A">
        <w:t>)</w:t>
      </w:r>
      <w:r>
        <w:t xml:space="preserve"> IV, 15, 351: “… aut secundum quantitatem utramque et secundum discretiones numerales et substantiales, vel continuas et discretas, et sic astrologia, et illa est duplex: una de corporibus regulatis per motum, et sic astromonia; alia de influentia, et haec partim est secura et partim periculosa, et haec est astrologia. Periculosa est propter</w:t>
      </w:r>
      <w:r w:rsidRPr="00A7364C">
        <w:t xml:space="preserve"> </w:t>
      </w:r>
      <w:r>
        <w:t>iudicia, quae sequuntur; et ab hac fluit geomantia, vel nigromantia et ceterae species divinationis.”</w:t>
      </w:r>
    </w:p>
  </w:footnote>
  <w:footnote w:id="130">
    <w:p w14:paraId="2079E703" w14:textId="1E17A0C9" w:rsidR="000B2A5C" w:rsidRDefault="000B2A5C" w:rsidP="000B2A5C">
      <w:pPr>
        <w:pStyle w:val="FootnoteText"/>
        <w:ind w:firstLine="0"/>
      </w:pPr>
      <w:r>
        <w:rPr>
          <w:rStyle w:val="FootnoteReference"/>
        </w:rPr>
        <w:footnoteRef/>
      </w:r>
      <w:r>
        <w:t xml:space="preserve"> </w:t>
      </w:r>
      <w:r w:rsidR="002C605E">
        <w:t xml:space="preserve">For a more detailed account of </w:t>
      </w:r>
      <w:r w:rsidR="008E4BC2">
        <w:t xml:space="preserve">medieval </w:t>
      </w:r>
      <w:r w:rsidR="002C605E">
        <w:t xml:space="preserve">literary sources mentioning geomancy see </w:t>
      </w:r>
      <w:r>
        <w:t xml:space="preserve">Charmasson, </w:t>
      </w:r>
      <w:r w:rsidRPr="000B2A5C">
        <w:rPr>
          <w:i/>
          <w:iCs/>
        </w:rPr>
        <w:t>Recherches</w:t>
      </w:r>
      <w:r>
        <w:t xml:space="preserve"> </w:t>
      </w:r>
      <w:r>
        <w:rPr>
          <w:i/>
          <w:iCs/>
        </w:rPr>
        <w:t>sur une technique divinatoire</w:t>
      </w:r>
      <w:r>
        <w:t xml:space="preserve">, </w:t>
      </w:r>
      <w:r w:rsidR="00DD6175">
        <w:t>233-255.</w:t>
      </w:r>
      <w:r w:rsidR="008E4BC2">
        <w:t xml:space="preserve"> In the early modern period geomancy is mentioned in the work of the French writer </w:t>
      </w:r>
      <w:r w:rsidR="008E4BC2" w:rsidRPr="008E4BC2">
        <w:t>François Rabelais</w:t>
      </w:r>
      <w:r w:rsidR="008E4BC2">
        <w:t xml:space="preserve">. A comprehensive study on geomancy in early modern French and Spanish literature has been published by </w:t>
      </w:r>
      <w:r w:rsidR="008E4BC2" w:rsidRPr="008E4BC2">
        <w:t>Hanna</w:t>
      </w:r>
      <w:r w:rsidR="008E4BC2">
        <w:t>h S</w:t>
      </w:r>
      <w:r w:rsidR="008E4BC2" w:rsidRPr="008E4BC2">
        <w:t>chlimpen</w:t>
      </w:r>
      <w:r w:rsidR="008E4BC2">
        <w:t xml:space="preserve"> in her book </w:t>
      </w:r>
      <w:r w:rsidR="008E4BC2" w:rsidRPr="008E4BC2">
        <w:rPr>
          <w:i/>
          <w:iCs/>
        </w:rPr>
        <w:t>Artes manticae y geomancia en las literaturas francesa y española altomodernas</w:t>
      </w:r>
      <w:r w:rsidR="008E4BC2">
        <w:rPr>
          <w:i/>
          <w:iCs/>
        </w:rPr>
        <w:t xml:space="preserve"> </w:t>
      </w:r>
      <w:r w:rsidR="008E4BC2">
        <w:t>(</w:t>
      </w:r>
      <w:r w:rsidR="008E4BC2" w:rsidRPr="008E4BC2">
        <w:t>Berlin: Peter Lang 2020</w:t>
      </w:r>
      <w:r w:rsidR="008E4BC2">
        <w:t>)</w:t>
      </w:r>
      <w:r w:rsidR="008E4BC2" w:rsidRPr="008E4BC2">
        <w:t>.</w:t>
      </w:r>
    </w:p>
  </w:footnote>
  <w:footnote w:id="131">
    <w:p w14:paraId="28D12FFC" w14:textId="77777777" w:rsidR="008B64A3" w:rsidRDefault="008B64A3" w:rsidP="008B64A3">
      <w:pPr>
        <w:pStyle w:val="FootnoteText"/>
        <w:ind w:firstLine="0"/>
      </w:pPr>
      <w:r>
        <w:rPr>
          <w:rStyle w:val="FootnoteReference"/>
        </w:rPr>
        <w:footnoteRef/>
      </w:r>
      <w:r>
        <w:t xml:space="preserve"> </w:t>
      </w:r>
      <w:bookmarkStart w:id="39" w:name="_Hlk140154265"/>
      <w:r>
        <w:t xml:space="preserve">Dante Alighieri, </w:t>
      </w:r>
      <w:r w:rsidRPr="009F385A">
        <w:rPr>
          <w:i/>
          <w:iCs/>
        </w:rPr>
        <w:t>La Commedia secondo l’antica vulgata</w:t>
      </w:r>
      <w:r>
        <w:t xml:space="preserve">, ed. by G. Petrocchi, 3 (Milan: Mondadori, 1967), 1-9, 313-314: </w:t>
      </w:r>
      <w:bookmarkEnd w:id="39"/>
      <w:r>
        <w:t>“Ne l’ora che non può ’l calor dïurno/ intepidar più ’l freddo de la luna,/ vinto da terra, e talora da Saturno/ -  quando i geomanti lor Maggior Fortuna/ veggiono in orïente, innanzi a l’alba,/ surger per via che poco le sta bruna -,/ mi venne in sogno una femmina balba</w:t>
      </w:r>
      <w:bookmarkStart w:id="40" w:name="_Hlk140154303"/>
      <w:r>
        <w:t>,/ne li occhi guercia, e sovra i piè distorta,/con le man monche, e di color scialba.”</w:t>
      </w:r>
    </w:p>
    <w:bookmarkEnd w:id="40"/>
  </w:footnote>
  <w:footnote w:id="132">
    <w:p w14:paraId="7C2A93C3" w14:textId="446A5F93" w:rsidR="008B64A3" w:rsidRDefault="008B64A3" w:rsidP="008B64A3">
      <w:pPr>
        <w:pStyle w:val="FootnoteText"/>
        <w:ind w:firstLine="0"/>
      </w:pPr>
      <w:r>
        <w:rPr>
          <w:rStyle w:val="FootnoteReference"/>
        </w:rPr>
        <w:footnoteRef/>
      </w:r>
      <w:r>
        <w:t xml:space="preserve"> On the significance of this reference to the geomantic figure </w:t>
      </w:r>
      <w:r w:rsidRPr="00094701">
        <w:rPr>
          <w:i/>
          <w:iCs/>
        </w:rPr>
        <w:t>Fortuna maior</w:t>
      </w:r>
      <w:r>
        <w:t xml:space="preserve">, the commentators of Dante have written extensively from the fourteenth century onwards. See Charmasson, </w:t>
      </w:r>
      <w:r w:rsidRPr="003975D1">
        <w:rPr>
          <w:i/>
          <w:iCs/>
        </w:rPr>
        <w:t>Recherches</w:t>
      </w:r>
      <w:r w:rsidR="00B94CF3">
        <w:rPr>
          <w:i/>
          <w:iCs/>
        </w:rPr>
        <w:t xml:space="preserve"> sur une technique divinatoire</w:t>
      </w:r>
      <w:r>
        <w:t>, 236-242.</w:t>
      </w:r>
    </w:p>
  </w:footnote>
  <w:footnote w:id="133">
    <w:p w14:paraId="0873890B" w14:textId="77777777" w:rsidR="008B64A3" w:rsidRDefault="008B64A3" w:rsidP="008B64A3">
      <w:pPr>
        <w:pStyle w:val="FootnoteText"/>
        <w:ind w:firstLine="0"/>
      </w:pPr>
      <w:r>
        <w:rPr>
          <w:rStyle w:val="FootnoteReference"/>
        </w:rPr>
        <w:footnoteRef/>
      </w:r>
      <w:r>
        <w:t xml:space="preserve"> Walter W. Skeat, </w:t>
      </w:r>
      <w:r w:rsidRPr="00694034">
        <w:rPr>
          <w:i/>
          <w:iCs/>
        </w:rPr>
        <w:t>The Complete Works of Geoffrey Chaucer, Edited from Numerous Manuscripts</w:t>
      </w:r>
      <w:r>
        <w:t>, II (Oxford: Clarendon Press, 1894), 288.</w:t>
      </w:r>
    </w:p>
  </w:footnote>
  <w:footnote w:id="134">
    <w:p w14:paraId="535D1F5F" w14:textId="77777777" w:rsidR="008B64A3" w:rsidRDefault="008B64A3" w:rsidP="008B64A3">
      <w:pPr>
        <w:pStyle w:val="FootnoteText"/>
        <w:ind w:firstLine="0"/>
      </w:pPr>
      <w:r>
        <w:rPr>
          <w:rStyle w:val="FootnoteReference"/>
        </w:rPr>
        <w:footnoteRef/>
      </w:r>
      <w:r>
        <w:t xml:space="preserve"> Skeat, </w:t>
      </w:r>
      <w:r w:rsidRPr="00694034">
        <w:rPr>
          <w:i/>
          <w:iCs/>
        </w:rPr>
        <w:t>The Complete Works of Geoffrey Chaucer, Edited from Numerous Manuscripts</w:t>
      </w:r>
      <w:r>
        <w:t>, IV (Oxford: Clarendon Press, 1894), 59.</w:t>
      </w:r>
    </w:p>
  </w:footnote>
  <w:footnote w:id="135">
    <w:p w14:paraId="36895814" w14:textId="77777777" w:rsidR="008B64A3" w:rsidRDefault="008B64A3" w:rsidP="008B64A3">
      <w:pPr>
        <w:pStyle w:val="FootnoteText"/>
        <w:ind w:firstLine="0"/>
      </w:pPr>
      <w:r>
        <w:rPr>
          <w:rStyle w:val="FootnoteReference"/>
        </w:rPr>
        <w:footnoteRef/>
      </w:r>
      <w:r>
        <w:t xml:space="preserve"> Dante refers to him in the </w:t>
      </w:r>
      <w:r w:rsidRPr="00F8227A">
        <w:rPr>
          <w:i/>
          <w:iCs/>
        </w:rPr>
        <w:t>Canto XVI</w:t>
      </w:r>
      <w:r>
        <w:t xml:space="preserve"> of the </w:t>
      </w:r>
      <w:r w:rsidRPr="00F8227A">
        <w:rPr>
          <w:i/>
          <w:iCs/>
        </w:rPr>
        <w:t>Inferno</w:t>
      </w:r>
      <w:r>
        <w:t xml:space="preserve">. </w:t>
      </w:r>
    </w:p>
  </w:footnote>
  <w:footnote w:id="136">
    <w:p w14:paraId="4E04C591" w14:textId="43D0FFF1" w:rsidR="008B64A3" w:rsidRDefault="008B64A3" w:rsidP="008B64A3">
      <w:pPr>
        <w:pStyle w:val="FootnoteText"/>
        <w:ind w:firstLine="0"/>
      </w:pPr>
      <w:r>
        <w:rPr>
          <w:rStyle w:val="FootnoteReference"/>
        </w:rPr>
        <w:footnoteRef/>
      </w:r>
      <w:r>
        <w:t xml:space="preserve"> Charmasson, </w:t>
      </w:r>
      <w:r w:rsidRPr="00592772">
        <w:rPr>
          <w:i/>
          <w:iCs/>
        </w:rPr>
        <w:t>Recherches</w:t>
      </w:r>
      <w:r w:rsidR="00C053BD">
        <w:rPr>
          <w:i/>
          <w:iCs/>
        </w:rPr>
        <w:t xml:space="preserve"> sur une technique divinatoire</w:t>
      </w:r>
      <w:r>
        <w:t>, 235.</w:t>
      </w:r>
    </w:p>
  </w:footnote>
  <w:footnote w:id="137">
    <w:p w14:paraId="281C1E66" w14:textId="77777777" w:rsidR="008B64A3" w:rsidRDefault="008B64A3" w:rsidP="008B64A3">
      <w:pPr>
        <w:pStyle w:val="FootnoteText"/>
        <w:ind w:firstLine="0"/>
      </w:pPr>
      <w:r>
        <w:rPr>
          <w:rStyle w:val="FootnoteReference"/>
        </w:rPr>
        <w:footnoteRef/>
      </w:r>
      <w:r>
        <w:t xml:space="preserve"> Alessandro D’Ancona, </w:t>
      </w:r>
      <w:r w:rsidRPr="00D06E3E">
        <w:rPr>
          <w:i/>
          <w:iCs/>
        </w:rPr>
        <w:t>Il Tesoro di Brunetto Latini Versificato</w:t>
      </w:r>
      <w:r>
        <w:t xml:space="preserve"> (Rome: Accademia dei Licei, 1889), 29: “La reina era molto assennata / E sapea fare sorte per sua geometria. / Che Alesandro era nato seppe per sua spia. Era nana, et per sua sorte sapea / Che d’Olimpiade uno Alesandro nascer dovea / Che lle dovea dimenar gran guerra, / E all’ultimo per forza tôrli la terra. / Pensossi di fare la geometria fallire / E puosesi in cuore di farlo morire.” </w:t>
      </w:r>
    </w:p>
  </w:footnote>
  <w:footnote w:id="138">
    <w:p w14:paraId="59C6F6E9" w14:textId="55959B35" w:rsidR="008B64A3" w:rsidRDefault="008B64A3" w:rsidP="008B64A3">
      <w:pPr>
        <w:pStyle w:val="FootnoteText"/>
        <w:ind w:firstLine="0"/>
      </w:pPr>
      <w:r>
        <w:rPr>
          <w:rStyle w:val="FootnoteReference"/>
        </w:rPr>
        <w:footnoteRef/>
      </w:r>
      <w:r>
        <w:t xml:space="preserve"> Geomancy and geometry are also confused and discussed together in the documents used </w:t>
      </w:r>
      <w:r w:rsidR="006E5C71">
        <w:t>by</w:t>
      </w:r>
      <w:r>
        <w:t xml:space="preserve"> the Roman Inquisition </w:t>
      </w:r>
      <w:r w:rsidR="006E5C71">
        <w:t xml:space="preserve">in the </w:t>
      </w:r>
      <w:r>
        <w:t xml:space="preserve">trial against the Muslim slave </w:t>
      </w:r>
      <w:r w:rsidRPr="00133BC4">
        <w:t>Sellem Bin Al-Sheikh Mansur</w:t>
      </w:r>
      <w:r>
        <w:t xml:space="preserve"> in 1605, see Charles Burnett, ‘Measurement and Magic: The Texts on Measurement in the Inquisition Documents against Sellem the Moor’, in </w:t>
      </w:r>
      <w:r w:rsidRPr="005A08A1">
        <w:rPr>
          <w:i/>
          <w:iCs/>
        </w:rPr>
        <w:t>Magic in Malta: Sellem Bin Al-Sheikh Mansur and the Roman Inquisition 1605</w:t>
      </w:r>
      <w:r>
        <w:t xml:space="preserve">, ed. by </w:t>
      </w:r>
      <w:r w:rsidRPr="005A08A1">
        <w:t>D</w:t>
      </w:r>
      <w:r>
        <w:t>.</w:t>
      </w:r>
      <w:r w:rsidRPr="005A08A1">
        <w:t xml:space="preserve"> A. Agius, A</w:t>
      </w:r>
      <w:r>
        <w:t xml:space="preserve">. </w:t>
      </w:r>
      <w:r w:rsidRPr="005A08A1">
        <w:t>Mallett and C</w:t>
      </w:r>
      <w:r>
        <w:t>.</w:t>
      </w:r>
      <w:r w:rsidRPr="005A08A1">
        <w:t xml:space="preserve"> Rider</w:t>
      </w:r>
      <w:r>
        <w:t xml:space="preserve"> (Leiden: Brill, 2022), 489-502.</w:t>
      </w:r>
    </w:p>
  </w:footnote>
  <w:footnote w:id="139">
    <w:p w14:paraId="25A074EB" w14:textId="77777777" w:rsidR="006370FD" w:rsidRDefault="006370FD" w:rsidP="006370FD">
      <w:pPr>
        <w:pStyle w:val="FootnoteText"/>
        <w:ind w:firstLine="0"/>
      </w:pPr>
      <w:r>
        <w:rPr>
          <w:rStyle w:val="FootnoteReference"/>
        </w:rPr>
        <w:footnoteRef/>
      </w:r>
      <w:r>
        <w:t xml:space="preserve"> The first known mention of geomancy in anti-divinatory literature appears in an enquiry on the magical arts from the beginning of the thirteenth century, in which is mentioned a form of prediction that utilises figures formed of </w:t>
      </w:r>
      <w:r w:rsidRPr="00861115">
        <w:rPr>
          <w:i/>
          <w:iCs/>
        </w:rPr>
        <w:t>puncta</w:t>
      </w:r>
      <w:r>
        <w:t xml:space="preserve">. The text is edited by C. Douais in </w:t>
      </w:r>
      <w:r w:rsidRPr="00861115">
        <w:rPr>
          <w:i/>
          <w:iCs/>
        </w:rPr>
        <w:t>Les hérétiques du Midi au XIIIe siècle. Cinq pièces inédites</w:t>
      </w:r>
      <w:r>
        <w:t xml:space="preserve"> (Toulouse: Eduard Privat, 1891), 14.</w:t>
      </w:r>
    </w:p>
  </w:footnote>
  <w:footnote w:id="140">
    <w:p w14:paraId="40FB29E7" w14:textId="77777777" w:rsidR="008B64A3" w:rsidRDefault="008B64A3" w:rsidP="008B64A3">
      <w:pPr>
        <w:pStyle w:val="FootnoteText"/>
        <w:ind w:firstLine="0"/>
      </w:pPr>
      <w:r>
        <w:rPr>
          <w:rStyle w:val="FootnoteReference"/>
        </w:rPr>
        <w:footnoteRef/>
      </w:r>
      <w:r>
        <w:t xml:space="preserve"> </w:t>
      </w:r>
      <w:r w:rsidRPr="009E6831">
        <w:rPr>
          <w:i/>
          <w:iCs/>
        </w:rPr>
        <w:t>La condamnation parisienne de 1277</w:t>
      </w:r>
      <w:r>
        <w:rPr>
          <w:i/>
          <w:iCs/>
        </w:rPr>
        <w:t>,</w:t>
      </w:r>
      <w:r w:rsidRPr="009E6831">
        <w:rPr>
          <w:i/>
          <w:iCs/>
        </w:rPr>
        <w:t xml:space="preserve"> </w:t>
      </w:r>
      <w:r>
        <w:t>ed. and trans. by D. Piché  (Paris: Vrin, 1999), 76-78 “Librum etiam «de amore», siue «de deo amoris», qui sic incipit:«Cogit me multum, etc.», et sic terminatur: «Caue igitur, Galtere, amoris exercere mandata, etc.»; item librum geomantie qui sic incipit:«Estimauerunt indi, etc.», et sic terminatur: «Ratiocinare ergo supereum, et inuenies, etc.»; item libros, rotulos seu quaternos nigromanticos aut continentes experimenta sortilegiorum, inuocationes demonum, siue coniurationes in periculum animarum, seu in quibus de talibus et similibus fidei orthodoxe et bonis moribus euidenter aduersantibus tractatur, per eandem nostram sententiam condempnamus in omnes qui dictos rotulos, libros, quaternos dogmatizauerint, aut audierint, nisi infra septem dies nobis uel cancellario parisiensi predicto reuelauerint eo modo quo superius est expressum, in hiis scriptis excommunicationis sententiam proferentes, ad alias penas, prout culpe qualitas exegerit, nichilominus processuri.”</w:t>
      </w:r>
    </w:p>
  </w:footnote>
  <w:footnote w:id="141">
    <w:p w14:paraId="7E8353E9" w14:textId="08E43AA7" w:rsidR="008B64A3" w:rsidRDefault="008B64A3" w:rsidP="008B64A3">
      <w:pPr>
        <w:pStyle w:val="FootnoteText"/>
        <w:ind w:firstLine="0"/>
      </w:pPr>
      <w:r>
        <w:rPr>
          <w:rStyle w:val="FootnoteReference"/>
        </w:rPr>
        <w:footnoteRef/>
      </w:r>
      <w:r>
        <w:t xml:space="preserve"> Palazzo, ‘L’</w:t>
      </w:r>
      <w:r w:rsidRPr="00636EA1">
        <w:rPr>
          <w:i/>
          <w:iCs/>
        </w:rPr>
        <w:t xml:space="preserve">Estimaverunt Indi </w:t>
      </w:r>
      <w:r>
        <w:t>e la condanna del 1277’, 170.</w:t>
      </w:r>
    </w:p>
  </w:footnote>
  <w:footnote w:id="142">
    <w:p w14:paraId="0F371F6A" w14:textId="4EACC803" w:rsidR="008B64A3" w:rsidRDefault="008B64A3" w:rsidP="008B64A3">
      <w:pPr>
        <w:pStyle w:val="FootnoteText"/>
        <w:ind w:firstLine="0"/>
      </w:pPr>
      <w:r>
        <w:rPr>
          <w:rStyle w:val="FootnoteReference"/>
        </w:rPr>
        <w:footnoteRef/>
      </w:r>
      <w:r>
        <w:t xml:space="preserve"> See  Palazzo, ‘L’</w:t>
      </w:r>
      <w:r w:rsidRPr="00636EA1">
        <w:rPr>
          <w:i/>
          <w:iCs/>
        </w:rPr>
        <w:t xml:space="preserve">Estimaverunt Indi </w:t>
      </w:r>
      <w:r>
        <w:t>e la condanna del 1277’, 172-174.</w:t>
      </w:r>
    </w:p>
  </w:footnote>
  <w:footnote w:id="143">
    <w:p w14:paraId="50BCCC18" w14:textId="7A6F9453" w:rsidR="008B64A3" w:rsidRDefault="008B64A3" w:rsidP="008B64A3">
      <w:pPr>
        <w:pStyle w:val="FootnoteText"/>
        <w:ind w:firstLine="0"/>
      </w:pPr>
      <w:r>
        <w:rPr>
          <w:rStyle w:val="FootnoteReference"/>
        </w:rPr>
        <w:footnoteRef/>
      </w:r>
      <w:r>
        <w:t xml:space="preserve"> </w:t>
      </w:r>
      <w:r w:rsidRPr="009E6831">
        <w:rPr>
          <w:i/>
          <w:iCs/>
        </w:rPr>
        <w:t>La condamnation parisienne de 1277</w:t>
      </w:r>
      <w:r w:rsidRPr="00A7096C">
        <w:t>,</w:t>
      </w:r>
      <w:r>
        <w:t xml:space="preserve"> 130: “Quod quibusdam signis sciuntur hominum intentiones et mutationes intentionum, et an ille intentiones perficiende sint; et quod per tales figuras sciuntur euentum peregrinorum, captiuatio hominum, solutio captiuorum, et an futuri sint scientes an latrones.”</w:t>
      </w:r>
    </w:p>
  </w:footnote>
  <w:footnote w:id="144">
    <w:p w14:paraId="75EEA376" w14:textId="7F5DC406" w:rsidR="008B64A3" w:rsidRDefault="008B64A3" w:rsidP="008B64A3">
      <w:pPr>
        <w:pStyle w:val="FootnoteText"/>
        <w:ind w:firstLine="0"/>
      </w:pPr>
      <w:r>
        <w:rPr>
          <w:rStyle w:val="FootnoteReference"/>
        </w:rPr>
        <w:footnoteRef/>
      </w:r>
      <w:r>
        <w:t xml:space="preserve"> Pierre Madonnet, </w:t>
      </w:r>
      <w:r w:rsidRPr="000B22AB">
        <w:rPr>
          <w:i/>
          <w:iCs/>
        </w:rPr>
        <w:t>Siger de Brabant et l'averroïsme latin au XIIIme siècle</w:t>
      </w:r>
      <w:r>
        <w:t>, I (</w:t>
      </w:r>
      <w:r w:rsidRPr="000B22AB">
        <w:t>Louvain: Institut supérieur de philosophie de l</w:t>
      </w:r>
      <w:r w:rsidR="00FA69C4">
        <w:t>’</w:t>
      </w:r>
      <w:r w:rsidRPr="000B22AB">
        <w:t>Université, 1908-1911</w:t>
      </w:r>
      <w:r>
        <w:t>), 244, n. 3.</w:t>
      </w:r>
    </w:p>
  </w:footnote>
  <w:footnote w:id="145">
    <w:p w14:paraId="5F01D18A" w14:textId="5CF52A3F" w:rsidR="008B64A3" w:rsidRDefault="008B64A3" w:rsidP="008B64A3">
      <w:pPr>
        <w:pStyle w:val="FootnoteText"/>
        <w:ind w:firstLine="0"/>
      </w:pPr>
      <w:r>
        <w:rPr>
          <w:rStyle w:val="FootnoteReference"/>
        </w:rPr>
        <w:footnoteRef/>
      </w:r>
      <w:r>
        <w:t xml:space="preserve"> Lynn Thorndike, </w:t>
      </w:r>
      <w:r w:rsidRPr="003D2B7C">
        <w:rPr>
          <w:i/>
          <w:iCs/>
        </w:rPr>
        <w:t>A History of Magic and Experimental Science</w:t>
      </w:r>
      <w:r>
        <w:t>, II, 711.</w:t>
      </w:r>
    </w:p>
  </w:footnote>
  <w:footnote w:id="146">
    <w:p w14:paraId="63D075B8" w14:textId="77777777" w:rsidR="008B64A3" w:rsidRDefault="008B64A3" w:rsidP="008B64A3">
      <w:pPr>
        <w:pStyle w:val="FootnoteText"/>
        <w:ind w:firstLine="0"/>
      </w:pPr>
      <w:r>
        <w:rPr>
          <w:rStyle w:val="FootnoteReference"/>
        </w:rPr>
        <w:footnoteRef/>
      </w:r>
      <w:r>
        <w:t xml:space="preserve"> Roland Hissette, </w:t>
      </w:r>
      <w:r w:rsidRPr="00462475">
        <w:rPr>
          <w:i/>
          <w:iCs/>
        </w:rPr>
        <w:t>Enquête sur les 219 articles condamnés à Paris le 7 mars 1277</w:t>
      </w:r>
      <w:r>
        <w:t xml:space="preserve"> (</w:t>
      </w:r>
      <w:r w:rsidRPr="000B22AB">
        <w:t>Louvain: Publications universitaires, 1977</w:t>
      </w:r>
      <w:r>
        <w:t xml:space="preserve">), 273; Alain de Libera, </w:t>
      </w:r>
      <w:r w:rsidRPr="003D2B7C">
        <w:rPr>
          <w:i/>
          <w:iCs/>
        </w:rPr>
        <w:t>Penser au Moyen Âge</w:t>
      </w:r>
      <w:r>
        <w:t xml:space="preserve"> (Paris: Editions du Seuil, 1991), 195-196.</w:t>
      </w:r>
    </w:p>
  </w:footnote>
  <w:footnote w:id="147">
    <w:p w14:paraId="4F4104D6" w14:textId="77777777" w:rsidR="008B64A3" w:rsidRDefault="008B64A3" w:rsidP="008B64A3">
      <w:pPr>
        <w:pStyle w:val="FootnoteText"/>
        <w:ind w:firstLine="0"/>
      </w:pPr>
      <w:r>
        <w:rPr>
          <w:rStyle w:val="FootnoteReference"/>
        </w:rPr>
        <w:footnoteRef/>
      </w:r>
      <w:r>
        <w:t xml:space="preserve"> Luca Bianchi, </w:t>
      </w:r>
      <w:r w:rsidRPr="00DB1019">
        <w:rPr>
          <w:i/>
          <w:iCs/>
        </w:rPr>
        <w:t>Il vescovo e i filosofi. La condanna parigina del 1277 e l’evoluzione dell’aristotelismo scolastico</w:t>
      </w:r>
      <w:r>
        <w:t xml:space="preserve"> (Bergamo: Pierluigi Lubrina Editore, 1990), 179-180, n.17. </w:t>
      </w:r>
    </w:p>
  </w:footnote>
  <w:footnote w:id="148">
    <w:p w14:paraId="0C635C4A" w14:textId="04A51706" w:rsidR="008B64A3" w:rsidRDefault="008B64A3" w:rsidP="008B64A3">
      <w:pPr>
        <w:pStyle w:val="FootnoteText"/>
        <w:ind w:firstLine="0"/>
      </w:pPr>
      <w:r>
        <w:rPr>
          <w:rStyle w:val="FootnoteReference"/>
        </w:rPr>
        <w:footnoteRef/>
      </w:r>
      <w:r>
        <w:t xml:space="preserve"> According to Boudet it is also possible that the article could be referring to astrological interrogations. See Jean-Patrice Boudet, </w:t>
      </w:r>
      <w:r w:rsidRPr="00136772">
        <w:rPr>
          <w:i/>
          <w:iCs/>
        </w:rPr>
        <w:t>Entre science et nigromance: astrologie, divination et magie dans l</w:t>
      </w:r>
      <w:r w:rsidR="005E2EEC">
        <w:rPr>
          <w:i/>
          <w:iCs/>
        </w:rPr>
        <w:t>’</w:t>
      </w:r>
      <w:r w:rsidRPr="00136772">
        <w:rPr>
          <w:i/>
          <w:iCs/>
        </w:rPr>
        <w:t xml:space="preserve">Occident médiéval, XIIe-XVe siècle </w:t>
      </w:r>
      <w:r>
        <w:t>(</w:t>
      </w:r>
      <w:r w:rsidRPr="00136772">
        <w:t>Paris : Publications de la Sorbonne, 2006</w:t>
      </w:r>
      <w:r>
        <w:t>), 255-256.</w:t>
      </w:r>
    </w:p>
  </w:footnote>
  <w:footnote w:id="149">
    <w:p w14:paraId="5AD82E7D" w14:textId="6A875613" w:rsidR="008B64A3" w:rsidRDefault="008B64A3" w:rsidP="008B64A3">
      <w:pPr>
        <w:pStyle w:val="FootnoteText"/>
        <w:ind w:firstLine="0"/>
      </w:pPr>
      <w:r>
        <w:rPr>
          <w:rStyle w:val="FootnoteReference"/>
        </w:rPr>
        <w:footnoteRef/>
      </w:r>
      <w:r>
        <w:t xml:space="preserve">  Palazzo, ‘L’</w:t>
      </w:r>
      <w:r w:rsidRPr="00636EA1">
        <w:rPr>
          <w:i/>
          <w:iCs/>
        </w:rPr>
        <w:t xml:space="preserve">Estimaverunt Indi </w:t>
      </w:r>
      <w:r>
        <w:t>e la condanna del 1277</w:t>
      </w:r>
      <w:r w:rsidR="0032303F">
        <w:t>,</w:t>
      </w:r>
      <w:r>
        <w:t>’ 175-176.</w:t>
      </w:r>
    </w:p>
  </w:footnote>
  <w:footnote w:id="150">
    <w:p w14:paraId="327C66AD" w14:textId="642D801C" w:rsidR="008B64A3" w:rsidRDefault="008B64A3" w:rsidP="008B64A3">
      <w:pPr>
        <w:pStyle w:val="FootnoteText"/>
        <w:ind w:firstLine="0"/>
      </w:pPr>
      <w:r>
        <w:rPr>
          <w:rStyle w:val="FootnoteReference"/>
        </w:rPr>
        <w:footnoteRef/>
      </w:r>
      <w:r>
        <w:t xml:space="preserve"> </w:t>
      </w:r>
      <w:r w:rsidRPr="00562B9D">
        <w:t xml:space="preserve">Garin, </w:t>
      </w:r>
      <w:r w:rsidRPr="00562B9D">
        <w:rPr>
          <w:i/>
          <w:iCs/>
        </w:rPr>
        <w:t>Lo zodiaco della vita</w:t>
      </w:r>
      <w:r w:rsidRPr="00562B9D">
        <w:t>, 39-40.</w:t>
      </w:r>
      <w:r>
        <w:t xml:space="preserve"> The closeness of geomancy and astrological interrogations will be further explored in the </w:t>
      </w:r>
      <w:r w:rsidR="00595DB9">
        <w:t>fourth</w:t>
      </w:r>
      <w:r>
        <w:t xml:space="preserve"> chapter of this thesis.</w:t>
      </w:r>
    </w:p>
  </w:footnote>
  <w:footnote w:id="151">
    <w:p w14:paraId="697BB896" w14:textId="21EA404A" w:rsidR="008B64A3" w:rsidRDefault="008B64A3" w:rsidP="008B64A3">
      <w:pPr>
        <w:pStyle w:val="FootnoteText"/>
        <w:ind w:firstLine="0"/>
      </w:pPr>
      <w:r>
        <w:rPr>
          <w:rStyle w:val="FootnoteReference"/>
        </w:rPr>
        <w:footnoteRef/>
      </w:r>
      <w:r>
        <w:t xml:space="preserve"> Palazzo, ‘L’</w:t>
      </w:r>
      <w:r w:rsidRPr="00636EA1">
        <w:rPr>
          <w:i/>
          <w:iCs/>
        </w:rPr>
        <w:t xml:space="preserve">Estimaverunt Indi </w:t>
      </w:r>
      <w:r>
        <w:t>e la condanna del 1277’, 181.</w:t>
      </w:r>
    </w:p>
  </w:footnote>
  <w:footnote w:id="152">
    <w:p w14:paraId="4A65461B" w14:textId="693142FE" w:rsidR="008B64A3" w:rsidRDefault="008B64A3" w:rsidP="008B64A3">
      <w:pPr>
        <w:pStyle w:val="FootnoteText"/>
        <w:ind w:firstLine="0"/>
      </w:pPr>
      <w:r>
        <w:rPr>
          <w:rStyle w:val="FootnoteReference"/>
        </w:rPr>
        <w:footnoteRef/>
      </w:r>
      <w:r>
        <w:t xml:space="preserve"> See ‘John XXII and the Occult Arts’, in Thorndike, </w:t>
      </w:r>
      <w:r w:rsidRPr="00CC225A">
        <w:rPr>
          <w:i/>
          <w:iCs/>
        </w:rPr>
        <w:t>A History of Magic and Experimental Science</w:t>
      </w:r>
      <w:r>
        <w:t>, III, 18-38; also Alain Boureau</w:t>
      </w:r>
      <w:r w:rsidRPr="00AD696B">
        <w:rPr>
          <w:i/>
          <w:iCs/>
        </w:rPr>
        <w:t>, Le pape et les sorciers. Une consultation de Jean XXII sur la magie en 1320 (Manuscrit B.A.V. Borghese 348)</w:t>
      </w:r>
      <w:r>
        <w:t xml:space="preserve"> (Rome: École Française de Rome, 2004).</w:t>
      </w:r>
    </w:p>
  </w:footnote>
  <w:footnote w:id="153">
    <w:p w14:paraId="2A3F5E10" w14:textId="4F9070ED" w:rsidR="008B64A3" w:rsidRDefault="008B64A3" w:rsidP="008B64A3">
      <w:pPr>
        <w:pStyle w:val="FootnoteText"/>
        <w:ind w:firstLine="0"/>
      </w:pPr>
      <w:r>
        <w:rPr>
          <w:rStyle w:val="FootnoteReference"/>
        </w:rPr>
        <w:footnoteRef/>
      </w:r>
      <w:r>
        <w:t xml:space="preserve"> Thorndike, </w:t>
      </w:r>
      <w:r w:rsidRPr="00CC225A">
        <w:rPr>
          <w:i/>
          <w:iCs/>
        </w:rPr>
        <w:t>A History of Magic and Experimental Science</w:t>
      </w:r>
      <w:r>
        <w:t xml:space="preserve">, III, 23; Charmasson, </w:t>
      </w:r>
      <w:r w:rsidRPr="004951F0">
        <w:rPr>
          <w:i/>
          <w:iCs/>
        </w:rPr>
        <w:t>Recherches</w:t>
      </w:r>
      <w:r>
        <w:t xml:space="preserve"> </w:t>
      </w:r>
      <w:r w:rsidR="00B80168">
        <w:rPr>
          <w:i/>
          <w:iCs/>
        </w:rPr>
        <w:t>sur une technique divinatoire</w:t>
      </w:r>
      <w:r>
        <w:t>, 258-259.</w:t>
      </w:r>
    </w:p>
  </w:footnote>
  <w:footnote w:id="154">
    <w:p w14:paraId="5C086700" w14:textId="40EB2261" w:rsidR="008B64A3" w:rsidRDefault="008B64A3" w:rsidP="008B64A3">
      <w:pPr>
        <w:pStyle w:val="FootnoteText"/>
        <w:ind w:firstLine="0"/>
      </w:pPr>
      <w:r>
        <w:rPr>
          <w:rStyle w:val="FootnoteReference"/>
        </w:rPr>
        <w:footnoteRef/>
      </w:r>
      <w:r>
        <w:t xml:space="preserve"> Joseph Hansen, </w:t>
      </w:r>
      <w:r w:rsidRPr="0040336C">
        <w:rPr>
          <w:i/>
          <w:iCs/>
        </w:rPr>
        <w:t>Quellen und Untersuchungen zur Geschichte des Hexenwahns und der Hexenverfolgung im Mittelalter</w:t>
      </w:r>
      <w:r>
        <w:t xml:space="preserve"> (Bonn: Carl Georgi, Universitäts-Buchdruckerei und Verlag, 1901), 2-3: “</w:t>
      </w:r>
      <w:r w:rsidRPr="0040336C">
        <w:t xml:space="preserve">Ad nostrum siquidem assertio fide digna et sonorum quoddam vulgaris fame preloquium noviter perduxit auditum, quod Iohannes de Lemovicis, Iacobus dictum Brabantinus, Iohannes de Amanto medicus […] archiepiscopi Lugdunensis diocesum et nonnulli alii in nostra curia residentes, nolentes iuxta  doctrinam apostoli sobrie sapere, set nimie vanitatis ebrietate desipere reprobis ausibus appetentes, se nigromancie, geomancie et aliarum magicarum artium moliminibus implicarunt et implicant, scripta et libros habentes huiusmodi artium, que quidem, cum sint artes demonum ex quadam pestifera societate hominum et angelorum malorum exorte, vitande forent cuilibet christiano et omni penitus execratione dampnande … </w:t>
      </w:r>
      <w:r w:rsidR="003B4E1B">
        <w:t>f</w:t>
      </w:r>
      <w:r w:rsidRPr="0040336C">
        <w:t>requente ac in circulis se ponentes malignos sepius spiritus invocarunt, ut per eos contra salutem hominum molirentur aut eos interimendo violentia carminis aut eorum abreviando vitam violentia immissa langoris, demones in speculis, circulis seu anulis interdum incluserunt, ut eos nedum de preteritis set et de futuris, inquirent, futura ipsa, que prescire solius Dei est, ex illorum consultationibus predicturi, divinationibus et sortilegiis se immiscuerunt, perperam dianis nonnunquam utentes.</w:t>
      </w:r>
      <w:r>
        <w:t>”</w:t>
      </w:r>
    </w:p>
  </w:footnote>
  <w:footnote w:id="155">
    <w:p w14:paraId="49644703" w14:textId="3A62373E" w:rsidR="008B64A3" w:rsidRDefault="008B64A3" w:rsidP="008B64A3">
      <w:pPr>
        <w:pStyle w:val="FootnoteText"/>
        <w:ind w:firstLine="0"/>
      </w:pPr>
      <w:r>
        <w:rPr>
          <w:rStyle w:val="FootnoteReference"/>
        </w:rPr>
        <w:footnoteRef/>
      </w:r>
      <w:r>
        <w:t xml:space="preserve"> </w:t>
      </w:r>
      <w:r w:rsidR="007E7F82">
        <w:t xml:space="preserve">This position is expressed for instance by Jeanne de Eschenden in his </w:t>
      </w:r>
      <w:r w:rsidR="007E7F82" w:rsidRPr="007E7F82">
        <w:rPr>
          <w:i/>
          <w:iCs/>
        </w:rPr>
        <w:t>Summa judicialis de accidentibus mundi</w:t>
      </w:r>
      <w:r w:rsidR="007E7F82">
        <w:t xml:space="preserve"> (1347-1348), and in the fifteenth century the inquisitor Nicolas Eymeric and </w:t>
      </w:r>
      <w:r w:rsidR="00ED5F38">
        <w:t xml:space="preserve">the scholar </w:t>
      </w:r>
      <w:r w:rsidR="007E7F82">
        <w:t xml:space="preserve">Jean Gerson hold similar positions. See </w:t>
      </w:r>
      <w:r>
        <w:t xml:space="preserve">Charmasson, </w:t>
      </w:r>
      <w:r w:rsidRPr="00254F4C">
        <w:rPr>
          <w:i/>
          <w:iCs/>
        </w:rPr>
        <w:t>Recherches</w:t>
      </w:r>
      <w:r>
        <w:t xml:space="preserve"> </w:t>
      </w:r>
      <w:r w:rsidR="00334A0C">
        <w:rPr>
          <w:i/>
          <w:iCs/>
        </w:rPr>
        <w:t>sur une technique divinatoire</w:t>
      </w:r>
      <w:r>
        <w:t>, 259</w:t>
      </w:r>
      <w:r w:rsidR="007E7F82">
        <w:t>-261</w:t>
      </w:r>
      <w:r>
        <w:t xml:space="preserve">. </w:t>
      </w:r>
    </w:p>
  </w:footnote>
  <w:footnote w:id="156">
    <w:p w14:paraId="27051A07" w14:textId="3CC4F569" w:rsidR="008B64A3" w:rsidRDefault="008B64A3" w:rsidP="008B64A3">
      <w:pPr>
        <w:pStyle w:val="FootnoteText"/>
        <w:ind w:firstLine="0"/>
      </w:pPr>
      <w:r>
        <w:rPr>
          <w:rStyle w:val="FootnoteReference"/>
        </w:rPr>
        <w:footnoteRef/>
      </w:r>
      <w:r>
        <w:t xml:space="preserve"> For a more detailed description of the classification offered by Thaddeus of Parma see Thorndike, </w:t>
      </w:r>
      <w:r w:rsidRPr="00CC225A">
        <w:rPr>
          <w:i/>
          <w:iCs/>
        </w:rPr>
        <w:t>A History of Magic and Experimental Science</w:t>
      </w:r>
      <w:r>
        <w:t>, III, 12-17.</w:t>
      </w:r>
    </w:p>
  </w:footnote>
  <w:footnote w:id="157">
    <w:p w14:paraId="09C45384" w14:textId="77777777" w:rsidR="008B64A3" w:rsidRDefault="008B64A3" w:rsidP="008B64A3">
      <w:pPr>
        <w:pStyle w:val="FootnoteText"/>
        <w:ind w:firstLine="0"/>
      </w:pPr>
      <w:r>
        <w:rPr>
          <w:rStyle w:val="FootnoteReference"/>
        </w:rPr>
        <w:footnoteRef/>
      </w:r>
      <w:r>
        <w:t xml:space="preserve"> See the introduction by Stefano Rapisarda in Nicole Oresme, </w:t>
      </w:r>
      <w:r w:rsidRPr="003047E9">
        <w:rPr>
          <w:i/>
          <w:iCs/>
        </w:rPr>
        <w:t>Contro la Divinazione. Consigli astrologici al re di Francia (1356),</w:t>
      </w:r>
      <w:r>
        <w:t xml:space="preserve"> ed. by S. Rapisarda (Roma: Carocci Editore, 2009), 51.</w:t>
      </w:r>
    </w:p>
  </w:footnote>
  <w:footnote w:id="158">
    <w:p w14:paraId="4BC4A1AE" w14:textId="31544F1A" w:rsidR="008B64A3" w:rsidRDefault="008B64A3" w:rsidP="008B64A3">
      <w:pPr>
        <w:pStyle w:val="FootnoteText"/>
        <w:ind w:firstLine="0"/>
      </w:pPr>
      <w:r>
        <w:rPr>
          <w:rStyle w:val="FootnoteReference"/>
        </w:rPr>
        <w:footnoteRef/>
      </w:r>
      <w:r>
        <w:t xml:space="preserve"> On the structure and content of the text see G</w:t>
      </w:r>
      <w:r w:rsidR="00DA2D82">
        <w:t>eorge</w:t>
      </w:r>
      <w:r>
        <w:t xml:space="preserve"> W. Coopland, </w:t>
      </w:r>
      <w:r w:rsidRPr="00EB1295">
        <w:rPr>
          <w:i/>
          <w:iCs/>
        </w:rPr>
        <w:t xml:space="preserve">Nicole Oresme and the Astrologers. A Study of his Livre de Divinacions </w:t>
      </w:r>
      <w:r>
        <w:t>(Cambridge, Mass.: Harvard University Press, 1952), 22-25.</w:t>
      </w:r>
    </w:p>
  </w:footnote>
  <w:footnote w:id="159">
    <w:p w14:paraId="517B68ED" w14:textId="55FCFB3D" w:rsidR="008B64A3" w:rsidRPr="007D5FE4" w:rsidRDefault="008B64A3" w:rsidP="008B64A3">
      <w:pPr>
        <w:pStyle w:val="FootnoteText"/>
        <w:ind w:firstLine="0"/>
      </w:pPr>
      <w:r>
        <w:rPr>
          <w:rStyle w:val="FootnoteReference"/>
        </w:rPr>
        <w:footnoteRef/>
      </w:r>
      <w:r>
        <w:t xml:space="preserve"> Coopland, </w:t>
      </w:r>
      <w:r w:rsidRPr="00EB1295">
        <w:rPr>
          <w:i/>
          <w:iCs/>
        </w:rPr>
        <w:t>Nicole Oresme and the Astrologers</w:t>
      </w:r>
      <w:r>
        <w:t>, 51.</w:t>
      </w:r>
    </w:p>
  </w:footnote>
  <w:footnote w:id="160">
    <w:p w14:paraId="06752857" w14:textId="4A03412C" w:rsidR="008B64A3" w:rsidRPr="0043510E" w:rsidRDefault="008B64A3" w:rsidP="008B64A3">
      <w:pPr>
        <w:pStyle w:val="FootnoteText"/>
        <w:ind w:firstLine="0"/>
        <w:rPr>
          <w:b/>
          <w:bCs/>
        </w:rPr>
      </w:pPr>
      <w:r>
        <w:rPr>
          <w:rStyle w:val="FootnoteReference"/>
        </w:rPr>
        <w:footnoteRef/>
      </w:r>
      <w:r>
        <w:t xml:space="preserve"> Coopland, </w:t>
      </w:r>
      <w:r w:rsidRPr="00EB1295">
        <w:rPr>
          <w:i/>
          <w:iCs/>
        </w:rPr>
        <w:t>Nicole Oresme and the Astrologers</w:t>
      </w:r>
      <w:r>
        <w:t>, 55: “The other sciences are geomancy, hydromancy, and similar devices,  palmistry, experiments, and such aruspices as sneezing […], magic art, nigromancy, interpretation of dreams, and many other vanities which are not sciences properly speaking.”</w:t>
      </w:r>
    </w:p>
  </w:footnote>
  <w:footnote w:id="161">
    <w:p w14:paraId="579935B8" w14:textId="77777777" w:rsidR="008B64A3" w:rsidRPr="00E26FC5" w:rsidRDefault="008B64A3" w:rsidP="008B64A3">
      <w:pPr>
        <w:pStyle w:val="FootnoteText"/>
        <w:ind w:firstLine="0"/>
      </w:pPr>
      <w:r>
        <w:rPr>
          <w:rStyle w:val="FootnoteReference"/>
        </w:rPr>
        <w:footnoteRef/>
      </w:r>
      <w:r>
        <w:t xml:space="preserve"> The proceedings of this trial have been published in the edited volume </w:t>
      </w:r>
      <w:r w:rsidRPr="00E26FC5">
        <w:rPr>
          <w:i/>
          <w:iCs/>
        </w:rPr>
        <w:t>Magic in Malta: Sellem Bin al-Sheikh Mansur and the Roman Inquisition, 1605</w:t>
      </w:r>
      <w:r>
        <w:t xml:space="preserve">, ed. by </w:t>
      </w:r>
      <w:r w:rsidRPr="00E26FC5">
        <w:t>A</w:t>
      </w:r>
      <w:r>
        <w:t>.</w:t>
      </w:r>
      <w:r w:rsidRPr="00E26FC5">
        <w:t xml:space="preserve"> Mallett, C</w:t>
      </w:r>
      <w:r>
        <w:t>.</w:t>
      </w:r>
      <w:r w:rsidRPr="00E26FC5">
        <w:t xml:space="preserve"> Rider</w:t>
      </w:r>
      <w:r>
        <w:t xml:space="preserve"> and</w:t>
      </w:r>
      <w:r w:rsidRPr="00E26FC5">
        <w:t xml:space="preserve"> D</w:t>
      </w:r>
      <w:r>
        <w:t>.</w:t>
      </w:r>
      <w:r w:rsidRPr="00E26FC5">
        <w:t xml:space="preserve"> A. Agius</w:t>
      </w:r>
      <w:r w:rsidRPr="007238AA">
        <w:t xml:space="preserve"> </w:t>
      </w:r>
      <w:r>
        <w:t>(</w:t>
      </w:r>
      <w:r w:rsidRPr="007238AA">
        <w:t>Leiden: Brill, 2022</w:t>
      </w:r>
      <w:r>
        <w:t>).</w:t>
      </w:r>
    </w:p>
  </w:footnote>
  <w:footnote w:id="162">
    <w:p w14:paraId="2BAEC2D0" w14:textId="558139FE" w:rsidR="008B64A3" w:rsidRPr="00CD65F1" w:rsidRDefault="008B64A3" w:rsidP="008B64A3">
      <w:pPr>
        <w:pStyle w:val="FootnoteText"/>
        <w:ind w:firstLine="0"/>
      </w:pPr>
      <w:r>
        <w:rPr>
          <w:rStyle w:val="FootnoteReference"/>
        </w:rPr>
        <w:footnoteRef/>
      </w:r>
      <w:r>
        <w:t xml:space="preserve"> For a background to the trial see the General Introduction to the volume by </w:t>
      </w:r>
      <w:r w:rsidRPr="00E26FC5">
        <w:t>A</w:t>
      </w:r>
      <w:r>
        <w:t>lexander</w:t>
      </w:r>
      <w:r w:rsidRPr="00E26FC5">
        <w:t xml:space="preserve"> Mallett, C</w:t>
      </w:r>
      <w:r>
        <w:t>atherine</w:t>
      </w:r>
      <w:r w:rsidRPr="00E26FC5">
        <w:t xml:space="preserve"> Rider</w:t>
      </w:r>
      <w:r>
        <w:t xml:space="preserve"> and</w:t>
      </w:r>
      <w:r w:rsidRPr="00E26FC5">
        <w:t xml:space="preserve"> D</w:t>
      </w:r>
      <w:r>
        <w:t>ionisius</w:t>
      </w:r>
      <w:r w:rsidRPr="00E26FC5">
        <w:t xml:space="preserve"> A. Agius</w:t>
      </w:r>
      <w:r>
        <w:t xml:space="preserve">, in </w:t>
      </w:r>
      <w:r w:rsidRPr="00E26FC5">
        <w:rPr>
          <w:i/>
          <w:iCs/>
        </w:rPr>
        <w:t>Magic in Malta</w:t>
      </w:r>
      <w:r>
        <w:t>, 1-22.</w:t>
      </w:r>
    </w:p>
  </w:footnote>
  <w:footnote w:id="163">
    <w:p w14:paraId="6A747FC6" w14:textId="19514C18" w:rsidR="008B64A3" w:rsidRDefault="008B64A3" w:rsidP="008B64A3">
      <w:pPr>
        <w:pStyle w:val="FootnoteText"/>
        <w:ind w:firstLine="0"/>
      </w:pPr>
      <w:r>
        <w:rPr>
          <w:rStyle w:val="FootnoteReference"/>
        </w:rPr>
        <w:footnoteRef/>
      </w:r>
      <w:r>
        <w:t xml:space="preserve"> </w:t>
      </w:r>
      <w:bookmarkStart w:id="44" w:name="_Hlk150507526"/>
      <w:r w:rsidRPr="00E26FC5">
        <w:t>A</w:t>
      </w:r>
      <w:r>
        <w:t>lexander</w:t>
      </w:r>
      <w:r w:rsidRPr="00E26FC5">
        <w:t xml:space="preserve"> Mallett</w:t>
      </w:r>
      <w:r>
        <w:t xml:space="preserve"> and</w:t>
      </w:r>
      <w:r w:rsidRPr="00E26FC5">
        <w:t xml:space="preserve"> C</w:t>
      </w:r>
      <w:r>
        <w:t>atherine</w:t>
      </w:r>
      <w:r w:rsidRPr="00E26FC5">
        <w:t xml:space="preserve"> Rider</w:t>
      </w:r>
      <w:r>
        <w:t>, ‘</w:t>
      </w:r>
      <w:r w:rsidRPr="00F86DBE">
        <w:t>The Trial of Sellem Bin al-Sheikh Mansur before the Roman Inquisition on Malta,</w:t>
      </w:r>
      <w:r>
        <w:t xml:space="preserve"> 1605’, in </w:t>
      </w:r>
      <w:r w:rsidRPr="00E26FC5">
        <w:rPr>
          <w:i/>
          <w:iCs/>
        </w:rPr>
        <w:t>Magic in Malta</w:t>
      </w:r>
      <w:r>
        <w:t xml:space="preserve">, </w:t>
      </w:r>
      <w:bookmarkEnd w:id="44"/>
      <w:r>
        <w:t>72-73.</w:t>
      </w:r>
    </w:p>
  </w:footnote>
  <w:footnote w:id="164">
    <w:p w14:paraId="1256C372" w14:textId="48B82484" w:rsidR="008B64A3" w:rsidRDefault="008B64A3" w:rsidP="008B64A3">
      <w:pPr>
        <w:pStyle w:val="FootnoteText"/>
        <w:ind w:firstLine="0"/>
      </w:pPr>
      <w:r>
        <w:rPr>
          <w:rStyle w:val="FootnoteReference"/>
        </w:rPr>
        <w:footnoteRef/>
      </w:r>
      <w:r>
        <w:t xml:space="preserve"> ‘Appendix 1.</w:t>
      </w:r>
      <w:r w:rsidRPr="00387843">
        <w:t xml:space="preserve"> Evidence Presented to the Inquisition by Vittorio Cassar: Instructions for Mathematics and the Practice of Geomancy</w:t>
      </w:r>
      <w:r>
        <w:t>’, ed by</w:t>
      </w:r>
      <w:r w:rsidRPr="00387843">
        <w:t xml:space="preserve"> A</w:t>
      </w:r>
      <w:r>
        <w:t>.</w:t>
      </w:r>
      <w:r w:rsidRPr="00387843">
        <w:t xml:space="preserve"> Mallett and C</w:t>
      </w:r>
      <w:r>
        <w:t>.</w:t>
      </w:r>
      <w:r w:rsidRPr="00387843">
        <w:t xml:space="preserve"> Rider</w:t>
      </w:r>
      <w:r>
        <w:t xml:space="preserve">, in </w:t>
      </w:r>
      <w:r w:rsidRPr="00E26FC5">
        <w:rPr>
          <w:i/>
          <w:iCs/>
        </w:rPr>
        <w:t>Magic in Malta</w:t>
      </w:r>
      <w:r>
        <w:t>, 529-565.</w:t>
      </w:r>
    </w:p>
  </w:footnote>
  <w:footnote w:id="165">
    <w:p w14:paraId="2594B133" w14:textId="667B4248" w:rsidR="008B64A3" w:rsidRDefault="008B64A3" w:rsidP="008B64A3">
      <w:pPr>
        <w:pStyle w:val="FootnoteText"/>
        <w:ind w:firstLine="0"/>
      </w:pPr>
      <w:r>
        <w:rPr>
          <w:rStyle w:val="FootnoteReference"/>
        </w:rPr>
        <w:footnoteRef/>
      </w:r>
      <w:r>
        <w:t xml:space="preserve"> ‘Appendix 1.</w:t>
      </w:r>
      <w:r w:rsidRPr="00387843">
        <w:t xml:space="preserve"> Evidence Presented to the Inquisition by Vittorio Cassar</w:t>
      </w:r>
      <w:r>
        <w:t>’, 551: “</w:t>
      </w:r>
      <w:r w:rsidRPr="00AB0239">
        <w:t>Prima e la sorte Seconda e la testificatione sopra il quesito che domandate e che cosa e Terzo significato di ottenere quelche si chiede si viene ottenerai Quarto indovinare il pensiero e si non viene non e p[er]sona</w:t>
      </w:r>
      <w:r>
        <w:t>.”</w:t>
      </w:r>
    </w:p>
  </w:footnote>
  <w:footnote w:id="166">
    <w:p w14:paraId="545EC1A0" w14:textId="2C05A4FE" w:rsidR="008B64A3" w:rsidRDefault="008B64A3" w:rsidP="008B64A3">
      <w:pPr>
        <w:pStyle w:val="FootnoteText"/>
        <w:ind w:firstLine="0"/>
      </w:pPr>
      <w:r>
        <w:rPr>
          <w:rStyle w:val="FootnoteReference"/>
        </w:rPr>
        <w:footnoteRef/>
      </w:r>
      <w:r>
        <w:t xml:space="preserve"> ‘Appendix 1.</w:t>
      </w:r>
      <w:r w:rsidRPr="00387843">
        <w:t xml:space="preserve"> Evidence Presented to the Inquisition by Vittorio Cassar</w:t>
      </w:r>
      <w:r>
        <w:t xml:space="preserve">’, 554: “[…] </w:t>
      </w:r>
      <w:r w:rsidRPr="00577ADD">
        <w:t xml:space="preserve">la geomantia </w:t>
      </w:r>
      <w:r w:rsidR="00970C00">
        <w:rPr>
          <w:rFonts w:ascii="Cambria Math" w:hAnsi="Cambria Math" w:cs="Cambria Math"/>
        </w:rPr>
        <w:t>&lt;</w:t>
      </w:r>
      <w:r w:rsidRPr="00577ADD">
        <w:t>…</w:t>
      </w:r>
      <w:r w:rsidR="00970C00">
        <w:rPr>
          <w:rFonts w:ascii="Cambria Math" w:hAnsi="Cambria Math" w:cs="Cambria Math"/>
        </w:rPr>
        <w:t>&gt;</w:t>
      </w:r>
      <w:r w:rsidRPr="00577ADD">
        <w:t xml:space="preserve"> faceva raccolta da diverse autori tanti quale è vera e </w:t>
      </w:r>
      <w:r w:rsidR="00970C00">
        <w:rPr>
          <w:rFonts w:ascii="Cambria Math" w:hAnsi="Cambria Math" w:cs="Cambria Math"/>
        </w:rPr>
        <w:t>&lt;</w:t>
      </w:r>
      <w:r w:rsidRPr="00577ADD">
        <w:t>buona</w:t>
      </w:r>
      <w:r w:rsidR="00970C00">
        <w:rPr>
          <w:rFonts w:ascii="Cambria Math" w:hAnsi="Cambria Math" w:cs="Cambria Math"/>
        </w:rPr>
        <w:t>&gt;</w:t>
      </w:r>
      <w:r w:rsidRPr="00577ADD">
        <w:t xml:space="preserve"> senza fall</w:t>
      </w:r>
      <w:r w:rsidR="00970C00">
        <w:rPr>
          <w:rFonts w:ascii="Cambria Math" w:hAnsi="Cambria Math" w:cs="Cambria Math"/>
        </w:rPr>
        <w:t>&lt;</w:t>
      </w:r>
      <w:r w:rsidRPr="00577ADD">
        <w:t>ore</w:t>
      </w:r>
      <w:r w:rsidR="00970C00">
        <w:rPr>
          <w:rFonts w:ascii="Cambria Math" w:hAnsi="Cambria Math" w:cs="Cambria Math"/>
        </w:rPr>
        <w:t>&gt;</w:t>
      </w:r>
      <w:r w:rsidRPr="00577ADD">
        <w:t xml:space="preserve"> si puo predire tutte le buoni fortuni e infortunii che possono succeddere et indovinare il concetto dell’animo del querente et insieme predili si otterra il suo pensieri.</w:t>
      </w:r>
      <w:r>
        <w:t>”</w:t>
      </w:r>
    </w:p>
  </w:footnote>
  <w:footnote w:id="167">
    <w:p w14:paraId="5236F7A2" w14:textId="674CD783" w:rsidR="008B64A3" w:rsidRDefault="008B64A3" w:rsidP="008B64A3">
      <w:pPr>
        <w:pStyle w:val="FootnoteText"/>
        <w:ind w:firstLine="0"/>
      </w:pPr>
      <w:r>
        <w:rPr>
          <w:rStyle w:val="FootnoteReference"/>
        </w:rPr>
        <w:footnoteRef/>
      </w:r>
      <w:r>
        <w:t xml:space="preserve"> </w:t>
      </w:r>
      <w:bookmarkStart w:id="45" w:name="_Hlk150507774"/>
      <w:r>
        <w:t xml:space="preserve">Liana Saif, ‘Magic and Divination Lost in Translation: A Cairene in a Maltese Inquisition’ in </w:t>
      </w:r>
      <w:r w:rsidRPr="003932B0">
        <w:rPr>
          <w:i/>
          <w:iCs/>
        </w:rPr>
        <w:t>Magic in Malta</w:t>
      </w:r>
      <w:r w:rsidRPr="003932B0">
        <w:t>,</w:t>
      </w:r>
      <w:r>
        <w:t xml:space="preserve"> 419-451</w:t>
      </w:r>
      <w:bookmarkEnd w:id="45"/>
      <w:r>
        <w:t>: 428.</w:t>
      </w:r>
    </w:p>
  </w:footnote>
  <w:footnote w:id="168">
    <w:p w14:paraId="21C6D9E5" w14:textId="18E67815" w:rsidR="008B64A3" w:rsidRDefault="008B64A3" w:rsidP="008B64A3">
      <w:pPr>
        <w:pStyle w:val="FootnoteText"/>
        <w:ind w:firstLine="0"/>
      </w:pPr>
      <w:r>
        <w:rPr>
          <w:rStyle w:val="FootnoteReference"/>
        </w:rPr>
        <w:footnoteRef/>
      </w:r>
      <w:r>
        <w:t xml:space="preserve"> Saif, ‘Magic and Divination Lost in Translation’, 429.</w:t>
      </w:r>
    </w:p>
  </w:footnote>
  <w:footnote w:id="169">
    <w:p w14:paraId="243E953A" w14:textId="60F00FE5" w:rsidR="00244FB6" w:rsidRDefault="00244FB6" w:rsidP="00244FB6">
      <w:pPr>
        <w:pStyle w:val="FootnoteText"/>
        <w:ind w:firstLine="0"/>
      </w:pPr>
      <w:r>
        <w:rPr>
          <w:rStyle w:val="FootnoteReference"/>
        </w:rPr>
        <w:footnoteRef/>
      </w:r>
      <w:r>
        <w:t xml:space="preserve"> Alessandro Palazzo, ‘Origins, Development and Decline of the Western Geomantic Tradition’, in </w:t>
      </w:r>
      <w:r w:rsidRPr="00CC182F">
        <w:rPr>
          <w:i/>
          <w:iCs/>
        </w:rPr>
        <w:t>Documenti e studi sulla tradizione filosofica medievale</w:t>
      </w:r>
      <w:r w:rsidR="00C50E19">
        <w:rPr>
          <w:i/>
          <w:iCs/>
        </w:rPr>
        <w:t>,</w:t>
      </w:r>
      <w:r>
        <w:rPr>
          <w:i/>
          <w:iCs/>
        </w:rPr>
        <w:t xml:space="preserve"> </w:t>
      </w:r>
      <w:r>
        <w:t xml:space="preserve">XXXI (2020), 417-441: 421. </w:t>
      </w:r>
    </w:p>
  </w:footnote>
  <w:footnote w:id="170">
    <w:p w14:paraId="0FEFAA1D" w14:textId="119F05DD" w:rsidR="00244FB6" w:rsidRDefault="00244FB6" w:rsidP="00244FB6">
      <w:pPr>
        <w:pStyle w:val="FootnoteText"/>
        <w:ind w:firstLine="0"/>
      </w:pPr>
      <w:r>
        <w:rPr>
          <w:rStyle w:val="FootnoteReference"/>
        </w:rPr>
        <w:footnoteRef/>
      </w:r>
      <w:r>
        <w:t xml:space="preserve"> A large number of geomantic anthologies has been identified in Charmasson, </w:t>
      </w:r>
      <w:r w:rsidRPr="00103BCA">
        <w:rPr>
          <w:i/>
          <w:iCs/>
        </w:rPr>
        <w:t>Recherches sur une technique divinatoire</w:t>
      </w:r>
      <w:r>
        <w:t>, 307-316.</w:t>
      </w:r>
    </w:p>
  </w:footnote>
  <w:footnote w:id="171">
    <w:p w14:paraId="785DDE6B" w14:textId="100976A2" w:rsidR="00244FB6" w:rsidRDefault="00244FB6" w:rsidP="00B3209A">
      <w:pPr>
        <w:pStyle w:val="FootnoteText"/>
        <w:ind w:firstLine="0"/>
      </w:pPr>
      <w:r>
        <w:rPr>
          <w:rStyle w:val="FootnoteReference"/>
        </w:rPr>
        <w:footnoteRef/>
      </w:r>
      <w:r>
        <w:t xml:space="preserve"> Palazzo, ‘Origins, Development and Decline of the Western Geomantic Tradition’, 432.</w:t>
      </w:r>
    </w:p>
  </w:footnote>
  <w:footnote w:id="172">
    <w:p w14:paraId="442A9E70" w14:textId="490FEEF0" w:rsidR="00244FB6" w:rsidRDefault="00244FB6" w:rsidP="00244FB6">
      <w:pPr>
        <w:pStyle w:val="FootnoteText"/>
        <w:ind w:firstLine="0"/>
      </w:pPr>
      <w:r>
        <w:rPr>
          <w:rStyle w:val="FootnoteReference"/>
        </w:rPr>
        <w:footnoteRef/>
      </w:r>
      <w:r>
        <w:t xml:space="preserve"> Palazzo, ‘Origins, Development and Decline of the Western Geomantic Tradition’, 434.</w:t>
      </w:r>
    </w:p>
  </w:footnote>
  <w:footnote w:id="173">
    <w:p w14:paraId="320D1A5C" w14:textId="62CD92F8" w:rsidR="00244FB6" w:rsidRDefault="00244FB6" w:rsidP="00244FB6">
      <w:pPr>
        <w:pStyle w:val="FootnoteText"/>
        <w:ind w:firstLine="0"/>
      </w:pPr>
      <w:r>
        <w:rPr>
          <w:rStyle w:val="FootnoteReference"/>
        </w:rPr>
        <w:footnoteRef/>
      </w:r>
      <w:r>
        <w:t xml:space="preserve"> London, British Library, Ms. Arundel 66 (XV c.), </w:t>
      </w:r>
      <w:r w:rsidRPr="000B6148">
        <w:t>f. 269ra</w:t>
      </w:r>
      <w:r>
        <w:t>:</w:t>
      </w:r>
      <w:r w:rsidRPr="000B6148">
        <w:t xml:space="preserve"> </w:t>
      </w:r>
      <w:r>
        <w:t>“</w:t>
      </w:r>
      <w:r w:rsidRPr="000B6148">
        <w:t>In nomine domini nostri Jehsu Christi incipit Liber scientie arenalis de iudiciis geomansie ab alpharino filio abrahe iudeo editus et a platone de hebreico sermone in latinum translatus.</w:t>
      </w:r>
      <w:r>
        <w:t>”</w:t>
      </w:r>
    </w:p>
  </w:footnote>
  <w:footnote w:id="174">
    <w:p w14:paraId="6B15387C" w14:textId="77777777" w:rsidR="00AB54B3" w:rsidRPr="00402A31" w:rsidRDefault="00AB54B3" w:rsidP="00AB54B3">
      <w:pPr>
        <w:pStyle w:val="FootnoteText"/>
        <w:ind w:firstLine="0"/>
      </w:pPr>
      <w:r w:rsidRPr="00402A31">
        <w:rPr>
          <w:rStyle w:val="FootnoteReference"/>
        </w:rPr>
        <w:footnoteRef/>
      </w:r>
      <w:r w:rsidRPr="00402A31">
        <w:t xml:space="preserve"> See Marienza Benedetto, </w:t>
      </w:r>
      <w:r>
        <w:t>‘</w:t>
      </w:r>
      <w:r w:rsidRPr="00402A31">
        <w:t>Geomancy and Other Forms of Divination in the Jewish Middle Ages,</w:t>
      </w:r>
      <w:r>
        <w:t>’</w:t>
      </w:r>
      <w:r w:rsidRPr="00402A31">
        <w:t xml:space="preserve"> in </w:t>
      </w:r>
      <w:r w:rsidRPr="00402A31">
        <w:rPr>
          <w:i/>
          <w:iCs/>
        </w:rPr>
        <w:t>Geomancy and Other Forms of Divination</w:t>
      </w:r>
      <w:r w:rsidRPr="00402A31">
        <w:t xml:space="preserve">, (2017), 225-241; In the same volume: Josefina Rodríguez-Arribas, “Divination According to the </w:t>
      </w:r>
      <w:r w:rsidRPr="00402A31">
        <w:rPr>
          <w:i/>
          <w:iCs/>
        </w:rPr>
        <w:t>Goralot</w:t>
      </w:r>
      <w:r w:rsidRPr="00402A31">
        <w:t xml:space="preserve">: Lots and Geomancy in Hebrew Manuscripts, 243-270; and Blanca Villuendas Sabaté, </w:t>
      </w:r>
      <w:r>
        <w:t>‘</w:t>
      </w:r>
      <w:r w:rsidRPr="00402A31">
        <w:t>Arabic Geomancy in Jewish Hands: Speciments from the Cairo Jenizah</w:t>
      </w:r>
      <w:r>
        <w:t>’</w:t>
      </w:r>
      <w:r w:rsidRPr="00402A31">
        <w:t>,</w:t>
      </w:r>
      <w:r>
        <w:t xml:space="preserve"> </w:t>
      </w:r>
      <w:r w:rsidRPr="00327FA1">
        <w:t xml:space="preserve">in </w:t>
      </w:r>
      <w:r w:rsidRPr="00327FA1">
        <w:rPr>
          <w:i/>
          <w:iCs/>
        </w:rPr>
        <w:t>Geomancy and Other Forms of Divination</w:t>
      </w:r>
      <w:r>
        <w:t xml:space="preserve"> (2017),</w:t>
      </w:r>
      <w:r w:rsidRPr="00327FA1">
        <w:t xml:space="preserve"> </w:t>
      </w:r>
      <w:r w:rsidRPr="00402A31">
        <w:t xml:space="preserve">271- 288; Blanca Villuenda Sabaté, </w:t>
      </w:r>
      <w:r w:rsidRPr="00402A31">
        <w:rPr>
          <w:i/>
          <w:iCs/>
        </w:rPr>
        <w:t xml:space="preserve">La geomancia en los manuscritos judeo-árabes de la Gueniza de El Cairo </w:t>
      </w:r>
      <w:r w:rsidRPr="00402A31">
        <w:t>(Córdoba: Oriens Academics- CNERU-CSIC, 2015).</w:t>
      </w:r>
    </w:p>
  </w:footnote>
  <w:footnote w:id="175">
    <w:p w14:paraId="3BB915F0" w14:textId="77777777" w:rsidR="00244FB6" w:rsidRDefault="00244FB6" w:rsidP="00244FB6">
      <w:pPr>
        <w:pStyle w:val="FootnoteText"/>
        <w:ind w:firstLine="0"/>
      </w:pPr>
      <w:r>
        <w:rPr>
          <w:rStyle w:val="FootnoteReference"/>
        </w:rPr>
        <w:footnoteRef/>
      </w:r>
      <w:r>
        <w:t xml:space="preserve"> </w:t>
      </w:r>
      <w:bookmarkStart w:id="48" w:name="_Hlk146796231"/>
      <w:r w:rsidRPr="004D117D">
        <w:t>Cambridge, Magdalene Coll., F.4.27</w:t>
      </w:r>
      <w:r>
        <w:t xml:space="preserve"> (XIV c.), </w:t>
      </w:r>
      <w:r w:rsidRPr="00CE006F">
        <w:t>120r</w:t>
      </w:r>
      <w:r>
        <w:t>:</w:t>
      </w:r>
      <w:r w:rsidRPr="00CE006F">
        <w:t xml:space="preserve"> </w:t>
      </w:r>
      <w:r>
        <w:t>“</w:t>
      </w:r>
      <w:r w:rsidRPr="00CE006F">
        <w:t>Incipit liber arenalis scientie, ab alfarino abizarch editus et a platone tiburtino de arabico in latinum translatus.</w:t>
      </w:r>
      <w:r>
        <w:t xml:space="preserve">” Also in the other manuscripts: </w:t>
      </w:r>
      <w:r w:rsidRPr="00D675E9">
        <w:t xml:space="preserve">Munich, BSB, Clm 11998, </w:t>
      </w:r>
      <w:r>
        <w:t>(</w:t>
      </w:r>
      <w:r w:rsidRPr="00D675E9">
        <w:t>XVIII</w:t>
      </w:r>
      <w:r>
        <w:t xml:space="preserve"> c.), </w:t>
      </w:r>
      <w:r w:rsidRPr="00956A53">
        <w:t>p. 417</w:t>
      </w:r>
      <w:r>
        <w:t>:</w:t>
      </w:r>
      <w:r w:rsidRPr="00956A53">
        <w:t xml:space="preserve"> </w:t>
      </w:r>
      <w:r>
        <w:t>“</w:t>
      </w:r>
      <w:r w:rsidRPr="00956A53">
        <w:t>Quaestiones geomantiae Alfakini Arabici filii a Platone in Latinum translatae</w:t>
      </w:r>
      <w:r>
        <w:t xml:space="preserve">”; </w:t>
      </w:r>
      <w:r w:rsidRPr="00DC2A7B">
        <w:t>Oxford, Bodleian Library, Rawlinson D.1227</w:t>
      </w:r>
      <w:r>
        <w:t xml:space="preserve"> (XIV c.), </w:t>
      </w:r>
      <w:r w:rsidRPr="001B658E">
        <w:t>38r</w:t>
      </w:r>
      <w:r>
        <w:t>:</w:t>
      </w:r>
      <w:r w:rsidRPr="001B658E">
        <w:t xml:space="preserve"> </w:t>
      </w:r>
      <w:r>
        <w:t>“</w:t>
      </w:r>
      <w:r w:rsidRPr="001B658E">
        <w:t>Incipit liber arnaldi scientie, ab alfarino abizarch editus et a platone tiburtino de arabico in latinum translatus</w:t>
      </w:r>
      <w:r>
        <w:t xml:space="preserve">”; </w:t>
      </w:r>
      <w:r w:rsidRPr="00BB6378">
        <w:t>Augsburg, Staats- und Stadtbibl., 2° Cod. 211</w:t>
      </w:r>
      <w:r>
        <w:t xml:space="preserve"> </w:t>
      </w:r>
      <w:bookmarkEnd w:id="48"/>
      <w:r>
        <w:t>(XV c.), 2v: “</w:t>
      </w:r>
      <w:r w:rsidRPr="00F75B7F">
        <w:t>Liber arenalis scientiae alfudieno(?) filio abiczero editus et a platone tiburane de arabico in latinum translatus incipit.</w:t>
      </w:r>
      <w:r>
        <w:t>”</w:t>
      </w:r>
    </w:p>
  </w:footnote>
  <w:footnote w:id="176">
    <w:p w14:paraId="6B4F6E7E" w14:textId="5EBEB422" w:rsidR="00244FB6" w:rsidRDefault="00244FB6" w:rsidP="00244FB6">
      <w:pPr>
        <w:pStyle w:val="FootnoteText"/>
        <w:ind w:firstLine="0"/>
      </w:pPr>
      <w:r>
        <w:rPr>
          <w:rStyle w:val="FootnoteReference"/>
        </w:rPr>
        <w:footnoteRef/>
      </w:r>
      <w:r>
        <w:t xml:space="preserve"> T</w:t>
      </w:r>
      <w:r w:rsidRPr="00F25F94">
        <w:t xml:space="preserve">he section of the </w:t>
      </w:r>
      <w:r w:rsidRPr="00F25F94">
        <w:rPr>
          <w:i/>
          <w:iCs/>
        </w:rPr>
        <w:t>Si quis per artem geomanticam</w:t>
      </w:r>
      <w:r w:rsidRPr="00F25F94">
        <w:t xml:space="preserve"> of Gerard of Cremona from which the </w:t>
      </w:r>
      <w:r w:rsidRPr="00F25F94">
        <w:rPr>
          <w:i/>
          <w:iCs/>
        </w:rPr>
        <w:t>Quaestiones geomantiae</w:t>
      </w:r>
      <w:r w:rsidRPr="00F25F94">
        <w:t xml:space="preserve"> are taken is the second part of the treatise, that begins with ‘Si de statu corporis…’. This section is only found in some of the manuscripts containing the treatise of Gerard, of which the majority are anonymous</w:t>
      </w:r>
      <w:r>
        <w:t xml:space="preserve">: </w:t>
      </w:r>
      <w:r w:rsidRPr="00B901CD">
        <w:t xml:space="preserve">Erfurt, Ampl., 4° 361, fol. 62-68rb; Florence, Nat., Palat. 945, ff. 259-262; Florence, Laur., Plut. 89 sup. 34, ff.90-177v ; Munich, lat. 24 940, ff. 110-148; Oxford, BL, Bodley 625, XIV-H-13, ff.112-144; Vienna, lat. 3059, ff. 73-92; some of the questions are also contained in London, BL, Harley 2404, ff.33-55v; Oxford, BL, Ashmole 4, ff. 7-11, 44-47bis. See Charmasson, </w:t>
      </w:r>
      <w:r w:rsidRPr="00053098">
        <w:rPr>
          <w:i/>
          <w:iCs/>
        </w:rPr>
        <w:t>Recherches sur une technique divinatoire</w:t>
      </w:r>
      <w:r w:rsidRPr="00B901CD">
        <w:t>, 129-131.</w:t>
      </w:r>
    </w:p>
  </w:footnote>
  <w:footnote w:id="177">
    <w:p w14:paraId="614ECFBB" w14:textId="3E4FDF1B" w:rsidR="00244FB6" w:rsidRPr="00402A31" w:rsidRDefault="00244FB6" w:rsidP="00244FB6">
      <w:pPr>
        <w:pStyle w:val="FootnoteText"/>
        <w:ind w:firstLine="0"/>
      </w:pPr>
      <w:r w:rsidRPr="00402A31">
        <w:rPr>
          <w:rStyle w:val="FootnoteReference"/>
        </w:rPr>
        <w:footnoteRef/>
      </w:r>
      <w:r w:rsidRPr="00402A31">
        <w:t xml:space="preserve"> An exception is the </w:t>
      </w:r>
      <w:r w:rsidRPr="00402A31">
        <w:rPr>
          <w:i/>
          <w:iCs/>
        </w:rPr>
        <w:t>Epitome totius astrologiae</w:t>
      </w:r>
      <w:r w:rsidRPr="00402A31">
        <w:t xml:space="preserve">, written by Iohannes Hispalensis, where the names of the lunar mansions are translated into Latin. See Charles Burnett, </w:t>
      </w:r>
      <w:r w:rsidR="00D75A63">
        <w:t>‘</w:t>
      </w:r>
      <w:r w:rsidRPr="00402A31">
        <w:t xml:space="preserve">Weather Forecasting, Lunar Mansions and a Disputed Attribution: the  </w:t>
      </w:r>
      <w:r w:rsidRPr="00402A31">
        <w:rPr>
          <w:i/>
          <w:iCs/>
        </w:rPr>
        <w:t>Tractatus  Pluviarum  et  Aeris  Mutationis</w:t>
      </w:r>
      <w:r w:rsidRPr="00402A31">
        <w:t xml:space="preserve">  and </w:t>
      </w:r>
      <w:r w:rsidRPr="00402A31">
        <w:rPr>
          <w:i/>
          <w:iCs/>
        </w:rPr>
        <w:t>Epitome  Totius  Astrologiae</w:t>
      </w:r>
      <w:r w:rsidRPr="00402A31">
        <w:t xml:space="preserve">  of ‘Iohannes  Hispalensis</w:t>
      </w:r>
      <w:r w:rsidR="00C873FE">
        <w:t>’</w:t>
      </w:r>
      <w:r w:rsidRPr="00402A31">
        <w:t xml:space="preserve">, in </w:t>
      </w:r>
      <w:r w:rsidRPr="00402A31">
        <w:rPr>
          <w:i/>
          <w:iCs/>
        </w:rPr>
        <w:t>Islamic Thought in the Middle Ages</w:t>
      </w:r>
      <w:r w:rsidRPr="00402A31">
        <w:t xml:space="preserve"> (Leiden: Brill, 2008), 219–265.</w:t>
      </w:r>
    </w:p>
  </w:footnote>
  <w:footnote w:id="178">
    <w:p w14:paraId="48C1C07B" w14:textId="77777777" w:rsidR="00011343" w:rsidRDefault="00011343" w:rsidP="00011343">
      <w:pPr>
        <w:pStyle w:val="FootnoteText"/>
        <w:ind w:firstLine="0"/>
      </w:pPr>
      <w:r>
        <w:rPr>
          <w:rStyle w:val="FootnoteReference"/>
        </w:rPr>
        <w:footnoteRef/>
      </w:r>
      <w:r>
        <w:t xml:space="preserve"> Appendix 3, passage 16. </w:t>
      </w:r>
    </w:p>
  </w:footnote>
  <w:footnote w:id="179">
    <w:p w14:paraId="78FD8FB5" w14:textId="503ADC51" w:rsidR="00572AA8" w:rsidRPr="00402A31" w:rsidRDefault="00572AA8" w:rsidP="00572AA8">
      <w:pPr>
        <w:pStyle w:val="FootnoteText"/>
        <w:ind w:firstLine="0"/>
      </w:pPr>
      <w:r w:rsidRPr="00402A31">
        <w:rPr>
          <w:rStyle w:val="FootnoteReference"/>
        </w:rPr>
        <w:footnoteRef/>
      </w:r>
      <w:r w:rsidRPr="00402A31">
        <w:t xml:space="preserve"> On the Almoravid dynasty and their coinage see Ronald A. Messier. “Quantitative Analysis of Almoravid Dinars”, in </w:t>
      </w:r>
      <w:r w:rsidRPr="00402A31">
        <w:rPr>
          <w:i/>
          <w:iCs/>
        </w:rPr>
        <w:t>Journal of the Economic and Social History of the Orient</w:t>
      </w:r>
      <w:r w:rsidRPr="00402A31">
        <w:t xml:space="preserve">, Vol. 23 No. 1\2 (April 1880: Brill), 102-118. See also ‘Marabotins’ in Albert R. Frey “A dictionary of numismatic names: their official and popular designations”, in </w:t>
      </w:r>
      <w:r w:rsidRPr="00402A31">
        <w:rPr>
          <w:i/>
          <w:iCs/>
        </w:rPr>
        <w:t>American Journal of Numismatics</w:t>
      </w:r>
      <w:r w:rsidRPr="00402A31">
        <w:t>, I (1916),</w:t>
      </w:r>
      <w:r w:rsidR="003F1AC3">
        <w:t xml:space="preserve"> 1-311.</w:t>
      </w:r>
    </w:p>
  </w:footnote>
  <w:footnote w:id="180">
    <w:p w14:paraId="327F14E8" w14:textId="736797EE" w:rsidR="00572AA8" w:rsidRPr="00402A31" w:rsidRDefault="00572AA8" w:rsidP="00572AA8">
      <w:pPr>
        <w:pStyle w:val="FootnoteText"/>
        <w:ind w:firstLine="0"/>
      </w:pPr>
      <w:r w:rsidRPr="00402A31">
        <w:rPr>
          <w:rStyle w:val="FootnoteReference"/>
        </w:rPr>
        <w:footnoteRef/>
      </w:r>
      <w:r w:rsidRPr="00402A31">
        <w:t xml:space="preserve"> See ‘Marabotin Alfonsin’ in A. R. Frey</w:t>
      </w:r>
      <w:r w:rsidRPr="003F1AC3">
        <w:t xml:space="preserve">, </w:t>
      </w:r>
      <w:r w:rsidR="003F1AC3" w:rsidRPr="003F1AC3">
        <w:t>‘</w:t>
      </w:r>
      <w:r w:rsidRPr="003F1AC3">
        <w:t>A dictionary of numismatic names: their official and popular designations,</w:t>
      </w:r>
      <w:r w:rsidR="003F1AC3" w:rsidRPr="003F1AC3">
        <w:t>’</w:t>
      </w:r>
      <w:r w:rsidRPr="00402A31">
        <w:t xml:space="preserve"> 143.</w:t>
      </w:r>
    </w:p>
  </w:footnote>
  <w:footnote w:id="181">
    <w:p w14:paraId="278431CB" w14:textId="0E2949CB" w:rsidR="00244FB6" w:rsidRPr="00402A31" w:rsidRDefault="00244FB6" w:rsidP="00244FB6">
      <w:pPr>
        <w:pStyle w:val="FootnoteText"/>
        <w:ind w:firstLine="0"/>
        <w:rPr>
          <w:lang w:val="it-IT"/>
        </w:rPr>
      </w:pPr>
      <w:r w:rsidRPr="00402A31">
        <w:rPr>
          <w:rStyle w:val="FootnoteReference"/>
        </w:rPr>
        <w:footnoteRef/>
      </w:r>
      <w:r w:rsidRPr="00402A31">
        <w:t xml:space="preserve"> William Dunn Macray, </w:t>
      </w:r>
      <w:r w:rsidRPr="00402A31">
        <w:rPr>
          <w:i/>
          <w:iCs/>
        </w:rPr>
        <w:t>Bodleian Library Quarto Catalogues IX: Digby Manuscripts</w:t>
      </w:r>
      <w:r w:rsidRPr="00402A31">
        <w:t>, repr. with addenda by Richard W. Hunt and Andrew G. Watson</w:t>
      </w:r>
      <w:r w:rsidR="00D65497">
        <w:t xml:space="preserve"> </w:t>
      </w:r>
      <w:r w:rsidRPr="00402A31">
        <w:t xml:space="preserve">(Oxford: Bodleian Library, 1999), 25, 46; Charmasson, </w:t>
      </w:r>
      <w:r w:rsidRPr="00402A31">
        <w:rPr>
          <w:i/>
          <w:iCs/>
        </w:rPr>
        <w:t>Recherches sur une technique divinatoire</w:t>
      </w:r>
      <w:r w:rsidRPr="00402A31">
        <w:t xml:space="preserve">, 231. Pasquale Arfé in his study on the manuscript tradition of the </w:t>
      </w:r>
      <w:r w:rsidRPr="00402A31">
        <w:rPr>
          <w:i/>
          <w:iCs/>
        </w:rPr>
        <w:t>Ars Geomantiae</w:t>
      </w:r>
      <w:r w:rsidRPr="00402A31">
        <w:t xml:space="preserve"> supports the dating of Macray making Digby 50 just one of the oldest copies of Hugo’s geomancy together with the ms. Paris, BNF, lat. 7354, ff. 2r-55v. The Paris manuscript is the privileged copy for the edition of the </w:t>
      </w:r>
      <w:r w:rsidRPr="00402A31">
        <w:rPr>
          <w:i/>
          <w:iCs/>
        </w:rPr>
        <w:t>Ars Geomantiae</w:t>
      </w:r>
      <w:r w:rsidRPr="00402A31">
        <w:t xml:space="preserve"> as it seems to have a direct relationship with the lost archetype, if Charmasson is right</w:t>
      </w:r>
      <w:r w:rsidR="00A06295">
        <w:t xml:space="preserve"> in dating the codex</w:t>
      </w:r>
      <w:r w:rsidRPr="00402A31">
        <w:t>, Digby 50 is the oldest copy of th</w:t>
      </w:r>
      <w:r w:rsidR="00A06295">
        <w:t xml:space="preserve">e </w:t>
      </w:r>
      <w:r w:rsidR="00A06295" w:rsidRPr="00A06295">
        <w:rPr>
          <w:i/>
          <w:iCs/>
        </w:rPr>
        <w:t>Ars geomantiae</w:t>
      </w:r>
      <w:r w:rsidRPr="00402A31">
        <w:t xml:space="preserve">. On the manuscript tradition of the </w:t>
      </w:r>
      <w:r w:rsidRPr="00402A31">
        <w:rPr>
          <w:i/>
          <w:iCs/>
        </w:rPr>
        <w:t>Ars Geomantiae</w:t>
      </w:r>
      <w:r w:rsidRPr="00402A31">
        <w:t xml:space="preserve"> see Arfé, </w:t>
      </w:r>
      <w:r w:rsidR="0025404C">
        <w:t>‘</w:t>
      </w:r>
      <w:r w:rsidRPr="00402A31">
        <w:t>L’</w:t>
      </w:r>
      <w:r w:rsidRPr="00402A31">
        <w:rPr>
          <w:i/>
          <w:iCs/>
        </w:rPr>
        <w:t xml:space="preserve">Ars Geomantiae </w:t>
      </w:r>
      <w:r w:rsidRPr="00402A31">
        <w:t>di Ugo di Santalla. Il testo e la sua tradizione</w:t>
      </w:r>
      <w:r w:rsidR="0025404C">
        <w:t>’</w:t>
      </w:r>
      <w:r w:rsidRPr="00402A31">
        <w:t>, 65-91: 80-88.</w:t>
      </w:r>
    </w:p>
  </w:footnote>
  <w:footnote w:id="182">
    <w:p w14:paraId="15771210" w14:textId="2CF7C8B1" w:rsidR="00244FB6" w:rsidRPr="00402A31" w:rsidRDefault="00244FB6" w:rsidP="00244FB6">
      <w:pPr>
        <w:pStyle w:val="FootnoteText"/>
        <w:ind w:firstLine="0"/>
      </w:pPr>
      <w:r w:rsidRPr="00402A31">
        <w:rPr>
          <w:rStyle w:val="FootnoteReference"/>
        </w:rPr>
        <w:footnoteRef/>
      </w:r>
      <w:r w:rsidRPr="00402A31">
        <w:t xml:space="preserve"> Charles Burnett, </w:t>
      </w:r>
      <w:r w:rsidR="0002087D">
        <w:t>‘</w:t>
      </w:r>
      <w:r w:rsidRPr="00402A31">
        <w:t>Indian Numerals in the Mediterranean Basin in the Twelfth Century</w:t>
      </w:r>
      <w:r w:rsidR="0002087D">
        <w:t>’</w:t>
      </w:r>
      <w:r w:rsidRPr="00402A31">
        <w:t xml:space="preserve">, in </w:t>
      </w:r>
      <w:r w:rsidRPr="00402A31">
        <w:rPr>
          <w:i/>
          <w:iCs/>
        </w:rPr>
        <w:t xml:space="preserve">Numerals and Arithmetic in the Middle Ages </w:t>
      </w:r>
      <w:r w:rsidRPr="00402A31">
        <w:t>(Fournham, Surrey: Ashgate, 2010), 237-288.</w:t>
      </w:r>
    </w:p>
  </w:footnote>
  <w:footnote w:id="183">
    <w:p w14:paraId="13FCB713" w14:textId="1FC57515" w:rsidR="00244FB6" w:rsidRPr="00402A31" w:rsidRDefault="00244FB6" w:rsidP="00244FB6">
      <w:pPr>
        <w:pStyle w:val="FootnoteText"/>
        <w:ind w:firstLine="0"/>
      </w:pPr>
      <w:r w:rsidRPr="00402A31">
        <w:rPr>
          <w:rStyle w:val="FootnoteReference"/>
        </w:rPr>
        <w:footnoteRef/>
      </w:r>
      <w:r w:rsidRPr="00402A31">
        <w:t xml:space="preserve"> On the relationship between the </w:t>
      </w:r>
      <w:r w:rsidRPr="00402A31">
        <w:rPr>
          <w:i/>
          <w:iCs/>
        </w:rPr>
        <w:t xml:space="preserve">Ars geomantiae </w:t>
      </w:r>
      <w:r w:rsidRPr="00402A31">
        <w:t xml:space="preserve">and the </w:t>
      </w:r>
      <w:r w:rsidRPr="00402A31">
        <w:rPr>
          <w:i/>
          <w:iCs/>
        </w:rPr>
        <w:t>Breviloquium artis geomantiae</w:t>
      </w:r>
      <w:r w:rsidRPr="00402A31">
        <w:t xml:space="preserve">  of Bartholomew of Parma and the </w:t>
      </w:r>
      <w:r w:rsidRPr="00402A31">
        <w:rPr>
          <w:i/>
          <w:iCs/>
        </w:rPr>
        <w:t>Geomantia</w:t>
      </w:r>
      <w:r w:rsidRPr="00402A31">
        <w:t xml:space="preserve"> of William of Moerbeke see Alessandra Beccarisi, </w:t>
      </w:r>
      <w:r w:rsidR="00821BC8">
        <w:t>‘</w:t>
      </w:r>
      <w:r w:rsidRPr="00402A31">
        <w:t xml:space="preserve">Qualche considerazione sulla </w:t>
      </w:r>
      <w:r w:rsidRPr="00402A31">
        <w:rPr>
          <w:i/>
          <w:iCs/>
        </w:rPr>
        <w:t>Geomantia</w:t>
      </w:r>
      <w:r w:rsidRPr="00402A31">
        <w:t xml:space="preserve"> attribuita a Guglielmo di Moerbeke,</w:t>
      </w:r>
      <w:r w:rsidR="00821BC8">
        <w:t>’</w:t>
      </w:r>
      <w:r w:rsidRPr="00402A31">
        <w:t xml:space="preserve"> in </w:t>
      </w:r>
      <w:r w:rsidRPr="00402A31">
        <w:rPr>
          <w:i/>
          <w:iCs/>
        </w:rPr>
        <w:t>Quaderni di Noctua, Vol. 5</w:t>
      </w:r>
      <w:r w:rsidRPr="00402A31">
        <w:t xml:space="preserve"> (2019), 554-603: 572-592.</w:t>
      </w:r>
    </w:p>
  </w:footnote>
  <w:footnote w:id="184">
    <w:p w14:paraId="6107FD69" w14:textId="4E77D459" w:rsidR="00244FB6" w:rsidRDefault="00244FB6" w:rsidP="00244FB6">
      <w:pPr>
        <w:pStyle w:val="FootnoteText"/>
        <w:ind w:firstLine="0"/>
      </w:pPr>
      <w:r>
        <w:rPr>
          <w:rStyle w:val="FootnoteReference"/>
        </w:rPr>
        <w:footnoteRef/>
      </w:r>
      <w:r>
        <w:t xml:space="preserve"> T</w:t>
      </w:r>
      <w:r w:rsidRPr="00402A31">
        <w:t>he geomantic work</w:t>
      </w:r>
      <w:r>
        <w:t>s</w:t>
      </w:r>
      <w:r w:rsidRPr="00402A31">
        <w:t xml:space="preserve"> </w:t>
      </w:r>
      <w:r>
        <w:t>by</w:t>
      </w:r>
      <w:r w:rsidRPr="00402A31">
        <w:t xml:space="preserve"> Bartholomew of Parma and the </w:t>
      </w:r>
      <w:r w:rsidRPr="00402A31">
        <w:rPr>
          <w:i/>
          <w:iCs/>
        </w:rPr>
        <w:t>Compilatorium, sive aggregatorium totius artis geomancie ad astronomiam redacte</w:t>
      </w:r>
      <w:r w:rsidRPr="00402A31">
        <w:t xml:space="preserve"> </w:t>
      </w:r>
      <w:r>
        <w:t>by</w:t>
      </w:r>
      <w:r w:rsidRPr="00402A31">
        <w:t xml:space="preserve"> Roland </w:t>
      </w:r>
      <w:r>
        <w:t>the Writer</w:t>
      </w:r>
      <w:r w:rsidRPr="00402A31">
        <w:t xml:space="preserve"> are still unpublished</w:t>
      </w:r>
      <w:r>
        <w:t xml:space="preserve">, while the critical edition of the Geomantia by Moerbeke has recently been published by Elisa Rubino, see Guillelmus de Morbeka, </w:t>
      </w:r>
      <w:r w:rsidRPr="001E72F8">
        <w:rPr>
          <w:i/>
          <w:iCs/>
        </w:rPr>
        <w:t>Geomantia</w:t>
      </w:r>
      <w:r w:rsidR="00A11A36">
        <w:rPr>
          <w:i/>
          <w:iCs/>
        </w:rPr>
        <w:t>.</w:t>
      </w:r>
      <w:r w:rsidRPr="001E72F8">
        <w:rPr>
          <w:i/>
          <w:iCs/>
        </w:rPr>
        <w:t xml:space="preserve"> I-IV, 4, </w:t>
      </w:r>
      <w:r>
        <w:t xml:space="preserve">ed. by E. Rubino (Florence: </w:t>
      </w:r>
      <w:r w:rsidRPr="001E72F8">
        <w:t>Sismel, Edizione del Galluzzo, 202</w:t>
      </w:r>
      <w:r>
        <w:t>1)</w:t>
      </w:r>
      <w:r w:rsidR="00BB1019">
        <w:t xml:space="preserve">; </w:t>
      </w:r>
      <w:r w:rsidR="00BB1019" w:rsidRPr="00BB1019">
        <w:t>Guillelm</w:t>
      </w:r>
      <w:r w:rsidR="00BB1019">
        <w:t>us</w:t>
      </w:r>
      <w:r w:rsidR="00BB1019" w:rsidRPr="00BB1019">
        <w:t xml:space="preserve"> de Morbeca </w:t>
      </w:r>
      <w:r w:rsidR="00BB1019" w:rsidRPr="00BB1019">
        <w:rPr>
          <w:i/>
          <w:iCs/>
        </w:rPr>
        <w:t>Geomantia. IV,5-VIII</w:t>
      </w:r>
      <w:r w:rsidR="00BB1019">
        <w:rPr>
          <w:i/>
          <w:iCs/>
        </w:rPr>
        <w:t>,</w:t>
      </w:r>
      <w:r w:rsidR="00BB1019" w:rsidRPr="001E72F8">
        <w:rPr>
          <w:i/>
          <w:iCs/>
        </w:rPr>
        <w:t xml:space="preserve"> </w:t>
      </w:r>
      <w:r w:rsidR="00BB1019">
        <w:t xml:space="preserve">ed. by E. Rubino (Florence: </w:t>
      </w:r>
      <w:r w:rsidR="00BB1019" w:rsidRPr="001E72F8">
        <w:t>Sismel, Edizione del Galluzzo,</w:t>
      </w:r>
      <w:r w:rsidR="00BB1019">
        <w:t xml:space="preserve"> 2023).</w:t>
      </w:r>
    </w:p>
  </w:footnote>
  <w:footnote w:id="185">
    <w:p w14:paraId="55EA77D0" w14:textId="16F3CD5A" w:rsidR="00244FB6" w:rsidRPr="00402A31" w:rsidRDefault="00244FB6" w:rsidP="00244FB6">
      <w:pPr>
        <w:pStyle w:val="FootnoteText"/>
        <w:ind w:firstLine="0"/>
      </w:pPr>
      <w:r w:rsidRPr="00402A31">
        <w:rPr>
          <w:rStyle w:val="FootnoteReference"/>
        </w:rPr>
        <w:footnoteRef/>
      </w:r>
      <w:r w:rsidRPr="00402A31">
        <w:t xml:space="preserve"> ‘Calidcinem’ could come from the Arabic ‘Khalid’ and ‘Sinān’ indicating Khālid b. Sinān b. Ghayth al-ʿAbsī, who has sometimes been identified as a prophet that lived before Muhammad. See Luke Yarbrough, “Khālid b. Sinān”, in </w:t>
      </w:r>
      <w:r w:rsidRPr="00402A31">
        <w:rPr>
          <w:i/>
          <w:iCs/>
        </w:rPr>
        <w:t>The Encyclopedia of Islam</w:t>
      </w:r>
      <w:r w:rsidRPr="00402A31">
        <w:t>, THREE, ed. by Kate Fleet, Gudrun Krämer, Denis Matringe, John Nawas, Everett Rowson (</w:t>
      </w:r>
      <w:r w:rsidR="003F735F">
        <w:t xml:space="preserve">Leiden: </w:t>
      </w:r>
      <w:r w:rsidRPr="00402A31">
        <w:t>Brill, 2020).</w:t>
      </w:r>
    </w:p>
  </w:footnote>
  <w:footnote w:id="186">
    <w:p w14:paraId="1F034367" w14:textId="670F516B" w:rsidR="00244FB6" w:rsidRPr="00402A31" w:rsidRDefault="00244FB6" w:rsidP="00244FB6">
      <w:pPr>
        <w:pStyle w:val="FootnoteText"/>
        <w:ind w:firstLine="0"/>
      </w:pPr>
      <w:r w:rsidRPr="00402A31">
        <w:rPr>
          <w:rStyle w:val="FootnoteReference"/>
        </w:rPr>
        <w:footnoteRef/>
      </w:r>
      <w:r w:rsidRPr="00402A31">
        <w:t xml:space="preserve"> Each of these possible variants - barbarians, berbers and al-Barbarī - makes sense in this context. ‘Barbarians’ could refer to the fact that Khālid b. Sinān was believed to be a prophet before Islam and therefore he would have preached to the barbarians, in the sense of people who had not already embraced a monotheistic religion. ‘Berbers’ makes sense as geomancy is </w:t>
      </w:r>
      <w:r w:rsidR="002C163D">
        <w:t xml:space="preserve">sometimes </w:t>
      </w:r>
      <w:r w:rsidRPr="00402A31">
        <w:t>believed to have arisen among Berber tribes</w:t>
      </w:r>
      <w:r w:rsidR="002C163D">
        <w:t xml:space="preserve"> </w:t>
      </w:r>
      <w:r w:rsidRPr="00402A31">
        <w:t xml:space="preserve">(see Stephen Skinner, </w:t>
      </w:r>
      <w:r w:rsidRPr="00402A31">
        <w:rPr>
          <w:i/>
          <w:iCs/>
        </w:rPr>
        <w:t>Geomancy in Theory and Practice</w:t>
      </w:r>
      <w:r w:rsidRPr="00402A31">
        <w:t xml:space="preserve"> (</w:t>
      </w:r>
      <w:r w:rsidR="002C163D" w:rsidRPr="002C163D">
        <w:t>Singapore: Golden Hoard Press, 2011</w:t>
      </w:r>
      <w:r w:rsidRPr="00402A31">
        <w:t>), 58</w:t>
      </w:r>
      <w:r w:rsidR="00DA0A2C">
        <w:t>)</w:t>
      </w:r>
      <w:r w:rsidRPr="00402A31">
        <w:t xml:space="preserve">; </w:t>
      </w:r>
      <w:r w:rsidR="00BA0090">
        <w:t xml:space="preserve">finally, </w:t>
      </w:r>
      <w:r w:rsidRPr="00402A31">
        <w:t>‘al-</w:t>
      </w:r>
      <w:bookmarkStart w:id="58" w:name="_Hlk66732367"/>
      <w:r w:rsidRPr="00402A31">
        <w:t>Barbarī</w:t>
      </w:r>
      <w:bookmarkEnd w:id="58"/>
      <w:r w:rsidRPr="00402A31">
        <w:t xml:space="preserve">’ </w:t>
      </w:r>
      <w:r w:rsidR="00BA0090">
        <w:t>could refer to</w:t>
      </w:r>
      <w:r w:rsidRPr="00402A31">
        <w:t xml:space="preserve"> Ḥalaf al-Barbari</w:t>
      </w:r>
      <w:r w:rsidR="0094594F">
        <w:t xml:space="preserve"> which</w:t>
      </w:r>
      <w:r w:rsidRPr="00402A31">
        <w:t xml:space="preserve"> is among the figures enumerated in the primordial chain of transmission of geomancy</w:t>
      </w:r>
      <w:r>
        <w:t xml:space="preserve">. </w:t>
      </w:r>
      <w:r w:rsidRPr="00402A31">
        <w:t>According to the tradition al- Barbarī travels to India where he learns geomancy from the legendary Tumtum</w:t>
      </w:r>
      <w:r w:rsidR="005A1128">
        <w:t>.</w:t>
      </w:r>
      <w:r w:rsidRPr="00402A31">
        <w:t xml:space="preserve"> See Skinner, </w:t>
      </w:r>
      <w:r w:rsidRPr="00402A31">
        <w:rPr>
          <w:i/>
          <w:iCs/>
        </w:rPr>
        <w:t>Geomancy in Theory and Practice</w:t>
      </w:r>
      <w:r w:rsidRPr="00402A31">
        <w:t>, 56-57.</w:t>
      </w:r>
    </w:p>
  </w:footnote>
  <w:footnote w:id="187">
    <w:p w14:paraId="685F7DB8" w14:textId="73024B3B" w:rsidR="00244FB6" w:rsidRDefault="00244FB6" w:rsidP="00244FB6">
      <w:pPr>
        <w:pStyle w:val="FootnoteText"/>
        <w:ind w:firstLine="0"/>
      </w:pPr>
      <w:r>
        <w:rPr>
          <w:rStyle w:val="FootnoteReference"/>
        </w:rPr>
        <w:footnoteRef/>
      </w:r>
      <w:r>
        <w:t xml:space="preserve"> A passage on the employment of sand is present in </w:t>
      </w:r>
      <w:r w:rsidRPr="00DC2A7B">
        <w:t>Oxford, Bodleian Library, Rawlinson D.1227</w:t>
      </w:r>
      <w:r>
        <w:t xml:space="preserve">, but is omitted in the lectio of Cambridge. </w:t>
      </w:r>
      <w:r w:rsidRPr="00350EF7">
        <w:t xml:space="preserve">See footnote </w:t>
      </w:r>
      <w:r w:rsidR="00350EF7" w:rsidRPr="00350EF7">
        <w:t>685</w:t>
      </w:r>
      <w:r w:rsidRPr="00350EF7">
        <w:t xml:space="preserve"> in the transcription of the </w:t>
      </w:r>
      <w:r w:rsidRPr="00350EF7">
        <w:rPr>
          <w:i/>
          <w:iCs/>
        </w:rPr>
        <w:t>Liber arenalis scientiae</w:t>
      </w:r>
      <w:r w:rsidRPr="00350EF7">
        <w:t>, Appendix 3, p</w:t>
      </w:r>
      <w:r w:rsidR="00350EF7">
        <w:t>. 258.</w:t>
      </w:r>
    </w:p>
  </w:footnote>
  <w:footnote w:id="188">
    <w:p w14:paraId="3266FA8C" w14:textId="38D4796C" w:rsidR="00244FB6" w:rsidRPr="00402A31" w:rsidRDefault="00244FB6" w:rsidP="00244FB6">
      <w:pPr>
        <w:pStyle w:val="FootnoteText"/>
        <w:ind w:firstLine="0"/>
      </w:pPr>
      <w:r w:rsidRPr="00402A31">
        <w:rPr>
          <w:rStyle w:val="FootnoteReference"/>
        </w:rPr>
        <w:footnoteRef/>
      </w:r>
      <w:r w:rsidRPr="00402A31">
        <w:t xml:space="preserve"> Charmasson,</w:t>
      </w:r>
      <w:r w:rsidRPr="00402A31">
        <w:rPr>
          <w:i/>
          <w:iCs/>
        </w:rPr>
        <w:t xml:space="preserve"> Recherces sur une technique divinatoire</w:t>
      </w:r>
      <w:r w:rsidRPr="00402A31">
        <w:t>, 74-77; Emilie Savage-Smith and Marion B. Smith</w:t>
      </w:r>
      <w:r w:rsidRPr="00402A31">
        <w:rPr>
          <w:i/>
          <w:iCs/>
        </w:rPr>
        <w:t>, Islamic Geomancy and a Thirteenth Century Divinatory Device</w:t>
      </w:r>
      <w:r w:rsidRPr="00402A31">
        <w:t xml:space="preserve"> (Malibu: Undena Press, 1980), 32-33; Skinner, </w:t>
      </w:r>
      <w:r w:rsidRPr="00402A31">
        <w:rPr>
          <w:i/>
          <w:iCs/>
        </w:rPr>
        <w:t>Geomancy in Theory and Practice</w:t>
      </w:r>
      <w:r w:rsidRPr="00402A31">
        <w:t>, 78.</w:t>
      </w:r>
    </w:p>
  </w:footnote>
  <w:footnote w:id="189">
    <w:p w14:paraId="33A6AC9E" w14:textId="79FA1A04" w:rsidR="00244FB6" w:rsidRPr="00402A31" w:rsidRDefault="00244FB6" w:rsidP="00244FB6">
      <w:pPr>
        <w:pStyle w:val="FootnoteText"/>
        <w:ind w:firstLine="0"/>
      </w:pPr>
      <w:r w:rsidRPr="00402A31">
        <w:rPr>
          <w:rStyle w:val="FootnoteReference"/>
        </w:rPr>
        <w:footnoteRef/>
      </w:r>
      <w:r w:rsidRPr="00402A31">
        <w:t xml:space="preserve"> As in the </w:t>
      </w:r>
      <w:r w:rsidRPr="00402A31">
        <w:rPr>
          <w:i/>
          <w:iCs/>
        </w:rPr>
        <w:t>Prologus</w:t>
      </w:r>
      <w:r w:rsidRPr="00402A31">
        <w:t xml:space="preserve"> of the </w:t>
      </w:r>
      <w:r w:rsidRPr="00402A31">
        <w:rPr>
          <w:i/>
          <w:iCs/>
        </w:rPr>
        <w:t>Ars Geomantiae</w:t>
      </w:r>
      <w:r w:rsidRPr="00402A31">
        <w:t xml:space="preserve"> of Hugo Sanctelliensis, in Pasquale Arfé, </w:t>
      </w:r>
      <w:r w:rsidR="004C23B2">
        <w:t>‘</w:t>
      </w:r>
      <w:r w:rsidRPr="00402A31">
        <w:t xml:space="preserve">Le dimore delle stelle nel </w:t>
      </w:r>
      <w:r w:rsidRPr="00402A31">
        <w:rPr>
          <w:i/>
          <w:iCs/>
        </w:rPr>
        <w:t>Prologus super Artem geomantiae</w:t>
      </w:r>
      <w:r w:rsidRPr="00402A31">
        <w:t xml:space="preserve"> di Ugo di Santalla</w:t>
      </w:r>
      <w:r w:rsidR="004C23B2">
        <w:t>’</w:t>
      </w:r>
      <w:r w:rsidRPr="00402A31">
        <w:t>, 66.</w:t>
      </w:r>
    </w:p>
  </w:footnote>
  <w:footnote w:id="190">
    <w:p w14:paraId="3C934E17" w14:textId="4415973A" w:rsidR="00957D27" w:rsidRDefault="00957D27" w:rsidP="00957D27">
      <w:pPr>
        <w:pStyle w:val="FootnoteText"/>
        <w:ind w:firstLine="0"/>
      </w:pPr>
      <w:r>
        <w:rPr>
          <w:rStyle w:val="FootnoteReference"/>
        </w:rPr>
        <w:footnoteRef/>
      </w:r>
      <w:r>
        <w:t xml:space="preserve">  </w:t>
      </w:r>
      <w:r w:rsidRPr="00896373">
        <w:t>Appendix 3, p</w:t>
      </w:r>
      <w:r w:rsidR="00896373" w:rsidRPr="00896373">
        <w:t>assage 4.</w:t>
      </w:r>
    </w:p>
  </w:footnote>
  <w:footnote w:id="191">
    <w:p w14:paraId="225835CB" w14:textId="57A40F8D" w:rsidR="005A6688" w:rsidRDefault="005A6688" w:rsidP="005A6688">
      <w:pPr>
        <w:pStyle w:val="FootnoteText"/>
        <w:ind w:firstLine="0"/>
      </w:pPr>
      <w:r>
        <w:rPr>
          <w:rStyle w:val="FootnoteReference"/>
        </w:rPr>
        <w:footnoteRef/>
      </w:r>
      <w:r>
        <w:t xml:space="preserve"> Appendix 3, passage 14. </w:t>
      </w:r>
    </w:p>
  </w:footnote>
  <w:footnote w:id="192">
    <w:p w14:paraId="1C39087C" w14:textId="5B7E726F" w:rsidR="00244FB6" w:rsidRPr="00402A31" w:rsidRDefault="00244FB6" w:rsidP="00244FB6">
      <w:pPr>
        <w:pStyle w:val="FootnoteText"/>
        <w:ind w:firstLine="0"/>
        <w:rPr>
          <w:lang w:val="fr-FR"/>
        </w:rPr>
      </w:pPr>
      <w:r w:rsidRPr="00402A31">
        <w:rPr>
          <w:rStyle w:val="FootnoteReference"/>
        </w:rPr>
        <w:footnoteRef/>
      </w:r>
      <w:r w:rsidRPr="00402A31">
        <w:rPr>
          <w:lang w:val="fr-FR"/>
        </w:rPr>
        <w:t xml:space="preserve"> Charmasson, </w:t>
      </w:r>
      <w:r w:rsidRPr="00402A31">
        <w:rPr>
          <w:i/>
          <w:iCs/>
        </w:rPr>
        <w:t>Recherces sur une technique divinatoire</w:t>
      </w:r>
      <w:r w:rsidRPr="00402A31">
        <w:rPr>
          <w:lang w:val="fr-FR"/>
        </w:rPr>
        <w:t>, 25-27.</w:t>
      </w:r>
    </w:p>
  </w:footnote>
  <w:footnote w:id="193">
    <w:p w14:paraId="530743C7" w14:textId="0D5270B4" w:rsidR="00244FB6" w:rsidRDefault="00244FB6" w:rsidP="00244FB6">
      <w:pPr>
        <w:pStyle w:val="FootnoteText"/>
        <w:ind w:firstLine="0"/>
      </w:pPr>
      <w:r>
        <w:rPr>
          <w:rStyle w:val="FootnoteReference"/>
        </w:rPr>
        <w:footnoteRef/>
      </w:r>
      <w:r>
        <w:t xml:space="preserve"> </w:t>
      </w:r>
      <w:r w:rsidRPr="00363A10">
        <w:t xml:space="preserve">Appendix 3, </w:t>
      </w:r>
      <w:r w:rsidR="00363A10">
        <w:t>passage 15.</w:t>
      </w:r>
    </w:p>
  </w:footnote>
  <w:footnote w:id="194">
    <w:p w14:paraId="58C0151D" w14:textId="62571987" w:rsidR="00244FB6" w:rsidRDefault="00244FB6" w:rsidP="00244FB6">
      <w:pPr>
        <w:pStyle w:val="FootnoteText"/>
        <w:ind w:firstLine="0"/>
      </w:pPr>
      <w:r>
        <w:rPr>
          <w:rStyle w:val="FootnoteReference"/>
        </w:rPr>
        <w:footnoteRef/>
      </w:r>
      <w:r>
        <w:t xml:space="preserve"> </w:t>
      </w:r>
      <w:r w:rsidRPr="00C2148D">
        <w:t>Appendix 3, pa</w:t>
      </w:r>
      <w:r w:rsidR="00C2148D" w:rsidRPr="00C2148D">
        <w:t>ssage 25.</w:t>
      </w:r>
    </w:p>
  </w:footnote>
  <w:footnote w:id="195">
    <w:p w14:paraId="5BF6E1FC" w14:textId="43D7784D" w:rsidR="00244FB6" w:rsidRDefault="00244FB6" w:rsidP="00244FB6">
      <w:pPr>
        <w:pStyle w:val="FootnoteText"/>
        <w:ind w:firstLine="0"/>
      </w:pPr>
      <w:r>
        <w:rPr>
          <w:rStyle w:val="FootnoteReference"/>
        </w:rPr>
        <w:footnoteRef/>
      </w:r>
      <w:r>
        <w:t xml:space="preserve"> </w:t>
      </w:r>
      <w:r w:rsidRPr="00C2148D">
        <w:t>Appendix 3, pa</w:t>
      </w:r>
      <w:r w:rsidR="00C2148D" w:rsidRPr="00C2148D">
        <w:t>ssage 27</w:t>
      </w:r>
      <w:r w:rsidR="00C2148D">
        <w:t>.</w:t>
      </w:r>
    </w:p>
  </w:footnote>
  <w:footnote w:id="196">
    <w:p w14:paraId="29486254" w14:textId="75471AAE" w:rsidR="00244FB6" w:rsidRDefault="00244FB6" w:rsidP="00244FB6">
      <w:pPr>
        <w:pStyle w:val="FootnoteText"/>
        <w:ind w:firstLine="0"/>
      </w:pPr>
      <w:r>
        <w:rPr>
          <w:rStyle w:val="FootnoteReference"/>
        </w:rPr>
        <w:footnoteRef/>
      </w:r>
      <w:r>
        <w:t xml:space="preserve"> </w:t>
      </w:r>
      <w:r w:rsidRPr="00C2148D">
        <w:t>Appendix 3, pa</w:t>
      </w:r>
      <w:r w:rsidR="00C2148D" w:rsidRPr="00C2148D">
        <w:t>ssage</w:t>
      </w:r>
      <w:r w:rsidR="00C2148D">
        <w:t xml:space="preserve"> 30.</w:t>
      </w:r>
    </w:p>
  </w:footnote>
  <w:footnote w:id="197">
    <w:p w14:paraId="58F10BED" w14:textId="20EC490E" w:rsidR="00244FB6" w:rsidRDefault="00244FB6" w:rsidP="00244FB6">
      <w:pPr>
        <w:pStyle w:val="FootnoteText"/>
        <w:ind w:firstLine="0"/>
      </w:pPr>
      <w:r>
        <w:rPr>
          <w:rStyle w:val="FootnoteReference"/>
        </w:rPr>
        <w:footnoteRef/>
      </w:r>
      <w:r>
        <w:t xml:space="preserve"> </w:t>
      </w:r>
      <w:r w:rsidRPr="00F22EEC">
        <w:t>Appendix 3, pa</w:t>
      </w:r>
      <w:r w:rsidR="00F22EEC" w:rsidRPr="00F22EEC">
        <w:t>ssage 31.</w:t>
      </w:r>
    </w:p>
  </w:footnote>
  <w:footnote w:id="198">
    <w:p w14:paraId="32637404" w14:textId="7B83C31F" w:rsidR="00244FB6" w:rsidRDefault="00244FB6" w:rsidP="00244FB6">
      <w:pPr>
        <w:pStyle w:val="FootnoteText"/>
        <w:ind w:firstLine="0"/>
      </w:pPr>
      <w:r>
        <w:rPr>
          <w:rStyle w:val="FootnoteReference"/>
        </w:rPr>
        <w:footnoteRef/>
      </w:r>
      <w:r>
        <w:t xml:space="preserve"> </w:t>
      </w:r>
      <w:r w:rsidRPr="00BB0C7D">
        <w:t>Appendix 3, pa</w:t>
      </w:r>
      <w:r w:rsidR="00BB0C7D" w:rsidRPr="00BB0C7D">
        <w:t>ssage</w:t>
      </w:r>
      <w:r w:rsidR="00BB0C7D">
        <w:t xml:space="preserve"> 33</w:t>
      </w:r>
      <w:r>
        <w:t>: “</w:t>
      </w:r>
      <w:r w:rsidRPr="00456AD5">
        <w:rPr>
          <w:lang w:val="it-IT"/>
        </w:rPr>
        <w:t>De hac enim ultima, que secundum ordinem figura &lt;decima&gt; oc</w:t>
      </w:r>
      <w:r>
        <w:rPr>
          <w:lang w:val="it-IT"/>
        </w:rPr>
        <w:t>tava</w:t>
      </w:r>
      <w:r w:rsidRPr="00456AD5">
        <w:rPr>
          <w:lang w:val="it-IT"/>
        </w:rPr>
        <w:t xml:space="preserve"> est, autor ipse in hiis verbis manifeste intelligit, non ut qu</w:t>
      </w:r>
      <w:r w:rsidR="00592AA8">
        <w:rPr>
          <w:lang w:val="it-IT"/>
        </w:rPr>
        <w:t>i</w:t>
      </w:r>
      <w:r w:rsidRPr="00456AD5">
        <w:rPr>
          <w:lang w:val="it-IT"/>
        </w:rPr>
        <w:t>dam volunt de XV, que iudex appellatur.</w:t>
      </w:r>
      <w:r>
        <w:rPr>
          <w:lang w:val="it-IT"/>
        </w:rPr>
        <w:t>”</w:t>
      </w:r>
    </w:p>
  </w:footnote>
  <w:footnote w:id="199">
    <w:p w14:paraId="2C668D07" w14:textId="6A23B42D" w:rsidR="00244FB6" w:rsidRDefault="00244FB6" w:rsidP="00244FB6">
      <w:pPr>
        <w:pStyle w:val="FootnoteText"/>
        <w:ind w:firstLine="0"/>
      </w:pPr>
      <w:r>
        <w:rPr>
          <w:rStyle w:val="FootnoteReference"/>
        </w:rPr>
        <w:footnoteRef/>
      </w:r>
      <w:r>
        <w:t xml:space="preserve"> </w:t>
      </w:r>
      <w:r w:rsidRPr="007B51E4">
        <w:t>Appendix 3, p</w:t>
      </w:r>
      <w:r w:rsidR="007B51E4" w:rsidRPr="007B51E4">
        <w:t>assage 38</w:t>
      </w:r>
      <w:r w:rsidRPr="007B51E4">
        <w:t>:  “Figure vero tres postreme, XIII, XIIII et XV, diligenter in omni iudicio sunt intuende. Due enim istarum prime vocantur testes duodecim domorum et rei quesite.”</w:t>
      </w:r>
    </w:p>
  </w:footnote>
  <w:footnote w:id="200">
    <w:p w14:paraId="753D1BA2" w14:textId="17C80451" w:rsidR="00244FB6" w:rsidRDefault="00244FB6" w:rsidP="00244FB6">
      <w:pPr>
        <w:pStyle w:val="FootnoteText"/>
        <w:ind w:firstLine="0"/>
      </w:pPr>
      <w:r>
        <w:rPr>
          <w:rStyle w:val="FootnoteReference"/>
        </w:rPr>
        <w:footnoteRef/>
      </w:r>
      <w:r>
        <w:t xml:space="preserve"> </w:t>
      </w:r>
      <w:r w:rsidRPr="009445BF">
        <w:t>Appendix 3, pa</w:t>
      </w:r>
      <w:r w:rsidR="009445BF" w:rsidRPr="009445BF">
        <w:t>ssage</w:t>
      </w:r>
      <w:r w:rsidR="009445BF">
        <w:t xml:space="preserve"> 38</w:t>
      </w:r>
      <w:r>
        <w:t xml:space="preserve">:  “ […] </w:t>
      </w:r>
      <w:r w:rsidRPr="003061A8">
        <w:t>et precipue XIII, que est testimonium in numero omnium, simile planete a cuius coniunctione vel respectu luna separatur. Innuit super radicem cogitationum et significat res preteritas.</w:t>
      </w:r>
      <w:r>
        <w:t>”</w:t>
      </w:r>
      <w:r w:rsidRPr="006912B7">
        <w:t xml:space="preserve"> </w:t>
      </w:r>
      <w:r>
        <w:t>I</w:t>
      </w:r>
      <w:r w:rsidRPr="00402A31">
        <w:t xml:space="preserve">n astrological interrogations the </w:t>
      </w:r>
      <w:r w:rsidRPr="00402A31">
        <w:rPr>
          <w:i/>
          <w:iCs/>
        </w:rPr>
        <w:t>radix</w:t>
      </w:r>
      <w:r w:rsidRPr="00402A31">
        <w:t xml:space="preserve"> indicates the horoscope of the client’s birth, which is compared with that of the time of the interrogation. See </w:t>
      </w:r>
      <w:r w:rsidRPr="00402A31">
        <w:rPr>
          <w:i/>
          <w:iCs/>
        </w:rPr>
        <w:t>Speculum Astronomiae,</w:t>
      </w:r>
      <w:r w:rsidRPr="00402A31">
        <w:t xml:space="preserve"> chapter fourteen, in Paola Zambelli, </w:t>
      </w:r>
      <w:r w:rsidRPr="00402A31">
        <w:rPr>
          <w:i/>
          <w:iCs/>
        </w:rPr>
        <w:t xml:space="preserve">The Speculum Astronomiae and its Enigma </w:t>
      </w:r>
      <w:r w:rsidRPr="00402A31">
        <w:t>(Dordrecht: Kluwer Academic Publishers, 1992), 261-267.</w:t>
      </w:r>
    </w:p>
  </w:footnote>
  <w:footnote w:id="201">
    <w:p w14:paraId="445A0ABD" w14:textId="75529E63" w:rsidR="00244FB6" w:rsidRDefault="00244FB6" w:rsidP="00244FB6">
      <w:pPr>
        <w:pStyle w:val="FootnoteText"/>
        <w:ind w:firstLine="0"/>
      </w:pPr>
      <w:r>
        <w:rPr>
          <w:rStyle w:val="FootnoteReference"/>
        </w:rPr>
        <w:footnoteRef/>
      </w:r>
      <w:r>
        <w:t xml:space="preserve"> </w:t>
      </w:r>
      <w:r w:rsidRPr="009445BF">
        <w:t>Appendix 3, p</w:t>
      </w:r>
      <w:r w:rsidR="009445BF" w:rsidRPr="009445BF">
        <w:t>assage</w:t>
      </w:r>
      <w:r w:rsidR="009445BF">
        <w:t xml:space="preserve"> 39</w:t>
      </w:r>
      <w:r>
        <w:t>: “</w:t>
      </w:r>
      <w:r w:rsidRPr="006E5E5A">
        <w:t>XIIII vero similis est planete ad cuius coniunctionem vel aspectum luna vadit. Hec autem innuit super res futuras.</w:t>
      </w:r>
      <w:r>
        <w:t>”</w:t>
      </w:r>
    </w:p>
  </w:footnote>
  <w:footnote w:id="202">
    <w:p w14:paraId="4D5ADC49" w14:textId="57A9293E" w:rsidR="00244FB6" w:rsidRPr="00402A31" w:rsidRDefault="00244FB6" w:rsidP="00244FB6">
      <w:pPr>
        <w:pStyle w:val="FootnoteText"/>
        <w:ind w:firstLine="0"/>
      </w:pPr>
      <w:r w:rsidRPr="00402A31">
        <w:rPr>
          <w:rStyle w:val="FootnoteReference"/>
        </w:rPr>
        <w:footnoteRef/>
      </w:r>
      <w:r w:rsidRPr="00402A31">
        <w:t xml:space="preserve"> </w:t>
      </w:r>
      <w:r w:rsidRPr="009445BF">
        <w:t>Appendix 3, pa</w:t>
      </w:r>
      <w:r w:rsidR="009445BF" w:rsidRPr="009445BF">
        <w:t>ssage</w:t>
      </w:r>
      <w:r w:rsidR="009445BF">
        <w:t xml:space="preserve"> 39</w:t>
      </w:r>
      <w:r>
        <w:t>: “</w:t>
      </w:r>
      <w:r w:rsidR="009445BF" w:rsidRPr="006E5E5A">
        <w:t>Quintadecima radix est totius sortis</w:t>
      </w:r>
      <w:r w:rsidRPr="006E5E5A">
        <w:t>, et certificatio interrogationis secundum XII domos</w:t>
      </w:r>
      <w:r>
        <w:t>.”</w:t>
      </w:r>
    </w:p>
  </w:footnote>
  <w:footnote w:id="203">
    <w:p w14:paraId="31C1BE61" w14:textId="77777777" w:rsidR="00244FB6" w:rsidRDefault="00244FB6" w:rsidP="00244FB6">
      <w:pPr>
        <w:pStyle w:val="FootnoteText"/>
        <w:ind w:firstLine="0"/>
      </w:pPr>
      <w:r>
        <w:rPr>
          <w:rStyle w:val="FootnoteReference"/>
        </w:rPr>
        <w:footnoteRef/>
      </w:r>
      <w:r>
        <w:t xml:space="preserve"> </w:t>
      </w:r>
      <w:r w:rsidRPr="00402A31">
        <w:t xml:space="preserve">This interpretation of the two witnesses and the judge is found very similar in Eugene Caslant, </w:t>
      </w:r>
      <w:r w:rsidRPr="00402A31">
        <w:rPr>
          <w:i/>
          <w:iCs/>
        </w:rPr>
        <w:t>Traité élémentaire de géomancie</w:t>
      </w:r>
      <w:r w:rsidRPr="00402A31">
        <w:t xml:space="preserve"> (Paris: Guy Trédaniel Éditeur, 1935), 50-51.</w:t>
      </w:r>
      <w:r>
        <w:t xml:space="preserve"> </w:t>
      </w:r>
    </w:p>
  </w:footnote>
  <w:footnote w:id="204">
    <w:p w14:paraId="70B14B41" w14:textId="77777777" w:rsidR="00244FB6" w:rsidRDefault="00244FB6" w:rsidP="00244FB6">
      <w:pPr>
        <w:pStyle w:val="FootnoteText"/>
        <w:ind w:firstLine="0"/>
      </w:pPr>
      <w:r>
        <w:rPr>
          <w:rStyle w:val="FootnoteReference"/>
        </w:rPr>
        <w:footnoteRef/>
      </w:r>
      <w:r>
        <w:t xml:space="preserve"> According to </w:t>
      </w:r>
      <w:r w:rsidRPr="00402A31">
        <w:t>Wim van Bisbergen while the simpler form of geomantic prognostic only takes into consideration the figure of the judge to decide the outcome of the inquiry, a more erudite and complex form of geomancy takes into consideration the whole geomantic theme where the geomantic figures are interpreted according to their position in the twelve astrological houses. See Wim van Bisbergen,</w:t>
      </w:r>
      <w:r>
        <w:t xml:space="preserve"> ‘</w:t>
      </w:r>
      <w:r w:rsidRPr="00402A31">
        <w:t>The Astrological Origin of Islamic Geomancy</w:t>
      </w:r>
      <w:r>
        <w:t>’</w:t>
      </w:r>
      <w:r w:rsidRPr="00402A31">
        <w:t>(1996), 10.</w:t>
      </w:r>
    </w:p>
  </w:footnote>
  <w:footnote w:id="205">
    <w:p w14:paraId="5CA0E968" w14:textId="0E41423C" w:rsidR="00244FB6" w:rsidRDefault="00244FB6" w:rsidP="00244FB6">
      <w:pPr>
        <w:pStyle w:val="FootnoteText"/>
        <w:ind w:firstLine="0"/>
      </w:pPr>
      <w:r>
        <w:rPr>
          <w:rStyle w:val="FootnoteReference"/>
        </w:rPr>
        <w:footnoteRef/>
      </w:r>
      <w:r>
        <w:t xml:space="preserve"> </w:t>
      </w:r>
      <w:r w:rsidRPr="00542528">
        <w:t>Appendix 3, p</w:t>
      </w:r>
      <w:r w:rsidR="00542528" w:rsidRPr="00542528">
        <w:t>assage 39</w:t>
      </w:r>
      <w:r>
        <w:t xml:space="preserve">: </w:t>
      </w:r>
      <w:r w:rsidR="007E56AF">
        <w:t>“ut in astronomia p</w:t>
      </w:r>
      <w:r w:rsidRPr="00AC4CBE">
        <w:t>eritorum huius artis quidam iudicant secundum primam et V, quoniam hec est prima matrum illa prima filiarum. Alii iudicant secundum primam et IIII, quoniam prima est causa initii, alia finis.</w:t>
      </w:r>
      <w:r>
        <w:t>”</w:t>
      </w:r>
    </w:p>
  </w:footnote>
  <w:footnote w:id="206">
    <w:p w14:paraId="24273118" w14:textId="29561325" w:rsidR="00244FB6" w:rsidRDefault="00244FB6" w:rsidP="00244FB6">
      <w:pPr>
        <w:pStyle w:val="FootnoteText"/>
        <w:ind w:firstLine="0"/>
      </w:pPr>
      <w:r>
        <w:rPr>
          <w:rStyle w:val="FootnoteReference"/>
        </w:rPr>
        <w:footnoteRef/>
      </w:r>
      <w:r>
        <w:t xml:space="preserve"> </w:t>
      </w:r>
      <w:r w:rsidRPr="00542528">
        <w:t>Appendix 3, pa</w:t>
      </w:r>
      <w:r w:rsidR="00542528" w:rsidRPr="00542528">
        <w:t>ssage</w:t>
      </w:r>
      <w:r w:rsidR="00542528">
        <w:t xml:space="preserve"> 40</w:t>
      </w:r>
      <w:r>
        <w:t>: “</w:t>
      </w:r>
      <w:r w:rsidRPr="0036504F">
        <w:t xml:space="preserve">Verum tantum  </w:t>
      </w:r>
      <w:r w:rsidR="00542528" w:rsidRPr="0036504F">
        <w:t>iudicium procedet si inspiciatur quotiens figura occurrerit</w:t>
      </w:r>
      <w:r w:rsidRPr="0036504F">
        <w:t>, et inspiciantur II testes et finis et secundam ipsas iudicetur</w:t>
      </w:r>
      <w:r>
        <w:t>.”</w:t>
      </w:r>
    </w:p>
  </w:footnote>
  <w:footnote w:id="207">
    <w:p w14:paraId="0E93384B" w14:textId="6B327AAF" w:rsidR="00244FB6" w:rsidRDefault="00244FB6" w:rsidP="00244FB6">
      <w:pPr>
        <w:pStyle w:val="FootnoteText"/>
        <w:ind w:firstLine="0"/>
      </w:pPr>
      <w:r>
        <w:rPr>
          <w:rStyle w:val="FootnoteReference"/>
        </w:rPr>
        <w:footnoteRef/>
      </w:r>
      <w:r>
        <w:t xml:space="preserve"> </w:t>
      </w:r>
      <w:r w:rsidRPr="00542528">
        <w:t>Appendix 3, p</w:t>
      </w:r>
      <w:r w:rsidR="00542528" w:rsidRPr="00542528">
        <w:t>assage</w:t>
      </w:r>
      <w:r w:rsidR="00542528">
        <w:t xml:space="preserve"> 41</w:t>
      </w:r>
      <w:r>
        <w:t>: “</w:t>
      </w:r>
      <w:r w:rsidR="00542528" w:rsidRPr="00A71F6F">
        <w:t>Si enim boni fuerint testes bonum proveniet de re quesita</w:t>
      </w:r>
      <w:r w:rsidRPr="00A71F6F">
        <w:t>. Hoc tamen considera: si ille due de bonis vel malis provenerint. Nam si de bono bo&lt;na&gt; erunt, eventus vero de malis econverso.</w:t>
      </w:r>
      <w:r>
        <w:t>”</w:t>
      </w:r>
    </w:p>
  </w:footnote>
  <w:footnote w:id="208">
    <w:p w14:paraId="40E34F2A" w14:textId="28F18B13" w:rsidR="00244FB6" w:rsidRDefault="00244FB6" w:rsidP="00244FB6">
      <w:pPr>
        <w:pStyle w:val="FootnoteText"/>
        <w:ind w:firstLine="0"/>
      </w:pPr>
      <w:r>
        <w:rPr>
          <w:rStyle w:val="FootnoteReference"/>
        </w:rPr>
        <w:footnoteRef/>
      </w:r>
      <w:r>
        <w:t xml:space="preserve"> </w:t>
      </w:r>
      <w:r w:rsidRPr="00542528">
        <w:t>Appendix 3, pa</w:t>
      </w:r>
      <w:r w:rsidR="00542528" w:rsidRPr="00542528">
        <w:t>ssage</w:t>
      </w:r>
      <w:r w:rsidR="00542528">
        <w:t xml:space="preserve"> 41</w:t>
      </w:r>
      <w:r>
        <w:t>: “</w:t>
      </w:r>
      <w:r w:rsidRPr="00A445B3">
        <w:t>Si vero predicti testes boni fuerint et de malis exierint, illarum malitia remittitur aliquantulum ex bonitate istarum, et econverso. Si vero predicti testes mali fuerint et de malis exierunt (lacuna ca. 4 litterarum) de malis et \de/ bonis et econverso</w:t>
      </w:r>
      <w:r w:rsidR="00725D73">
        <w:t>,</w:t>
      </w:r>
      <w:r w:rsidRPr="00A445B3">
        <w:t xml:space="preserve"> </w:t>
      </w:r>
      <w:r w:rsidR="00725D73">
        <w:t>c</w:t>
      </w:r>
      <w:r w:rsidRPr="00A445B3">
        <w:t>onversim signabunt a predictis, et hoc secundum illas de quibus exierunt, bene incipit et male de</w:t>
      </w:r>
      <w:r w:rsidR="00725D73">
        <w:t>s</w:t>
      </w:r>
      <w:r w:rsidRPr="00A445B3">
        <w:t>init, et econverso.</w:t>
      </w:r>
      <w:r>
        <w:t>”</w:t>
      </w:r>
    </w:p>
  </w:footnote>
  <w:footnote w:id="209">
    <w:p w14:paraId="6B60E7C1" w14:textId="4F2CC574" w:rsidR="00244FB6" w:rsidRDefault="00244FB6" w:rsidP="00244FB6">
      <w:pPr>
        <w:pStyle w:val="FootnoteText"/>
        <w:ind w:firstLine="0"/>
      </w:pPr>
      <w:r>
        <w:rPr>
          <w:rStyle w:val="FootnoteReference"/>
        </w:rPr>
        <w:footnoteRef/>
      </w:r>
      <w:r>
        <w:t xml:space="preserve"> </w:t>
      </w:r>
      <w:r w:rsidRPr="00542528">
        <w:t>Appendix 3, pa</w:t>
      </w:r>
      <w:r w:rsidR="00542528" w:rsidRPr="00542528">
        <w:t>ssage</w:t>
      </w:r>
      <w:r w:rsidR="00542528">
        <w:t xml:space="preserve"> 42</w:t>
      </w:r>
      <w:r>
        <w:t>: “</w:t>
      </w:r>
      <w:r w:rsidRPr="00AB1315">
        <w:t>Si vero prima bona fuerit, testes vero mali bonitas prime aliquantulum minuitur, sed omnino non destruit&lt;ur&gt;. Si autem prima exierunt mala testimonia aut bona, malitia prime testium bonitatem avertit. Nec hoc pretermittendum est: quoniam si exierint de bono et malo, quesitum negotium bene incipiet et male desinet. Si autem de malo et bono, conversim significabit a predictis.</w:t>
      </w:r>
      <w:r>
        <w:t>”</w:t>
      </w:r>
    </w:p>
  </w:footnote>
  <w:footnote w:id="210">
    <w:p w14:paraId="7FA7CDB9" w14:textId="6F43EB29" w:rsidR="00244FB6" w:rsidRDefault="00244FB6" w:rsidP="00244FB6">
      <w:pPr>
        <w:pStyle w:val="FootnoteText"/>
        <w:ind w:firstLine="0"/>
      </w:pPr>
      <w:r>
        <w:rPr>
          <w:rStyle w:val="FootnoteReference"/>
        </w:rPr>
        <w:footnoteRef/>
      </w:r>
      <w:r>
        <w:t xml:space="preserve"> </w:t>
      </w:r>
      <w:r w:rsidRPr="009730EA">
        <w:t>Appendix 3, pa</w:t>
      </w:r>
      <w:r w:rsidR="009730EA" w:rsidRPr="009730EA">
        <w:t>ssage</w:t>
      </w:r>
      <w:r w:rsidR="009730EA">
        <w:t xml:space="preserve"> 43</w:t>
      </w:r>
      <w:r>
        <w:t>:</w:t>
      </w:r>
      <w:r w:rsidRPr="005E3FAC">
        <w:t xml:space="preserve"> </w:t>
      </w:r>
      <w:r>
        <w:t>“</w:t>
      </w:r>
      <w:r w:rsidRPr="005E3FAC">
        <w:t>Consideranda est etiam XVa: utrum bona fuerit vel mala, id est si a bonis vel malis, et a quibus exierit et iuxta rationem predictam iudicar</w:t>
      </w:r>
      <w:r w:rsidR="00463EA1">
        <w:t>e</w:t>
      </w:r>
      <w:r w:rsidRPr="005E3FAC">
        <w:t xml:space="preserve"> poteris.</w:t>
      </w:r>
      <w:r>
        <w:t>”</w:t>
      </w:r>
    </w:p>
  </w:footnote>
  <w:footnote w:id="211">
    <w:p w14:paraId="638C20B9" w14:textId="2A813BB7" w:rsidR="00244FB6" w:rsidRDefault="00244FB6" w:rsidP="00244FB6">
      <w:pPr>
        <w:pStyle w:val="FootnoteText"/>
        <w:ind w:firstLine="0"/>
      </w:pPr>
      <w:r w:rsidRPr="00402A31">
        <w:rPr>
          <w:rStyle w:val="FootnoteReference"/>
        </w:rPr>
        <w:footnoteRef/>
      </w:r>
      <w:r w:rsidRPr="00402A31">
        <w:t xml:space="preserve"> </w:t>
      </w:r>
      <w:r w:rsidRPr="009730EA">
        <w:t>Appendix 3, pa</w:t>
      </w:r>
      <w:r w:rsidR="009730EA" w:rsidRPr="009730EA">
        <w:t>ssage</w:t>
      </w:r>
      <w:r w:rsidR="009730EA">
        <w:t xml:space="preserve"> 44</w:t>
      </w:r>
      <w:r>
        <w:t>:</w:t>
      </w:r>
      <w:r w:rsidRPr="005E3FAC">
        <w:t xml:space="preserve"> </w:t>
      </w:r>
      <w:r>
        <w:t>“</w:t>
      </w:r>
      <w:r w:rsidRPr="00D24AE0">
        <w:t xml:space="preserve">Hec sunt regule quas excepit aephatan sapiens astronomicus cum quibus operatus est in vita sua et post illum arabes </w:t>
      </w:r>
      <w:r w:rsidRPr="00683347">
        <w:t>usion(?)</w:t>
      </w:r>
      <w:r w:rsidRPr="00D24AE0">
        <w:t xml:space="preserve"> et egiptii ceterique sapientes.</w:t>
      </w:r>
      <w:r>
        <w:t>”</w:t>
      </w:r>
      <w:r w:rsidRPr="00402A31">
        <w:t>.</w:t>
      </w:r>
    </w:p>
  </w:footnote>
  <w:footnote w:id="212">
    <w:p w14:paraId="11D0566A" w14:textId="6F3F787B" w:rsidR="00244FB6" w:rsidRDefault="00244FB6" w:rsidP="00244FB6">
      <w:pPr>
        <w:pStyle w:val="FootnoteText"/>
        <w:ind w:firstLine="0"/>
      </w:pPr>
      <w:r>
        <w:rPr>
          <w:rStyle w:val="FootnoteReference"/>
        </w:rPr>
        <w:footnoteRef/>
      </w:r>
      <w:r>
        <w:t xml:space="preserve"> </w:t>
      </w:r>
      <w:r w:rsidRPr="009730EA">
        <w:t>Appendix 3, p</w:t>
      </w:r>
      <w:r w:rsidR="009730EA" w:rsidRPr="009730EA">
        <w:t>assage</w:t>
      </w:r>
      <w:r w:rsidR="009730EA">
        <w:t xml:space="preserve"> 44</w:t>
      </w:r>
      <w:r>
        <w:t>: “</w:t>
      </w:r>
      <w:r w:rsidRPr="00E6007C">
        <w:t>Iste sunt IIIIor regule que te docebunt quid velint vel quid cogitant homines</w:t>
      </w:r>
      <w:r>
        <w:t xml:space="preserve"> p</w:t>
      </w:r>
      <w:r w:rsidRPr="00E6007C">
        <w:t>rius t&lt;amen&gt;</w:t>
      </w:r>
      <w:r w:rsidR="00E6655E">
        <w:t xml:space="preserve"> (</w:t>
      </w:r>
      <w:r w:rsidR="00E6655E" w:rsidRPr="00E6655E">
        <w:rPr>
          <w:i/>
          <w:iCs/>
        </w:rPr>
        <w:t>sic</w:t>
      </w:r>
      <w:r w:rsidR="00E6655E">
        <w:t>. quam)</w:t>
      </w:r>
      <w:r w:rsidRPr="00E6007C">
        <w:t xml:space="preserve">  manifestum sit quid in corde teneatur.</w:t>
      </w:r>
      <w:r>
        <w:t>”</w:t>
      </w:r>
    </w:p>
  </w:footnote>
  <w:footnote w:id="213">
    <w:p w14:paraId="008FE7FE" w14:textId="2612F9FC" w:rsidR="00244FB6" w:rsidRDefault="00244FB6" w:rsidP="00244FB6">
      <w:pPr>
        <w:pStyle w:val="FootnoteText"/>
        <w:ind w:firstLine="0"/>
      </w:pPr>
      <w:r>
        <w:rPr>
          <w:rStyle w:val="FootnoteReference"/>
        </w:rPr>
        <w:footnoteRef/>
      </w:r>
      <w:r>
        <w:t xml:space="preserve">  </w:t>
      </w:r>
      <w:r w:rsidRPr="002973A6">
        <w:t>Appendix 3, pa</w:t>
      </w:r>
      <w:r w:rsidR="002973A6" w:rsidRPr="002973A6">
        <w:t>ssage 47</w:t>
      </w:r>
      <w:r w:rsidRPr="002973A6">
        <w:t>:</w:t>
      </w:r>
      <w:r>
        <w:t xml:space="preserve"> “</w:t>
      </w:r>
      <w:r w:rsidRPr="006A6AF6">
        <w:t xml:space="preserve">De significatione fortune minoris. Si exierint duo inparia et duo paria ut hic (1122), ipse inquirit pro itinere vel pro mutatione domus, [vel] de loco ad locum, et est in omni re bonum. Si dixerit: ‘Nolo istud facere quod dicis’, dic ei: </w:t>
      </w:r>
      <w:r w:rsidR="00E6655E">
        <w:t>‘</w:t>
      </w:r>
      <w:r w:rsidRPr="006A6AF6">
        <w:t>Tu interrogas me pro homine qui exierit a te, et queris illud separare a te, sicut est mulier vel serviens, vel animal, aut pro persona que non revertetur. Et ad presens aliquid perdes, et infirmus quem habes manibus infirmatur, et homo qui a te exiverit mare transfretavit qui et longam faciet moram, et omnia que queris accipere grave tibi evenient et in loco in quo dubitas milites ibi tecum sunt et inimici. Custodi animam tuam.</w:t>
      </w:r>
      <w:r w:rsidR="00E6655E">
        <w:t>’</w:t>
      </w:r>
      <w:r>
        <w:t>”</w:t>
      </w:r>
    </w:p>
  </w:footnote>
  <w:footnote w:id="214">
    <w:p w14:paraId="2BC3B9B1" w14:textId="37459686" w:rsidR="00244FB6" w:rsidRDefault="00244FB6" w:rsidP="00244FB6">
      <w:pPr>
        <w:pStyle w:val="FootnoteText"/>
        <w:ind w:firstLine="0"/>
      </w:pPr>
      <w:r>
        <w:rPr>
          <w:rStyle w:val="FootnoteReference"/>
        </w:rPr>
        <w:footnoteRef/>
      </w:r>
      <w:r>
        <w:t xml:space="preserve"> </w:t>
      </w:r>
      <w:r w:rsidRPr="00636708">
        <w:t>Appendix 3, pa</w:t>
      </w:r>
      <w:r w:rsidR="002973A6" w:rsidRPr="00636708">
        <w:t>ssage</w:t>
      </w:r>
      <w:r w:rsidR="002973A6">
        <w:t xml:space="preserve"> 48</w:t>
      </w:r>
      <w:r>
        <w:t>:</w:t>
      </w:r>
      <w:r w:rsidRPr="006A6AF6">
        <w:t xml:space="preserve"> </w:t>
      </w:r>
      <w:r>
        <w:t>“</w:t>
      </w:r>
      <w:r w:rsidRPr="006A6AF6">
        <w:t>De significatione capitis alti. Si ceciderit hec sors (1222), interrogat pro patre qui ab eo recessit, vel avunculo, vel pro servo quem queris vendere vel a se separare, bonum est iter agere, hominem qui recessit tarde revertetur, et rem quam vendere queris bonum, et quicquid petis cito habebis, bonum est vendere vel iter arripere, et infirmus moveat se de loco ad locum et sanabitur. Mulier pariet filiam et quicumque ex manu tua exibunt non redibunt, Deus novit plus quam ego.</w:t>
      </w:r>
      <w:r>
        <w:t>”</w:t>
      </w:r>
    </w:p>
  </w:footnote>
  <w:footnote w:id="215">
    <w:p w14:paraId="3D849E27" w14:textId="15F55B10" w:rsidR="00244FB6" w:rsidRDefault="00244FB6" w:rsidP="00244FB6">
      <w:pPr>
        <w:pStyle w:val="FootnoteText"/>
        <w:ind w:firstLine="0"/>
      </w:pPr>
      <w:r>
        <w:rPr>
          <w:rStyle w:val="FootnoteReference"/>
        </w:rPr>
        <w:footnoteRef/>
      </w:r>
      <w:r>
        <w:t xml:space="preserve"> </w:t>
      </w:r>
      <w:r w:rsidRPr="00A60C97">
        <w:t>Cambridge, Magdalene College, F.4.27</w:t>
      </w:r>
      <w:r w:rsidR="00025414">
        <w:t xml:space="preserve">, </w:t>
      </w:r>
      <w:r>
        <w:t>1r: “</w:t>
      </w:r>
      <w:r w:rsidRPr="00A60C97">
        <w:t>Hec est geomancia indenea que vocatur filia astronomie</w:t>
      </w:r>
      <w:r w:rsidR="006061A8">
        <w:t>.</w:t>
      </w:r>
      <w:r>
        <w:t>”</w:t>
      </w:r>
    </w:p>
  </w:footnote>
  <w:footnote w:id="216">
    <w:p w14:paraId="23B40C9F" w14:textId="5878D146" w:rsidR="00244FB6" w:rsidRDefault="00244FB6" w:rsidP="00244FB6">
      <w:pPr>
        <w:pStyle w:val="FootnoteText"/>
        <w:ind w:firstLine="0"/>
      </w:pPr>
      <w:r>
        <w:rPr>
          <w:rStyle w:val="FootnoteReference"/>
        </w:rPr>
        <w:footnoteRef/>
      </w:r>
      <w:r>
        <w:t xml:space="preserve"> </w:t>
      </w:r>
      <w:r w:rsidRPr="00477BAD">
        <w:rPr>
          <w:lang w:val="it-IT"/>
        </w:rPr>
        <w:t xml:space="preserve">Pietro d’Abano, </w:t>
      </w:r>
      <w:r w:rsidRPr="00477BAD">
        <w:rPr>
          <w:i/>
          <w:iCs/>
          <w:lang w:val="it-IT"/>
        </w:rPr>
        <w:t>Comincia la geomantia di Pietro d</w:t>
      </w:r>
      <w:r w:rsidR="009C465A">
        <w:rPr>
          <w:i/>
          <w:iCs/>
          <w:lang w:val="it-IT"/>
        </w:rPr>
        <w:t>’</w:t>
      </w:r>
      <w:r w:rsidRPr="00477BAD">
        <w:rPr>
          <w:i/>
          <w:iCs/>
          <w:lang w:val="it-IT"/>
        </w:rPr>
        <w:t>Abano: tr</w:t>
      </w:r>
      <w:r w:rsidR="00394646">
        <w:rPr>
          <w:i/>
          <w:iCs/>
          <w:lang w:val="it-IT"/>
        </w:rPr>
        <w:t>adotta</w:t>
      </w:r>
      <w:r w:rsidRPr="00477BAD">
        <w:rPr>
          <w:i/>
          <w:iCs/>
          <w:lang w:val="it-IT"/>
        </w:rPr>
        <w:t xml:space="preserve"> di lattina lingua nel volgare idioma</w:t>
      </w:r>
      <w:r w:rsidRPr="00477BAD">
        <w:rPr>
          <w:lang w:val="it-IT"/>
        </w:rPr>
        <w:t xml:space="preserve"> (Venice: per Curtio Troiano dei Navò, 1556)</w:t>
      </w:r>
      <w:r>
        <w:rPr>
          <w:lang w:val="it-IT"/>
        </w:rPr>
        <w:t>,</w:t>
      </w:r>
      <w:r w:rsidRPr="00477BAD">
        <w:rPr>
          <w:lang w:val="it-IT"/>
        </w:rPr>
        <w:t xml:space="preserve"> </w:t>
      </w:r>
      <w:r>
        <w:rPr>
          <w:lang w:val="it-IT"/>
        </w:rPr>
        <w:t>2</w:t>
      </w:r>
      <w:r w:rsidRPr="00477BAD">
        <w:rPr>
          <w:lang w:val="it-IT"/>
        </w:rPr>
        <w:t>: “Non è altro la geomantia, che una vera scientia viccaria, et sottoposta alla astrologia, per la quale si da a conoscere il fine, et effetto delle cose, che s’hanno ad operare con lo ausilio delli celesti influssi senza il mezo de quali niuno vero giudicio a perfetta cognizione ridur si può</w:t>
      </w:r>
      <w:r>
        <w:t>.”</w:t>
      </w:r>
    </w:p>
  </w:footnote>
  <w:footnote w:id="217">
    <w:p w14:paraId="4D54EA0E" w14:textId="265E5E22" w:rsidR="00244FB6" w:rsidRPr="00B66690" w:rsidRDefault="00244FB6" w:rsidP="00244FB6">
      <w:pPr>
        <w:pStyle w:val="FootnoteText"/>
        <w:ind w:firstLine="0"/>
      </w:pPr>
      <w:r>
        <w:rPr>
          <w:rStyle w:val="FootnoteReference"/>
        </w:rPr>
        <w:footnoteRef/>
      </w:r>
      <w:r>
        <w:t xml:space="preserve"> </w:t>
      </w:r>
      <w:r w:rsidRPr="00477BAD">
        <w:rPr>
          <w:lang w:val="it-IT"/>
        </w:rPr>
        <w:t xml:space="preserve">Pietro d’Abano, </w:t>
      </w:r>
      <w:r w:rsidRPr="00477BAD">
        <w:rPr>
          <w:i/>
          <w:iCs/>
          <w:lang w:val="it-IT"/>
        </w:rPr>
        <w:t>Comincia la geomantia di Pietro d</w:t>
      </w:r>
      <w:r w:rsidR="000F7C99">
        <w:rPr>
          <w:i/>
          <w:iCs/>
          <w:lang w:val="it-IT"/>
        </w:rPr>
        <w:t>’</w:t>
      </w:r>
      <w:r w:rsidRPr="00477BAD">
        <w:rPr>
          <w:i/>
          <w:iCs/>
          <w:lang w:val="it-IT"/>
        </w:rPr>
        <w:t>Abano</w:t>
      </w:r>
      <w:r>
        <w:rPr>
          <w:lang w:val="it-IT"/>
        </w:rPr>
        <w:t>, 2</w:t>
      </w:r>
      <w:r w:rsidRPr="00477BAD">
        <w:rPr>
          <w:lang w:val="it-IT"/>
        </w:rPr>
        <w:t>: “[…] questa tale divinatione solevasi fare in terra al cielo aperto: ma di poi fu trasferita questa combinatione di punti alla carta et inchiostro. Giudicando li periti Geomanti l’influßi celesti poter discender per tutto; et formar si devono questi punti […] secondo che la mano del geomante dal celeste influsso è al ponteggiar con</w:t>
      </w:r>
      <w:r w:rsidR="00F622DC">
        <w:rPr>
          <w:lang w:val="it-IT"/>
        </w:rPr>
        <w:t>point</w:t>
      </w:r>
      <w:r w:rsidRPr="00477BAD">
        <w:rPr>
          <w:lang w:val="it-IT"/>
        </w:rPr>
        <w:t>ta, et dal divino ausilio re</w:t>
      </w:r>
      <w:r>
        <w:rPr>
          <w:lang w:val="it-IT"/>
        </w:rPr>
        <w:t>tt</w:t>
      </w:r>
      <w:r w:rsidRPr="00477BAD">
        <w:rPr>
          <w:lang w:val="it-IT"/>
        </w:rPr>
        <w:t>a e governata</w:t>
      </w:r>
      <w:r>
        <w:t xml:space="preserve">.” </w:t>
      </w:r>
    </w:p>
  </w:footnote>
  <w:footnote w:id="218">
    <w:p w14:paraId="4DA40110" w14:textId="77777777" w:rsidR="00244FB6" w:rsidRPr="00DA7E1F" w:rsidRDefault="00244FB6" w:rsidP="00244FB6">
      <w:pPr>
        <w:pStyle w:val="FootnoteText"/>
        <w:ind w:firstLine="0"/>
        <w:rPr>
          <w:lang w:val="it-IT"/>
        </w:rPr>
      </w:pPr>
      <w:r>
        <w:rPr>
          <w:rStyle w:val="FootnoteReference"/>
        </w:rPr>
        <w:footnoteRef/>
      </w:r>
      <w:r>
        <w:t xml:space="preserve"> </w:t>
      </w:r>
      <w:r w:rsidRPr="00DA7E1F">
        <w:rPr>
          <w:lang w:val="it-IT"/>
        </w:rPr>
        <w:t xml:space="preserve">Tullio Gregory, </w:t>
      </w:r>
      <w:r>
        <w:rPr>
          <w:lang w:val="it-IT"/>
        </w:rPr>
        <w:t>‘</w:t>
      </w:r>
      <w:r w:rsidRPr="00DA7E1F">
        <w:rPr>
          <w:lang w:val="it-IT"/>
        </w:rPr>
        <w:t>L’idea di natura nella filosofia medievale prima dell’ingresso della fisica di Aristotele. Il secolo XII</w:t>
      </w:r>
      <w:r>
        <w:rPr>
          <w:lang w:val="it-IT"/>
        </w:rPr>
        <w:t>’</w:t>
      </w:r>
      <w:r w:rsidRPr="00DA7E1F">
        <w:rPr>
          <w:lang w:val="it-IT"/>
        </w:rPr>
        <w:t xml:space="preserve">, in T. Gregory, </w:t>
      </w:r>
      <w:r w:rsidRPr="00DA7E1F">
        <w:rPr>
          <w:i/>
          <w:iCs/>
          <w:lang w:val="it-IT"/>
        </w:rPr>
        <w:t>Mundana Sapientia. Forme di conoscenza nella cultura medievale</w:t>
      </w:r>
      <w:r w:rsidRPr="00DA7E1F">
        <w:rPr>
          <w:lang w:val="it-IT"/>
        </w:rPr>
        <w:t xml:space="preserve"> (Rome: Edizioni di Storia e Letteratura, 1992), 77-114: 77.</w:t>
      </w:r>
    </w:p>
  </w:footnote>
  <w:footnote w:id="219">
    <w:p w14:paraId="27C9A4D2" w14:textId="0955EFCE" w:rsidR="00244FB6" w:rsidRDefault="00244FB6" w:rsidP="00244FB6">
      <w:pPr>
        <w:pStyle w:val="FootnoteText"/>
        <w:ind w:firstLine="0"/>
      </w:pPr>
      <w:r>
        <w:rPr>
          <w:rStyle w:val="FootnoteReference"/>
        </w:rPr>
        <w:footnoteRef/>
      </w:r>
      <w:r>
        <w:t xml:space="preserve"> On pre-twelfth-century medieval astronomical knowledge and the practice of astrology see Bruce Eastwood, </w:t>
      </w:r>
      <w:r w:rsidRPr="005F27F4">
        <w:rPr>
          <w:i/>
          <w:iCs/>
        </w:rPr>
        <w:t xml:space="preserve">Ordering the heavens: Roman </w:t>
      </w:r>
      <w:r w:rsidR="006749C6">
        <w:rPr>
          <w:i/>
          <w:iCs/>
        </w:rPr>
        <w:t>A</w:t>
      </w:r>
      <w:r w:rsidRPr="005F27F4">
        <w:rPr>
          <w:i/>
          <w:iCs/>
        </w:rPr>
        <w:t xml:space="preserve">stronomy and </w:t>
      </w:r>
      <w:r w:rsidR="006749C6">
        <w:rPr>
          <w:i/>
          <w:iCs/>
        </w:rPr>
        <w:t>C</w:t>
      </w:r>
      <w:r w:rsidRPr="005F27F4">
        <w:rPr>
          <w:i/>
          <w:iCs/>
        </w:rPr>
        <w:t>osmology in the Carolingian Renaissance</w:t>
      </w:r>
      <w:r>
        <w:t xml:space="preserve"> (</w:t>
      </w:r>
      <w:r w:rsidRPr="005F27F4">
        <w:t>Leiden: Brill, 2007</w:t>
      </w:r>
      <w:r>
        <w:t xml:space="preserve">); and Eric M. Ramínez-Weaver, </w:t>
      </w:r>
      <w:r w:rsidRPr="005F27F4">
        <w:rPr>
          <w:i/>
          <w:iCs/>
        </w:rPr>
        <w:t>A Saving Science. Capturing the Heavens in Carolingian Manuscripts</w:t>
      </w:r>
      <w:r>
        <w:t xml:space="preserve"> (</w:t>
      </w:r>
      <w:r w:rsidRPr="005F27F4">
        <w:t>University Park, Pa.: Pennsylvania State University Press, 2017</w:t>
      </w:r>
      <w:r>
        <w:t>).</w:t>
      </w:r>
    </w:p>
  </w:footnote>
  <w:footnote w:id="220">
    <w:p w14:paraId="797CF1BB" w14:textId="52EEDA80" w:rsidR="000901CF" w:rsidRDefault="000901CF" w:rsidP="000901CF">
      <w:pPr>
        <w:pStyle w:val="FootnoteText"/>
        <w:ind w:firstLine="0"/>
      </w:pPr>
      <w:r>
        <w:rPr>
          <w:rStyle w:val="FootnoteReference"/>
        </w:rPr>
        <w:footnoteRef/>
      </w:r>
      <w:r>
        <w:t xml:space="preserve"> On the influence of  Arabic thought </w:t>
      </w:r>
      <w:r w:rsidR="006E4620">
        <w:t xml:space="preserve">on </w:t>
      </w:r>
      <w:r>
        <w:t xml:space="preserve">the idea of astral influences </w:t>
      </w:r>
      <w:r w:rsidR="006E4620">
        <w:t xml:space="preserve">in medieval Europe </w:t>
      </w:r>
      <w:r>
        <w:t xml:space="preserve">see Liana Saif, </w:t>
      </w:r>
      <w:r w:rsidRPr="000901CF">
        <w:rPr>
          <w:i/>
          <w:iCs/>
        </w:rPr>
        <w:t>The Arabic Influences on Early Modern Occult Philosophy</w:t>
      </w:r>
      <w:r>
        <w:t xml:space="preserve">, especially </w:t>
      </w:r>
      <w:r w:rsidR="00A24DF8">
        <w:t>9-26 and 46-69.</w:t>
      </w:r>
    </w:p>
  </w:footnote>
  <w:footnote w:id="221">
    <w:p w14:paraId="7DC4D63D" w14:textId="43FA5A92" w:rsidR="00244FB6" w:rsidRDefault="00244FB6" w:rsidP="00244FB6">
      <w:pPr>
        <w:pStyle w:val="FootnoteText"/>
        <w:ind w:firstLine="0"/>
      </w:pPr>
      <w:r>
        <w:rPr>
          <w:rStyle w:val="FootnoteReference"/>
        </w:rPr>
        <w:footnoteRef/>
      </w:r>
      <w:r>
        <w:t xml:space="preserve"> See Evelyn Edson and Emilie Savage-Smith, </w:t>
      </w:r>
      <w:r w:rsidRPr="00062B29">
        <w:rPr>
          <w:i/>
          <w:iCs/>
        </w:rPr>
        <w:t>Medieval Views of the Cosmos</w:t>
      </w:r>
      <w:r w:rsidR="00D20250">
        <w:rPr>
          <w:i/>
          <w:iCs/>
        </w:rPr>
        <w:t>.</w:t>
      </w:r>
      <w:r w:rsidR="00D20250" w:rsidRPr="00D20250">
        <w:rPr>
          <w:i/>
          <w:iCs/>
        </w:rPr>
        <w:t xml:space="preserve"> </w:t>
      </w:r>
      <w:r w:rsidR="00D20250" w:rsidRPr="00083603">
        <w:rPr>
          <w:i/>
          <w:iCs/>
        </w:rPr>
        <w:t>Picturing the Universe in the Christian and Islamic Middle Ages</w:t>
      </w:r>
      <w:r>
        <w:t xml:space="preserve"> (Oxford: Bodleian Library, 2004), 46.</w:t>
      </w:r>
    </w:p>
  </w:footnote>
  <w:footnote w:id="222">
    <w:p w14:paraId="035BED15" w14:textId="31C0EE69" w:rsidR="00244FB6" w:rsidRDefault="00244FB6" w:rsidP="00244FB6">
      <w:pPr>
        <w:pStyle w:val="FootnoteText"/>
        <w:ind w:firstLine="0"/>
      </w:pPr>
      <w:r>
        <w:rPr>
          <w:rStyle w:val="FootnoteReference"/>
        </w:rPr>
        <w:footnoteRef/>
      </w:r>
      <w:r>
        <w:t xml:space="preserve"> Charles </w:t>
      </w:r>
      <w:r w:rsidRPr="00301A19">
        <w:t>Clark,</w:t>
      </w:r>
      <w:r>
        <w:t xml:space="preserve"> ‘</w:t>
      </w:r>
      <w:r w:rsidRPr="00301A19">
        <w:t>The Zodiac Man in Medieval Medical Astrology</w:t>
      </w:r>
      <w:r>
        <w:t>’, in</w:t>
      </w:r>
      <w:r w:rsidRPr="00301A19">
        <w:t xml:space="preserve"> </w:t>
      </w:r>
      <w:r w:rsidRPr="00301A19">
        <w:rPr>
          <w:i/>
          <w:iCs/>
        </w:rPr>
        <w:t>Quidditas</w:t>
      </w:r>
      <w:r w:rsidRPr="00301A19">
        <w:t>, 3</w:t>
      </w:r>
      <w:r>
        <w:t xml:space="preserve"> </w:t>
      </w:r>
      <w:r w:rsidRPr="00301A19">
        <w:t>(3)</w:t>
      </w:r>
      <w:r>
        <w:t xml:space="preserve"> (1982),</w:t>
      </w:r>
      <w:r w:rsidRPr="00301A19">
        <w:t xml:space="preserve"> 13-38; </w:t>
      </w:r>
      <w:r>
        <w:t xml:space="preserve">Roger </w:t>
      </w:r>
      <w:r w:rsidRPr="00301A19">
        <w:t xml:space="preserve">French, </w:t>
      </w:r>
      <w:r>
        <w:t>‘</w:t>
      </w:r>
      <w:r w:rsidRPr="00301A19">
        <w:t>Astrology in medical practice</w:t>
      </w:r>
      <w:r>
        <w:t>’,</w:t>
      </w:r>
      <w:r w:rsidRPr="00301A19">
        <w:t xml:space="preserve"> </w:t>
      </w:r>
      <w:r>
        <w:t>i</w:t>
      </w:r>
      <w:r w:rsidRPr="00301A19">
        <w:t xml:space="preserve">n </w:t>
      </w:r>
      <w:r w:rsidRPr="00301A19">
        <w:rPr>
          <w:i/>
          <w:iCs/>
        </w:rPr>
        <w:t>Practical medicine from Salerno to the Black Death</w:t>
      </w:r>
      <w:r>
        <w:rPr>
          <w:i/>
          <w:iCs/>
        </w:rPr>
        <w:t xml:space="preserve">, </w:t>
      </w:r>
      <w:r>
        <w:t>ed. by</w:t>
      </w:r>
      <w:r w:rsidRPr="00301A19">
        <w:t xml:space="preserve"> L. García-Ballester, R. French, J. Arrizabalaga &amp; A. Cunningham </w:t>
      </w:r>
      <w:r>
        <w:t xml:space="preserve">(Cambridge: </w:t>
      </w:r>
      <w:r w:rsidRPr="00301A19">
        <w:t>Cambridge University Press</w:t>
      </w:r>
      <w:r>
        <w:t xml:space="preserve">, 1994), </w:t>
      </w:r>
      <w:r w:rsidRPr="00301A19">
        <w:t xml:space="preserve">30-59; </w:t>
      </w:r>
      <w:r>
        <w:t xml:space="preserve">Sophie </w:t>
      </w:r>
      <w:r w:rsidRPr="00301A19">
        <w:t xml:space="preserve">Page, </w:t>
      </w:r>
      <w:r w:rsidRPr="00301A19">
        <w:rPr>
          <w:i/>
          <w:iCs/>
        </w:rPr>
        <w:t>Astrology in Medieval Manuscripts</w:t>
      </w:r>
      <w:r w:rsidRPr="00301A19">
        <w:t xml:space="preserve"> </w:t>
      </w:r>
      <w:r>
        <w:t xml:space="preserve">(Toronto: </w:t>
      </w:r>
      <w:r w:rsidRPr="00301A19">
        <w:t>University of Toronto Pres</w:t>
      </w:r>
      <w:r>
        <w:t xml:space="preserve">s, </w:t>
      </w:r>
      <w:r w:rsidRPr="00301A19">
        <w:t>2002</w:t>
      </w:r>
      <w:r>
        <w:t>), 52-57.</w:t>
      </w:r>
    </w:p>
  </w:footnote>
  <w:footnote w:id="223">
    <w:p w14:paraId="78A2E91C" w14:textId="77777777" w:rsidR="00244FB6" w:rsidRDefault="00244FB6" w:rsidP="00244FB6">
      <w:pPr>
        <w:pStyle w:val="FootnoteText"/>
        <w:ind w:firstLine="0"/>
      </w:pPr>
      <w:r>
        <w:rPr>
          <w:rStyle w:val="FootnoteReference"/>
        </w:rPr>
        <w:footnoteRef/>
      </w:r>
      <w:r>
        <w:t xml:space="preserve"> Edward Grant, </w:t>
      </w:r>
      <w:r w:rsidRPr="00CF22B0">
        <w:rPr>
          <w:i/>
          <w:iCs/>
        </w:rPr>
        <w:t>The Foundation of Modern Science in the Middle Ages, their Religious, Institutional and Intellectual Contexts</w:t>
      </w:r>
      <w:r>
        <w:t xml:space="preserve"> (Cambridge: Cambridge University Press, 1996), 54-69. </w:t>
      </w:r>
    </w:p>
  </w:footnote>
  <w:footnote w:id="224">
    <w:p w14:paraId="1CD5D701" w14:textId="73A413A8" w:rsidR="00244FB6" w:rsidRDefault="00244FB6" w:rsidP="00244FB6">
      <w:pPr>
        <w:pStyle w:val="FootnoteText"/>
        <w:ind w:firstLine="0"/>
      </w:pPr>
      <w:r>
        <w:rPr>
          <w:rStyle w:val="FootnoteReference"/>
        </w:rPr>
        <w:footnoteRef/>
      </w:r>
      <w:r>
        <w:t xml:space="preserve"> </w:t>
      </w:r>
      <w:r w:rsidRPr="00754555">
        <w:t xml:space="preserve">Gregory, </w:t>
      </w:r>
      <w:r>
        <w:t>‘</w:t>
      </w:r>
      <w:r w:rsidRPr="00754555">
        <w:t>L’idea di natura ne</w:t>
      </w:r>
      <w:r>
        <w:t>ll</w:t>
      </w:r>
      <w:r w:rsidRPr="00754555">
        <w:t>a filosofia medievale prima dell’ingresso della fisica di Aristotele. Il secolo XII</w:t>
      </w:r>
      <w:r>
        <w:t xml:space="preserve">’, in </w:t>
      </w:r>
      <w:r w:rsidRPr="00CF22B0">
        <w:rPr>
          <w:i/>
          <w:iCs/>
        </w:rPr>
        <w:t>Mundana Sapientia</w:t>
      </w:r>
      <w:r>
        <w:t xml:space="preserve">, 106. </w:t>
      </w:r>
    </w:p>
  </w:footnote>
  <w:footnote w:id="225">
    <w:p w14:paraId="52A5F058" w14:textId="2CB77BFE" w:rsidR="00244FB6" w:rsidRDefault="00244FB6" w:rsidP="00EE216A">
      <w:pPr>
        <w:pStyle w:val="FootnoteText"/>
        <w:ind w:firstLine="0"/>
      </w:pPr>
      <w:r>
        <w:rPr>
          <w:rStyle w:val="FootnoteReference"/>
        </w:rPr>
        <w:footnoteRef/>
      </w:r>
      <w:r>
        <w:t xml:space="preserve"> Alessandro Palazzo, ‘Albert the Great’s Doctrine of </w:t>
      </w:r>
      <w:r w:rsidR="008D1E93">
        <w:t>Fate</w:t>
      </w:r>
      <w:r w:rsidR="00A933BE">
        <w:t>’</w:t>
      </w:r>
      <w:r>
        <w:t xml:space="preserve">, </w:t>
      </w:r>
      <w:r w:rsidRPr="00715306">
        <w:t>in</w:t>
      </w:r>
      <w:r w:rsidRPr="00687727">
        <w:rPr>
          <w:i/>
          <w:iCs/>
        </w:rPr>
        <w:t xml:space="preserve"> Mantik, Schicksal und Freiheit im Mittelalter,</w:t>
      </w:r>
      <w:r>
        <w:t xml:space="preserve"> ed. by L. Sturlese (Cologne, Weimar, Wien: Böhlau Verlag, 2011), 67.</w:t>
      </w:r>
    </w:p>
  </w:footnote>
  <w:footnote w:id="226">
    <w:p w14:paraId="43023589" w14:textId="0A4E107A" w:rsidR="00244FB6" w:rsidRDefault="00244FB6" w:rsidP="00244FB6">
      <w:pPr>
        <w:pStyle w:val="FootnoteText"/>
        <w:ind w:firstLine="0"/>
      </w:pPr>
      <w:r>
        <w:rPr>
          <w:rStyle w:val="FootnoteReference"/>
        </w:rPr>
        <w:footnoteRef/>
      </w:r>
      <w:r>
        <w:t xml:space="preserve"> See Tullio Gregory, ‘I cieli, il tempo, la storia’, in </w:t>
      </w:r>
      <w:r w:rsidRPr="007A4966">
        <w:rPr>
          <w:i/>
          <w:iCs/>
        </w:rPr>
        <w:t>Speculum Naturale</w:t>
      </w:r>
      <w:r w:rsidR="008D61C1">
        <w:rPr>
          <w:i/>
          <w:iCs/>
        </w:rPr>
        <w:t xml:space="preserve">: percorsi del pensiero medievale </w:t>
      </w:r>
      <w:r>
        <w:t>(</w:t>
      </w:r>
      <w:r w:rsidR="008D61C1">
        <w:t xml:space="preserve">Rome: Edizioni di Storia e Letteratura, </w:t>
      </w:r>
      <w:r>
        <w:t xml:space="preserve">2007), 69-91; in the same volume, see also Gregory, ‘Natura e </w:t>
      </w:r>
      <w:r w:rsidRPr="007A4966">
        <w:rPr>
          <w:i/>
          <w:iCs/>
        </w:rPr>
        <w:t>qualitas planetaruum</w:t>
      </w:r>
      <w:r>
        <w:t xml:space="preserve">’, 47-68; Alessandro Palazzo, ‘The Scientific Significance of </w:t>
      </w:r>
      <w:r w:rsidR="008D61C1">
        <w:t>Fate</w:t>
      </w:r>
      <w:r>
        <w:t xml:space="preserve"> and Celestial Influences in Some Mature Works by Albert the Great: </w:t>
      </w:r>
      <w:r w:rsidRPr="002169FC">
        <w:rPr>
          <w:i/>
          <w:iCs/>
        </w:rPr>
        <w:t>De fato, De somno et vigilia, De intellectu et intelligibili, Mineralia</w:t>
      </w:r>
      <w:r>
        <w:t xml:space="preserve">’, in </w:t>
      </w:r>
      <w:r w:rsidRPr="00815A8A">
        <w:rPr>
          <w:i/>
          <w:iCs/>
        </w:rPr>
        <w:t>Per perscrutationem philosophicam. Neue Perspektiven der mittelalterlichen Forschung</w:t>
      </w:r>
      <w:r>
        <w:t xml:space="preserve">, ed. by A. Beccarisi, R. Imbach, and P. Porro (Hamburg: Felix Meiner Verlag, 2008), 55-78.  </w:t>
      </w:r>
    </w:p>
  </w:footnote>
  <w:footnote w:id="227">
    <w:p w14:paraId="46CCB33E" w14:textId="77777777" w:rsidR="00244FB6" w:rsidRDefault="00244FB6" w:rsidP="00244FB6">
      <w:pPr>
        <w:pStyle w:val="FootnoteText"/>
        <w:ind w:firstLine="0"/>
      </w:pPr>
      <w:r>
        <w:rPr>
          <w:rStyle w:val="FootnoteReference"/>
        </w:rPr>
        <w:footnoteRef/>
      </w:r>
      <w:r>
        <w:t xml:space="preserve"> Thomas Aquinas</w:t>
      </w:r>
      <w:r w:rsidRPr="006C1E73">
        <w:rPr>
          <w:i/>
          <w:iCs/>
        </w:rPr>
        <w:t xml:space="preserve">, Summa </w:t>
      </w:r>
      <w:r>
        <w:rPr>
          <w:i/>
          <w:iCs/>
        </w:rPr>
        <w:t>T</w:t>
      </w:r>
      <w:r w:rsidRPr="006C1E73">
        <w:rPr>
          <w:i/>
          <w:iCs/>
        </w:rPr>
        <w:t>heologiae</w:t>
      </w:r>
      <w:r>
        <w:rPr>
          <w:i/>
          <w:iCs/>
        </w:rPr>
        <w:t>,</w:t>
      </w:r>
      <w:r>
        <w:t xml:space="preserve">II-II, 95, Art. 5, Ad. 2.:”[…] Ad secundum dicendum quod hoc quod astrologi ex consideratione astrorum frequenter vera praenuntiant, contingit dupliciter. Uno quidem modo, </w:t>
      </w:r>
      <w:r w:rsidRPr="002260A2">
        <w:t>quia plures hominum passiones corporales sequuntur, et ideo actus eorum disponuntur, ut in pluribus, secund</w:t>
      </w:r>
      <w:r>
        <w:t>um</w:t>
      </w:r>
      <w:r w:rsidRPr="002260A2">
        <w:t xml:space="preserve"> </w:t>
      </w:r>
      <w:r>
        <w:t xml:space="preserve">inclinationem caelestium corporum: pauci autem sunt, idest soli sapientes, qui ratione huiusmodi inclinationes moderentur. Et ideo astrologi in multis vera praenuntiant: et praecipue in communibus eventibus, qui dependent ex multitudine.” The idea that only the wise men can govern stars is a re-elaboration, often found in medieval texts, from the Pseudo-Ptolemy’s </w:t>
      </w:r>
      <w:r w:rsidRPr="00A3091A">
        <w:rPr>
          <w:i/>
          <w:iCs/>
        </w:rPr>
        <w:t>Centiloquium</w:t>
      </w:r>
      <w:r>
        <w:t xml:space="preserve">, see Ptolemaeus, </w:t>
      </w:r>
      <w:r w:rsidRPr="00BC37B4">
        <w:rPr>
          <w:i/>
          <w:iCs/>
        </w:rPr>
        <w:t>Centiloquium</w:t>
      </w:r>
      <w:r>
        <w:t>, ed. Venetiis 1519, verbum 5, f. 97va: “Optimus astrologus multum malum prohibere poterit quod secundum stellas venturum est: cum earum naturam presciverit: sic enim premuniet eum cui malum futurum est ut possit illud pati” and verbum 8, f.97vb: “anima sapiens ita adiuvabit opus stellarum quemadmodum seminator fortitudines naturales.”</w:t>
      </w:r>
    </w:p>
  </w:footnote>
  <w:footnote w:id="228">
    <w:p w14:paraId="36052FA2" w14:textId="77777777" w:rsidR="00244FB6" w:rsidRDefault="00244FB6" w:rsidP="00244FB6">
      <w:pPr>
        <w:pStyle w:val="FootnoteText"/>
        <w:ind w:firstLine="0"/>
      </w:pPr>
      <w:r>
        <w:rPr>
          <w:rStyle w:val="FootnoteReference"/>
        </w:rPr>
        <w:footnoteRef/>
      </w:r>
      <w:r>
        <w:t xml:space="preserve"> </w:t>
      </w:r>
      <w:r w:rsidRPr="00CE33A9">
        <w:rPr>
          <w:i/>
          <w:iCs/>
        </w:rPr>
        <w:t>The Great Introduction to Astrology by Abū Ma‘šar</w:t>
      </w:r>
      <w:r>
        <w:t>, vol. I, ed. and trans. by K. Yamamoto and C. Burnett (Leiden-Boston: Brill, 2019), 1.2.</w:t>
      </w:r>
    </w:p>
  </w:footnote>
  <w:footnote w:id="229">
    <w:p w14:paraId="00013917" w14:textId="77777777" w:rsidR="00244FB6" w:rsidRDefault="00244FB6" w:rsidP="00244FB6">
      <w:pPr>
        <w:pStyle w:val="FootnoteText"/>
        <w:ind w:firstLine="0"/>
      </w:pPr>
      <w:r>
        <w:rPr>
          <w:rStyle w:val="FootnoteReference"/>
        </w:rPr>
        <w:footnoteRef/>
      </w:r>
      <w:r>
        <w:t xml:space="preserve"> Charles Burnett, </w:t>
      </w:r>
      <w:r w:rsidRPr="00320FCF">
        <w:rPr>
          <w:i/>
          <w:iCs/>
        </w:rPr>
        <w:t>Magic and Divination in the Middle Ages: Texts and Techniques in the Islamic and Christian World</w:t>
      </w:r>
      <w:r>
        <w:t xml:space="preserve"> (Aldershot: Variorum, 1996),  I, 15.</w:t>
      </w:r>
    </w:p>
  </w:footnote>
  <w:footnote w:id="230">
    <w:p w14:paraId="49F7D5A9" w14:textId="3744C3AD" w:rsidR="00244FB6" w:rsidRDefault="00244FB6" w:rsidP="00244FB6">
      <w:pPr>
        <w:pStyle w:val="FootnoteText"/>
        <w:ind w:firstLine="0"/>
      </w:pPr>
      <w:r>
        <w:rPr>
          <w:rStyle w:val="FootnoteReference"/>
        </w:rPr>
        <w:footnoteRef/>
      </w:r>
      <w:r>
        <w:t xml:space="preserve"> Dominicus Gundissalinus, </w:t>
      </w:r>
      <w:r w:rsidRPr="00D73B7A">
        <w:rPr>
          <w:i/>
          <w:iCs/>
        </w:rPr>
        <w:t>De divisione philosophiae</w:t>
      </w:r>
      <w:r>
        <w:t>, 228: “Astronomia est scientia, quae cursus et positionem stellarum secundum hominum opinionem describit ad temporum notitiam […] haec ceteris dignior est, quia ex dispositione caelestium corporum, quae sunt in terris ventura praenuntiat.”</w:t>
      </w:r>
    </w:p>
  </w:footnote>
  <w:footnote w:id="231">
    <w:p w14:paraId="43CC97FA" w14:textId="0479F444" w:rsidR="00244FB6" w:rsidRDefault="00244FB6" w:rsidP="00244FB6">
      <w:pPr>
        <w:pStyle w:val="FootnoteText"/>
        <w:ind w:firstLine="0"/>
      </w:pPr>
      <w:r>
        <w:rPr>
          <w:rStyle w:val="FootnoteReference"/>
        </w:rPr>
        <w:footnoteRef/>
      </w:r>
      <w:r>
        <w:t xml:space="preserve"> See Charles Burnett, ‘Traditions and Practices in Medieval Western Christiam World’, in </w:t>
      </w:r>
      <w:r w:rsidRPr="00AA3062">
        <w:rPr>
          <w:i/>
          <w:iCs/>
        </w:rPr>
        <w:t>Prognostication in the Medieval World, a Handbook</w:t>
      </w:r>
      <w:r>
        <w:t xml:space="preserve">, ed. by  M. Heiduk, K. Herbers and H.C. Lehner (Berlin: De Gruyter, 2021), 485-501: 487-491. This subdivision of the various branches of judicial astrology is also reported by the author of the </w:t>
      </w:r>
      <w:r w:rsidRPr="00B8454B">
        <w:rPr>
          <w:i/>
          <w:iCs/>
        </w:rPr>
        <w:t>Speculum Astronomiae</w:t>
      </w:r>
      <w:r>
        <w:t>, “This wisdom, then, is divided into two parts. The first [part] is introductory and is concerned with the principles of [astrological] judgements. But the second part is fulfilled in the exercise of making judgements; and this [second part] is further divided into four sections. The first is concerned with revolutions [of the years]; the second with nativities; the third with interrogations; [and] the fourth with choosing favourable hours – to which that section which deals with images is subjoined, of which is said ‘the most sublime part of astronomy is the science of images</w:t>
      </w:r>
      <w:r w:rsidR="00945E98">
        <w:t>.</w:t>
      </w:r>
      <w:r>
        <w:t xml:space="preserve">’” From Paola Zambelli, </w:t>
      </w:r>
      <w:r w:rsidRPr="00D1487D">
        <w:rPr>
          <w:i/>
          <w:iCs/>
        </w:rPr>
        <w:t>The Speculum Astronomiae and Its Enigma</w:t>
      </w:r>
      <w:r>
        <w:t xml:space="preserve">. </w:t>
      </w:r>
      <w:r>
        <w:rPr>
          <w:i/>
          <w:iCs/>
        </w:rPr>
        <w:t xml:space="preserve">Astrology, Theology and Science in Albertus Magnus and his Contemporaries </w:t>
      </w:r>
      <w:r>
        <w:t>(Dordrecht: Kluwer Academic Publishers, 1992), 222-223.</w:t>
      </w:r>
    </w:p>
  </w:footnote>
  <w:footnote w:id="232">
    <w:p w14:paraId="1AEF2285" w14:textId="559C8196" w:rsidR="00244FB6" w:rsidRDefault="00244FB6" w:rsidP="00244FB6">
      <w:pPr>
        <w:pStyle w:val="FootnoteText"/>
        <w:ind w:firstLine="0"/>
      </w:pPr>
      <w:r>
        <w:rPr>
          <w:rStyle w:val="FootnoteReference"/>
        </w:rPr>
        <w:footnoteRef/>
      </w:r>
      <w:r>
        <w:t xml:space="preserve"> On the profession of the astrologer in the late medieval period </w:t>
      </w:r>
      <w:r w:rsidRPr="00945E98">
        <w:t>see</w:t>
      </w:r>
      <w:r w:rsidRPr="009178C1">
        <w:rPr>
          <w:i/>
          <w:iCs/>
        </w:rPr>
        <w:t xml:space="preserve"> Astrologers and their clients in medieval and early modern Europe</w:t>
      </w:r>
      <w:r>
        <w:t xml:space="preserve">, </w:t>
      </w:r>
      <w:r w:rsidRPr="009178C1">
        <w:t>e</w:t>
      </w:r>
      <w:r>
        <w:t>d.</w:t>
      </w:r>
      <w:r w:rsidRPr="009178C1">
        <w:t xml:space="preserve"> by W</w:t>
      </w:r>
      <w:r>
        <w:t xml:space="preserve">. </w:t>
      </w:r>
      <w:r w:rsidRPr="009178C1">
        <w:t>Deimann and D</w:t>
      </w:r>
      <w:r>
        <w:t>.</w:t>
      </w:r>
      <w:r w:rsidRPr="009178C1">
        <w:t xml:space="preserve"> Juste (</w:t>
      </w:r>
      <w:r w:rsidRPr="009178C1">
        <w:rPr>
          <w:color w:val="241F20"/>
          <w:shd w:val="clear" w:color="auto" w:fill="FFFFFF"/>
        </w:rPr>
        <w:t>Köln: Böhlau, 2015)</w:t>
      </w:r>
      <w:r>
        <w:rPr>
          <w:color w:val="241F20"/>
          <w:shd w:val="clear" w:color="auto" w:fill="FFFFFF"/>
        </w:rPr>
        <w:t>.</w:t>
      </w:r>
    </w:p>
  </w:footnote>
  <w:footnote w:id="233">
    <w:p w14:paraId="630C13D8" w14:textId="66C3E460" w:rsidR="00244FB6" w:rsidRDefault="00244FB6" w:rsidP="00244FB6">
      <w:pPr>
        <w:pStyle w:val="FootnoteText"/>
        <w:ind w:firstLine="0"/>
      </w:pPr>
      <w:r>
        <w:rPr>
          <w:rStyle w:val="FootnoteReference"/>
        </w:rPr>
        <w:footnoteRef/>
      </w:r>
      <w:r>
        <w:t xml:space="preserve"> See Julio </w:t>
      </w:r>
      <w:r w:rsidRPr="00004B52">
        <w:t>Samsó,</w:t>
      </w:r>
      <w:r>
        <w:t xml:space="preserve"> </w:t>
      </w:r>
      <w:r w:rsidRPr="00004B52">
        <w:rPr>
          <w:i/>
          <w:iCs/>
        </w:rPr>
        <w:t>On both sides of the Strait of Gibraltar: studies in the history of medieval astronomy in the Iberian Peninsula and the Maghrib</w:t>
      </w:r>
      <w:r>
        <w:t xml:space="preserve"> (</w:t>
      </w:r>
      <w:r w:rsidRPr="00004B52">
        <w:t>Leiden : Brill, 2020</w:t>
      </w:r>
      <w:r>
        <w:t xml:space="preserve">); </w:t>
      </w:r>
      <w:r w:rsidRPr="00826B10">
        <w:rPr>
          <w:i/>
          <w:iCs/>
        </w:rPr>
        <w:t>Astrolabes in Medieval Culture,</w:t>
      </w:r>
      <w:r>
        <w:t xml:space="preserve"> ed. by J. Rodríguez-Arribas, C. Burnett, S. Ackermann and R. Szpiech (Leiden: Brill, 2019); </w:t>
      </w:r>
      <w:r w:rsidRPr="002C2088">
        <w:rPr>
          <w:i/>
          <w:iCs/>
        </w:rPr>
        <w:t>Heaven and Earth united: instruments in astrological contexts</w:t>
      </w:r>
      <w:r>
        <w:rPr>
          <w:i/>
          <w:iCs/>
        </w:rPr>
        <w:t>,</w:t>
      </w:r>
      <w:r w:rsidRPr="002C2088">
        <w:t xml:space="preserve"> ed</w:t>
      </w:r>
      <w:r>
        <w:t>.</w:t>
      </w:r>
      <w:r w:rsidRPr="002C2088">
        <w:t xml:space="preserve"> by R</w:t>
      </w:r>
      <w:r>
        <w:t>.</w:t>
      </w:r>
      <w:r w:rsidRPr="002C2088">
        <w:t xml:space="preserve"> Dunn, S</w:t>
      </w:r>
      <w:r>
        <w:t>.</w:t>
      </w:r>
      <w:r w:rsidRPr="002C2088">
        <w:t xml:space="preserve"> Ackermann, G</w:t>
      </w:r>
      <w:r>
        <w:t>.</w:t>
      </w:r>
      <w:r w:rsidRPr="002C2088">
        <w:t xml:space="preserve"> Strano</w:t>
      </w:r>
      <w:r>
        <w:t xml:space="preserve"> (</w:t>
      </w:r>
      <w:r w:rsidRPr="002C2088">
        <w:t>Leiden: Brill, 2018</w:t>
      </w:r>
      <w:r>
        <w:t xml:space="preserve">); </w:t>
      </w:r>
      <w:r w:rsidRPr="00071AC3">
        <w:t>José Chabás</w:t>
      </w:r>
      <w:r>
        <w:t xml:space="preserve"> and</w:t>
      </w:r>
      <w:r w:rsidRPr="002C2088">
        <w:t xml:space="preserve"> </w:t>
      </w:r>
      <w:r w:rsidRPr="00071AC3">
        <w:t>Bernard R. Goldstein,</w:t>
      </w:r>
      <w:r>
        <w:t xml:space="preserve"> </w:t>
      </w:r>
      <w:r w:rsidRPr="002C2088">
        <w:rPr>
          <w:i/>
          <w:iCs/>
        </w:rPr>
        <w:t>A survey of European astronomical tables in the late Middle Ages</w:t>
      </w:r>
      <w:r>
        <w:t xml:space="preserve"> (</w:t>
      </w:r>
      <w:r w:rsidRPr="002C2088">
        <w:t>Leiden: Brill, 2012</w:t>
      </w:r>
      <w:r>
        <w:t>)</w:t>
      </w:r>
      <w:r w:rsidRPr="002C2088">
        <w:t>.</w:t>
      </w:r>
    </w:p>
  </w:footnote>
  <w:footnote w:id="234">
    <w:p w14:paraId="1537C01F" w14:textId="6ACBD2CE" w:rsidR="00EF2848" w:rsidRDefault="00EF2848" w:rsidP="00945E98">
      <w:pPr>
        <w:pStyle w:val="FootnoteText"/>
        <w:ind w:firstLine="0"/>
      </w:pPr>
      <w:r>
        <w:rPr>
          <w:rStyle w:val="FootnoteReference"/>
        </w:rPr>
        <w:footnoteRef/>
      </w:r>
      <w:r>
        <w:t xml:space="preserve"> This point of view is adopted in the prologue of the </w:t>
      </w:r>
      <w:r w:rsidRPr="00EF2848">
        <w:rPr>
          <w:i/>
          <w:iCs/>
        </w:rPr>
        <w:t>Ars geomantiae</w:t>
      </w:r>
      <w:r w:rsidR="00945E98">
        <w:t>, see Arfé, ‘L’</w:t>
      </w:r>
      <w:r w:rsidR="00945E98" w:rsidRPr="00234D1C">
        <w:rPr>
          <w:i/>
          <w:iCs/>
        </w:rPr>
        <w:t>Ars geomantiae</w:t>
      </w:r>
      <w:r w:rsidR="00945E98">
        <w:t xml:space="preserve"> di Ugo di Santalla’ (2017), 89-90:</w:t>
      </w:r>
      <w:r>
        <w:t xml:space="preserve"> “Causa intentionis est difficultas astronomie et eius librorum multiplicitas. Multi enim conati sunt iudicia astrorum et significationes tam in bono quam in malo certis rationibus et probabilibus argumentis aperire quod in paucis uoluminibus facere nonpotuerunt;” and f</w:t>
      </w:r>
      <w:r w:rsidR="00945E98">
        <w:t>u</w:t>
      </w:r>
      <w:r>
        <w:t>rther on “Ipse enim cognoscens et preuidens homines non posse peruenire integraliter et perfecte ad scientiam astrorum tum propter paucitatem sensus tum propter debilitatem ingenii.”</w:t>
      </w:r>
    </w:p>
  </w:footnote>
  <w:footnote w:id="235">
    <w:p w14:paraId="616222E7" w14:textId="53617997" w:rsidR="00244FB6" w:rsidRDefault="00244FB6" w:rsidP="00244FB6">
      <w:pPr>
        <w:pStyle w:val="FootnoteText"/>
        <w:ind w:firstLine="0"/>
      </w:pPr>
      <w:r>
        <w:rPr>
          <w:rStyle w:val="FootnoteReference"/>
        </w:rPr>
        <w:footnoteRef/>
      </w:r>
      <w:r>
        <w:t xml:space="preserve"> Hugo Sanctelliensis, </w:t>
      </w:r>
      <w:r w:rsidRPr="00E327B5">
        <w:rPr>
          <w:i/>
          <w:iCs/>
        </w:rPr>
        <w:t>Ars</w:t>
      </w:r>
      <w:r>
        <w:t xml:space="preserve"> </w:t>
      </w:r>
      <w:r w:rsidRPr="00E327B5">
        <w:rPr>
          <w:i/>
          <w:iCs/>
        </w:rPr>
        <w:t>geomantiae</w:t>
      </w:r>
      <w:r>
        <w:t>, Paris, BnF, lat. 7354 (ed. Pasquale Arfé)</w:t>
      </w:r>
      <w:r w:rsidR="00FD7B30">
        <w:t>.</w:t>
      </w:r>
      <w:r>
        <w:t xml:space="preserve"> English translation from Charles Burnett, ‘Hermetic Geomancy, «</w:t>
      </w:r>
      <w:r w:rsidRPr="000C6ABA">
        <w:rPr>
          <w:i/>
          <w:iCs/>
        </w:rPr>
        <w:t>Ratione Certis Experimenti</w:t>
      </w:r>
      <w:r>
        <w:rPr>
          <w:i/>
          <w:iCs/>
        </w:rPr>
        <w:t>s</w:t>
      </w:r>
      <w:r w:rsidRPr="000C6ABA">
        <w:rPr>
          <w:i/>
          <w:iCs/>
        </w:rPr>
        <w:t xml:space="preserve"> Usitata</w:t>
      </w:r>
      <w:r>
        <w:t xml:space="preserve">»’, 137. </w:t>
      </w:r>
    </w:p>
  </w:footnote>
  <w:footnote w:id="236">
    <w:p w14:paraId="0CE1E52B" w14:textId="77777777" w:rsidR="00244FB6" w:rsidRDefault="00244FB6" w:rsidP="00244FB6">
      <w:pPr>
        <w:pStyle w:val="FootnoteText"/>
        <w:ind w:firstLine="0"/>
      </w:pPr>
      <w:r>
        <w:rPr>
          <w:rStyle w:val="FootnoteReference"/>
        </w:rPr>
        <w:footnoteRef/>
      </w:r>
      <w:r>
        <w:t xml:space="preserve"> Iacomo della Lana, </w:t>
      </w:r>
      <w:r w:rsidRPr="00F60AE1">
        <w:rPr>
          <w:i/>
          <w:iCs/>
        </w:rPr>
        <w:t>Commento alla «Commedia</w:t>
      </w:r>
      <w:r>
        <w:t>», ed. by M.Volpi and A.Terzi, (Rome: Salerno, 2009), II,</w:t>
      </w:r>
      <w:r w:rsidRPr="00F60AE1">
        <w:rPr>
          <w:i/>
          <w:iCs/>
        </w:rPr>
        <w:t xml:space="preserve"> Purgatorio 19,4</w:t>
      </w:r>
      <w:r>
        <w:t>, 1312-14: “Pò essere li membri humani mossi da tre casuni: l’una da voluntà della qual nasse da eletione fatta per libero arbitrio; l’altra da voluntà mossa da alcuna passione, come per troppo cibo, per troppo vino, per troppo resolutione d’omuri o per troppo manitione de spirti vitalli; la terça da inclinatione naturale la qual soçiase al movemento del celo, sí cume in phylosophia naturale e in astrologia chiaro se pone. La prima casone exclude l’arte della geomancia quando vole ch’i punti no se façano a numero né per voluntà né piú né meno; la secunda casone simelmente exchiude quando accepta so tempo in l’ora che omne digestione si è facta, della quale, com’è ditto, l’autor in lo presente capitulo fa mentione; la terça casone accepta la ditta arte perso principio appellandosse per alcuni l’astrologia menore».”</w:t>
      </w:r>
    </w:p>
  </w:footnote>
  <w:footnote w:id="237">
    <w:p w14:paraId="05F999E1" w14:textId="4956798C" w:rsidR="00244FB6" w:rsidRDefault="00244FB6" w:rsidP="00244FB6">
      <w:pPr>
        <w:pStyle w:val="FootnoteText"/>
        <w:ind w:firstLine="0"/>
      </w:pPr>
      <w:r>
        <w:rPr>
          <w:rStyle w:val="FootnoteReference"/>
        </w:rPr>
        <w:footnoteRef/>
      </w:r>
      <w:r>
        <w:t xml:space="preserve"> Guillelmus de Morbeca, </w:t>
      </w:r>
      <w:r w:rsidRPr="0068670B">
        <w:rPr>
          <w:i/>
          <w:iCs/>
        </w:rPr>
        <w:t>Geomantia</w:t>
      </w:r>
      <w:r>
        <w:t>, 3, 7-15.</w:t>
      </w:r>
    </w:p>
  </w:footnote>
  <w:footnote w:id="238">
    <w:p w14:paraId="7E0F80A6" w14:textId="34ED67D3" w:rsidR="00244FB6" w:rsidRDefault="00244FB6" w:rsidP="00244FB6">
      <w:pPr>
        <w:pStyle w:val="FootnoteText"/>
        <w:ind w:firstLine="0"/>
      </w:pPr>
      <w:r>
        <w:rPr>
          <w:rStyle w:val="FootnoteReference"/>
        </w:rPr>
        <w:footnoteRef/>
      </w:r>
      <w:r>
        <w:t xml:space="preserve"> An example is contained in the codex Oxford, Bodleian Library, MS. Digby 50</w:t>
      </w:r>
      <w:r w:rsidR="007C423D">
        <w:t xml:space="preserve">, </w:t>
      </w:r>
      <w:r>
        <w:t>ff. 93r-106r.</w:t>
      </w:r>
      <w:r w:rsidR="007C423D">
        <w:t xml:space="preserve"> </w:t>
      </w:r>
    </w:p>
  </w:footnote>
  <w:footnote w:id="239">
    <w:p w14:paraId="37378C45" w14:textId="0E61C3B2" w:rsidR="001F2D52" w:rsidRDefault="001F2D52" w:rsidP="001F2D52">
      <w:pPr>
        <w:pStyle w:val="FootnoteText"/>
        <w:ind w:firstLine="0"/>
      </w:pPr>
      <w:r>
        <w:rPr>
          <w:rStyle w:val="FootnoteReference"/>
        </w:rPr>
        <w:footnoteRef/>
      </w:r>
      <w:r>
        <w:t xml:space="preserve"> </w:t>
      </w:r>
      <w:r w:rsidR="00EF4605">
        <w:t xml:space="preserve">I have already discussed this topic in </w:t>
      </w:r>
      <w:r w:rsidR="00646471">
        <w:t>my</w:t>
      </w:r>
      <w:r w:rsidR="00EF4605">
        <w:t xml:space="preserve"> article</w:t>
      </w:r>
      <w:r>
        <w:t xml:space="preserve"> ‘</w:t>
      </w:r>
      <w:r w:rsidRPr="001F2D52">
        <w:t xml:space="preserve">Lunar mansions as celestial images in the thirteenth-century </w:t>
      </w:r>
      <w:r w:rsidRPr="001F2D52">
        <w:rPr>
          <w:i/>
          <w:iCs/>
        </w:rPr>
        <w:t>De signis astronomicis</w:t>
      </w:r>
      <w:r>
        <w:t xml:space="preserve">’ in </w:t>
      </w:r>
      <w:r w:rsidR="00214D2C" w:rsidRPr="008967A4">
        <w:rPr>
          <w:i/>
          <w:iCs/>
        </w:rPr>
        <w:t>Per cognitionem uisualem. The Visualization of Cognitive and Natural Processes in the Middle Ages. XXV Annual Colloquium of the SIEPM</w:t>
      </w:r>
      <w:r w:rsidR="00214D2C" w:rsidRPr="008967A4">
        <w:t xml:space="preserve"> </w:t>
      </w:r>
      <w:r w:rsidR="00214D2C">
        <w:t>[</w:t>
      </w:r>
      <w:r w:rsidR="00214D2C" w:rsidRPr="008967A4">
        <w:t>Rencontres de Philosophie Médiévale, 27</w:t>
      </w:r>
      <w:r w:rsidR="00214D2C">
        <w:t>]</w:t>
      </w:r>
      <w:r w:rsidR="00214D2C" w:rsidRPr="008967A4">
        <w:t>, ed. by J</w:t>
      </w:r>
      <w:r w:rsidR="00EF4E4C">
        <w:t>.</w:t>
      </w:r>
      <w:r w:rsidR="00214D2C" w:rsidRPr="008967A4">
        <w:t xml:space="preserve"> Higuera Rubio, </w:t>
      </w:r>
      <w:r w:rsidR="00214D2C">
        <w:t>(Turnhout: Brepols, 2023),</w:t>
      </w:r>
      <w:r w:rsidR="00104C38">
        <w:t xml:space="preserve"> </w:t>
      </w:r>
      <w:r w:rsidR="00EF4605">
        <w:t>113-132.</w:t>
      </w:r>
    </w:p>
  </w:footnote>
  <w:footnote w:id="240">
    <w:p w14:paraId="33C74E60" w14:textId="77777777" w:rsidR="00244FB6" w:rsidRDefault="00244FB6" w:rsidP="00244FB6">
      <w:pPr>
        <w:pStyle w:val="FootnoteText"/>
        <w:ind w:firstLine="0"/>
      </w:pPr>
      <w:r>
        <w:rPr>
          <w:rStyle w:val="FootnoteReference"/>
        </w:rPr>
        <w:footnoteRef/>
      </w:r>
      <w:r>
        <w:t xml:space="preserve"> It has also been suggested that the system of the lunar mansions originated from the Chinese hsiu, but this does not seem to be related to the system of the manāzil, which developed from the Indian and Bedouin systems, as affirmed in Emilie Savage-Smith, </w:t>
      </w:r>
      <w:r w:rsidRPr="00650E64">
        <w:rPr>
          <w:i/>
          <w:iCs/>
        </w:rPr>
        <w:t>Islamicate Celestial Globes. Their History, Construction and Use</w:t>
      </w:r>
      <w:r>
        <w:t xml:space="preserve"> (Smithsonian Studies in History and Technology 46) (Washington D.C.: </w:t>
      </w:r>
      <w:r w:rsidRPr="00650E64">
        <w:t xml:space="preserve">Smithsonian Institution Press, </w:t>
      </w:r>
      <w:r>
        <w:t xml:space="preserve">1985), 119. Another theory that has been discarded is that of a Greek origin of lunar mansions, suggested in Stefan Weinstock, ‘Lunar Mansions and Early Calendars’, in </w:t>
      </w:r>
      <w:r w:rsidRPr="00650E64">
        <w:rPr>
          <w:i/>
          <w:iCs/>
        </w:rPr>
        <w:t>Journal of Hellenic Studies</w:t>
      </w:r>
      <w:r>
        <w:t xml:space="preserve"> 49 (1949), 48-69. On the debate on the origin of lunar mansions see Philip Yampolsky, ‘The Origin of the Twenty-eight Lunar Mansions’, in </w:t>
      </w:r>
      <w:r w:rsidRPr="00650E64">
        <w:rPr>
          <w:i/>
          <w:iCs/>
        </w:rPr>
        <w:t xml:space="preserve">Osiris </w:t>
      </w:r>
      <w:r>
        <w:t>9 (1950), 62-83.</w:t>
      </w:r>
    </w:p>
  </w:footnote>
  <w:footnote w:id="241">
    <w:p w14:paraId="00168C46" w14:textId="77777777" w:rsidR="00244FB6" w:rsidRDefault="00244FB6" w:rsidP="00244FB6">
      <w:pPr>
        <w:pStyle w:val="FootnoteText"/>
        <w:ind w:firstLine="0"/>
      </w:pPr>
      <w:r>
        <w:rPr>
          <w:rStyle w:val="FootnoteReference"/>
        </w:rPr>
        <w:footnoteRef/>
      </w:r>
      <w:r>
        <w:t xml:space="preserve"> On the origin of the </w:t>
      </w:r>
      <w:r w:rsidRPr="00650E64">
        <w:rPr>
          <w:i/>
          <w:iCs/>
        </w:rPr>
        <w:t>nakṣatras</w:t>
      </w:r>
      <w:r>
        <w:t xml:space="preserve"> see Howard D. Jones, ‘The Origin of the 28 Nakṣatras in Early Indian Astronomy and Astrology’, in </w:t>
      </w:r>
      <w:r w:rsidRPr="00650E64">
        <w:rPr>
          <w:i/>
          <w:iCs/>
        </w:rPr>
        <w:t>Indian Journal of History of Science</w:t>
      </w:r>
      <w:r>
        <w:t xml:space="preserve"> 53.3 (2018), 317-324. See also A.K. Bag, ‘Early Systems of Nakṣatras, Calendar and Antiquity of Vedic &amp; Harappan Traditions’, </w:t>
      </w:r>
      <w:r w:rsidRPr="00D91D72">
        <w:t>in</w:t>
      </w:r>
      <w:r w:rsidRPr="00650E64">
        <w:rPr>
          <w:i/>
          <w:iCs/>
        </w:rPr>
        <w:t xml:space="preserve"> Indian Journal of History of Science</w:t>
      </w:r>
      <w:r>
        <w:t xml:space="preserve"> 50.1 (2015), 1-25; and Harry Falk, ‘The Early Use of Nakṣatras’ in </w:t>
      </w:r>
      <w:r w:rsidRPr="00650E64">
        <w:rPr>
          <w:i/>
          <w:iCs/>
        </w:rPr>
        <w:t xml:space="preserve">The Interactions of Ancient Astral Science, </w:t>
      </w:r>
      <w:r>
        <w:t>ed. by D. Brown, (Bremen:</w:t>
      </w:r>
      <w:r w:rsidRPr="00CA3AD0">
        <w:t xml:space="preserve"> Hempen Verlag</w:t>
      </w:r>
      <w:r>
        <w:t xml:space="preserve">, 2018), 257-532.  </w:t>
      </w:r>
    </w:p>
  </w:footnote>
  <w:footnote w:id="242">
    <w:p w14:paraId="7C101345" w14:textId="4085A74F" w:rsidR="00244FB6" w:rsidRDefault="00244FB6" w:rsidP="00244FB6">
      <w:pPr>
        <w:pStyle w:val="FootnoteText"/>
        <w:ind w:firstLine="0"/>
      </w:pPr>
      <w:r>
        <w:rPr>
          <w:rStyle w:val="FootnoteReference"/>
        </w:rPr>
        <w:footnoteRef/>
      </w:r>
      <w:r>
        <w:t xml:space="preserve"> The number 28 itself had a strong significance in the Middle Ages: “[…] which was precious to the medieval numerologist. In classical number lore this was a perfect number, equal to the sum of its parts (7+6+5+4+3+2+1). In addition, 28 equals its half (14), plus its fourth (7), plus its seventh (4), plus its fourteenth (2), plus its twenty-eighth (1). The Ikhwan al-Safa</w:t>
      </w:r>
      <w:r w:rsidR="007C423D">
        <w:t>’</w:t>
      </w:r>
      <w:r>
        <w:t xml:space="preserve"> (1957, 1, 71) noted that 28 is also the sum of the 7 planets, 9 spheres (aflak) and 12 zodiacal houses (buruj). The esoteric quality of 28 is further entrenched in the famous alchemical Geber's Square, where 28 is the sum of the numbers in the top row and right column (4+9+2+7+6). And, the number 28 became a symbol of prophethood in Islamic mysticism”, in Daniel Martin Varisco, ‘The Magical Significance of the Lunar Stations in the 13th Century Yemeni ‘kitāb al-tabṣira fī ‘ilm al-nujūm’ of al-malik alashraf’, in </w:t>
      </w:r>
      <w:r w:rsidRPr="001960DF">
        <w:rPr>
          <w:i/>
          <w:iCs/>
        </w:rPr>
        <w:t>Quaderni di Studi Arabi</w:t>
      </w:r>
      <w:r>
        <w:t xml:space="preserve"> 13 </w:t>
      </w:r>
      <w:r w:rsidR="00F21F39">
        <w:t>[</w:t>
      </w:r>
      <w:r>
        <w:t>Divination magie pouvoirs au Yémen</w:t>
      </w:r>
      <w:r w:rsidR="00F21F39">
        <w:t>]</w:t>
      </w:r>
      <w:r>
        <w:t xml:space="preserve"> (1995), 19-40: 21.  </w:t>
      </w:r>
    </w:p>
  </w:footnote>
  <w:footnote w:id="243">
    <w:p w14:paraId="0FC046F7" w14:textId="77777777" w:rsidR="00244FB6" w:rsidRDefault="00244FB6" w:rsidP="00244FB6">
      <w:pPr>
        <w:pStyle w:val="FootnoteText"/>
        <w:ind w:firstLine="0"/>
      </w:pPr>
      <w:r>
        <w:rPr>
          <w:rStyle w:val="FootnoteReference"/>
        </w:rPr>
        <w:footnoteRef/>
      </w:r>
      <w:r>
        <w:t xml:space="preserve"> Daniel Martin Varisco, ‘The Origin of the </w:t>
      </w:r>
      <w:r w:rsidRPr="00FE5AEA">
        <w:rPr>
          <w:i/>
          <w:iCs/>
        </w:rPr>
        <w:t>anwā</w:t>
      </w:r>
      <w:r>
        <w:t xml:space="preserve"> in the Arabic Tradition’, in </w:t>
      </w:r>
      <w:r w:rsidRPr="00FE5AEA">
        <w:rPr>
          <w:i/>
          <w:iCs/>
        </w:rPr>
        <w:t xml:space="preserve">Studia Islamica </w:t>
      </w:r>
      <w:r>
        <w:t xml:space="preserve">74 (1991), 5-28. </w:t>
      </w:r>
    </w:p>
  </w:footnote>
  <w:footnote w:id="244">
    <w:p w14:paraId="5E6F2D72" w14:textId="77777777" w:rsidR="00244FB6" w:rsidRDefault="00244FB6" w:rsidP="00244FB6">
      <w:pPr>
        <w:pStyle w:val="FootnoteText"/>
        <w:ind w:firstLine="0"/>
      </w:pPr>
      <w:r>
        <w:rPr>
          <w:rStyle w:val="FootnoteReference"/>
        </w:rPr>
        <w:footnoteRef/>
      </w:r>
      <w:r>
        <w:t xml:space="preserve"> Charles Burnett, ‘Lunar astrology. The varieties of texts using lunar mansions with emphasis on Jafar Indus’, in </w:t>
      </w:r>
      <w:r w:rsidRPr="001960DF">
        <w:rPr>
          <w:i/>
          <w:iCs/>
        </w:rPr>
        <w:t>Il Sole e la Luna (The Sun and the Moon)</w:t>
      </w:r>
      <w:r>
        <w:rPr>
          <w:i/>
          <w:iCs/>
        </w:rPr>
        <w:t>,</w:t>
      </w:r>
      <w:r>
        <w:t xml:space="preserve"> ed. by A. Paravicini Bagliani (Micrologus Library 12), (Florence: Sismel – Edizioni del Galluzzo, 2004), 43-140. </w:t>
      </w:r>
    </w:p>
  </w:footnote>
  <w:footnote w:id="245">
    <w:p w14:paraId="6A2F65B3" w14:textId="3C36D0AF" w:rsidR="00244FB6" w:rsidRDefault="00244FB6" w:rsidP="00244FB6">
      <w:pPr>
        <w:pStyle w:val="FootnoteText"/>
        <w:ind w:firstLine="0"/>
      </w:pPr>
      <w:r>
        <w:rPr>
          <w:rStyle w:val="FootnoteReference"/>
        </w:rPr>
        <w:footnoteRef/>
      </w:r>
      <w:r>
        <w:t xml:space="preserve"> The full passage reads: “Itaque </w:t>
      </w:r>
      <w:r w:rsidRPr="00514579">
        <w:rPr>
          <w:i/>
          <w:iCs/>
        </w:rPr>
        <w:t>Comprehensum intus</w:t>
      </w:r>
      <w:r>
        <w:t xml:space="preserve"> ab his que sunt </w:t>
      </w:r>
      <w:r w:rsidRPr="00514579">
        <w:rPr>
          <w:i/>
          <w:iCs/>
        </w:rPr>
        <w:t>anathet</w:t>
      </w:r>
      <w:r>
        <w:t xml:space="preserve"> et </w:t>
      </w:r>
      <w:r w:rsidRPr="00514579">
        <w:rPr>
          <w:i/>
          <w:iCs/>
        </w:rPr>
        <w:t>abuten</w:t>
      </w:r>
      <w:r>
        <w:t xml:space="preserve"> generatur; </w:t>
      </w:r>
      <w:r w:rsidRPr="00514579">
        <w:rPr>
          <w:i/>
          <w:iCs/>
        </w:rPr>
        <w:t xml:space="preserve">Auxilium </w:t>
      </w:r>
      <w:r w:rsidRPr="00514579">
        <w:t>quidem</w:t>
      </w:r>
      <w:r w:rsidRPr="00514579">
        <w:rPr>
          <w:i/>
          <w:iCs/>
        </w:rPr>
        <w:t xml:space="preserve"> intus</w:t>
      </w:r>
      <w:r>
        <w:rPr>
          <w:i/>
          <w:iCs/>
        </w:rPr>
        <w:t>,</w:t>
      </w:r>
      <w:r>
        <w:t xml:space="preserve"> </w:t>
      </w:r>
      <w:r w:rsidRPr="00514579">
        <w:rPr>
          <w:i/>
          <w:iCs/>
        </w:rPr>
        <w:t>azoreie</w:t>
      </w:r>
      <w:r>
        <w:t xml:space="preserve"> constituit; </w:t>
      </w:r>
      <w:r w:rsidRPr="00514579">
        <w:rPr>
          <w:i/>
          <w:iCs/>
        </w:rPr>
        <w:t>Barbatus</w:t>
      </w:r>
      <w:r>
        <w:t xml:space="preserve"> uero ab ea que est </w:t>
      </w:r>
      <w:r w:rsidRPr="00514579">
        <w:rPr>
          <w:i/>
          <w:iCs/>
        </w:rPr>
        <w:t>aldebaran</w:t>
      </w:r>
      <w:r>
        <w:t xml:space="preserve"> progreditur; Mundus facie ex </w:t>
      </w:r>
      <w:r w:rsidRPr="00514579">
        <w:rPr>
          <w:i/>
          <w:iCs/>
        </w:rPr>
        <w:t>almiten</w:t>
      </w:r>
      <w:r>
        <w:t xml:space="preserve">; nam </w:t>
      </w:r>
      <w:r w:rsidRPr="00514579">
        <w:rPr>
          <w:i/>
          <w:iCs/>
        </w:rPr>
        <w:t>Rubeus</w:t>
      </w:r>
      <w:r>
        <w:t xml:space="preserve"> eam que </w:t>
      </w:r>
      <w:r w:rsidRPr="00514579">
        <w:rPr>
          <w:i/>
          <w:iCs/>
        </w:rPr>
        <w:t>alziraen</w:t>
      </w:r>
      <w:r>
        <w:t xml:space="preserve"> spectat; </w:t>
      </w:r>
      <w:r w:rsidRPr="00514579">
        <w:rPr>
          <w:i/>
          <w:iCs/>
        </w:rPr>
        <w:t>Candidus</w:t>
      </w:r>
      <w:r>
        <w:t xml:space="preserve"> rursum ab his que sunt a </w:t>
      </w:r>
      <w:r w:rsidRPr="003E7F05">
        <w:rPr>
          <w:i/>
          <w:iCs/>
        </w:rPr>
        <w:t>nazra</w:t>
      </w:r>
      <w:r>
        <w:t xml:space="preserve"> et </w:t>
      </w:r>
      <w:r w:rsidRPr="003E7F05">
        <w:rPr>
          <w:i/>
          <w:iCs/>
        </w:rPr>
        <w:t>atart</w:t>
      </w:r>
      <w:r>
        <w:t xml:space="preserve"> procedit; </w:t>
      </w:r>
      <w:r w:rsidRPr="003E7F05">
        <w:rPr>
          <w:i/>
          <w:iCs/>
        </w:rPr>
        <w:t>Via</w:t>
      </w:r>
      <w:r>
        <w:t xml:space="preserve"> quidem ex </w:t>
      </w:r>
      <w:r w:rsidRPr="003E7F05">
        <w:rPr>
          <w:i/>
          <w:iCs/>
        </w:rPr>
        <w:t>aliabha</w:t>
      </w:r>
      <w:r>
        <w:t xml:space="preserve"> conficitur; </w:t>
      </w:r>
      <w:r w:rsidRPr="003E7F05">
        <w:rPr>
          <w:i/>
          <w:iCs/>
        </w:rPr>
        <w:t>Limen interius</w:t>
      </w:r>
      <w:r>
        <w:t xml:space="preserve"> </w:t>
      </w:r>
      <w:r w:rsidRPr="003E7F05">
        <w:rPr>
          <w:i/>
          <w:iCs/>
        </w:rPr>
        <w:t>alawe</w:t>
      </w:r>
      <w:r>
        <w:t xml:space="preserve"> respicit; </w:t>
      </w:r>
      <w:r w:rsidRPr="003E7F05">
        <w:rPr>
          <w:i/>
          <w:iCs/>
        </w:rPr>
        <w:t>Coniunctio</w:t>
      </w:r>
      <w:r>
        <w:t xml:space="preserve"> ad </w:t>
      </w:r>
      <w:r w:rsidRPr="003E7F05">
        <w:rPr>
          <w:i/>
          <w:iCs/>
        </w:rPr>
        <w:t>acimec</w:t>
      </w:r>
      <w:r>
        <w:t xml:space="preserve"> spectat; </w:t>
      </w:r>
      <w:r w:rsidRPr="003E7F05">
        <w:rPr>
          <w:i/>
          <w:iCs/>
        </w:rPr>
        <w:t>Inberbis</w:t>
      </w:r>
      <w:r>
        <w:t xml:space="preserve"> uero ex his que sunt </w:t>
      </w:r>
      <w:r w:rsidRPr="003E7F05">
        <w:rPr>
          <w:i/>
          <w:iCs/>
        </w:rPr>
        <w:t>algafre</w:t>
      </w:r>
      <w:r>
        <w:t xml:space="preserve"> et </w:t>
      </w:r>
      <w:r w:rsidRPr="003E7F05">
        <w:rPr>
          <w:i/>
          <w:iCs/>
        </w:rPr>
        <w:t>azaibrum</w:t>
      </w:r>
      <w:r>
        <w:t xml:space="preserve"> colligitur; </w:t>
      </w:r>
      <w:r w:rsidRPr="003E7F05">
        <w:rPr>
          <w:i/>
          <w:iCs/>
        </w:rPr>
        <w:t>Comprehensum foris</w:t>
      </w:r>
      <w:r>
        <w:t xml:space="preserve"> </w:t>
      </w:r>
      <w:r w:rsidRPr="003E7F05">
        <w:rPr>
          <w:i/>
          <w:iCs/>
        </w:rPr>
        <w:t>alici</w:t>
      </w:r>
      <w:r>
        <w:t xml:space="preserve"> procreat; </w:t>
      </w:r>
      <w:r w:rsidRPr="003E7F05">
        <w:rPr>
          <w:i/>
          <w:iCs/>
        </w:rPr>
        <w:t>Diminutus</w:t>
      </w:r>
      <w:r>
        <w:t xml:space="preserve"> quoque ab </w:t>
      </w:r>
      <w:r w:rsidRPr="003E7F05">
        <w:rPr>
          <w:i/>
          <w:iCs/>
        </w:rPr>
        <w:t>aixol</w:t>
      </w:r>
      <w:r>
        <w:t xml:space="preserve"> exoritur; </w:t>
      </w:r>
      <w:r w:rsidRPr="003E7F05">
        <w:rPr>
          <w:i/>
          <w:iCs/>
        </w:rPr>
        <w:t>Congregatio</w:t>
      </w:r>
      <w:r>
        <w:t xml:space="preserve"> ex </w:t>
      </w:r>
      <w:r w:rsidRPr="003E7F05">
        <w:rPr>
          <w:i/>
          <w:iCs/>
        </w:rPr>
        <w:t>alnaan</w:t>
      </w:r>
      <w:r>
        <w:t xml:space="preserve"> consistit; </w:t>
      </w:r>
      <w:r w:rsidRPr="003E7F05">
        <w:rPr>
          <w:i/>
          <w:iCs/>
        </w:rPr>
        <w:t>Limen exterius</w:t>
      </w:r>
      <w:r>
        <w:t xml:space="preserve"> ex </w:t>
      </w:r>
      <w:r w:rsidRPr="003E7F05">
        <w:rPr>
          <w:i/>
          <w:iCs/>
        </w:rPr>
        <w:t>albedah</w:t>
      </w:r>
      <w:r>
        <w:t xml:space="preserve">; </w:t>
      </w:r>
      <w:r w:rsidRPr="003E7F05">
        <w:rPr>
          <w:i/>
          <w:iCs/>
        </w:rPr>
        <w:t>Auxilium foris</w:t>
      </w:r>
      <w:r>
        <w:t xml:space="preserve"> ex </w:t>
      </w:r>
      <w:r w:rsidRPr="003E7F05">
        <w:rPr>
          <w:i/>
          <w:iCs/>
        </w:rPr>
        <w:t>accood</w:t>
      </w:r>
      <w:r>
        <w:t xml:space="preserve"> et </w:t>
      </w:r>
      <w:r w:rsidRPr="003E7F05">
        <w:rPr>
          <w:i/>
          <w:iCs/>
        </w:rPr>
        <w:t>alahbia</w:t>
      </w:r>
      <w:r>
        <w:t xml:space="preserve"> et </w:t>
      </w:r>
      <w:r w:rsidRPr="003E7F05">
        <w:rPr>
          <w:i/>
          <w:iCs/>
        </w:rPr>
        <w:t>algarf</w:t>
      </w:r>
      <w:r>
        <w:t xml:space="preserve">; </w:t>
      </w:r>
      <w:r w:rsidRPr="003E7F05">
        <w:rPr>
          <w:i/>
          <w:iCs/>
        </w:rPr>
        <w:t>Constrictus</w:t>
      </w:r>
      <w:r>
        <w:t xml:space="preserve"> tandem ex </w:t>
      </w:r>
      <w:r w:rsidRPr="003E7F05">
        <w:rPr>
          <w:i/>
          <w:iCs/>
        </w:rPr>
        <w:t>alhout</w:t>
      </w:r>
      <w:r>
        <w:t xml:space="preserve"> generatur.” From Hugo Sanctelliensis, </w:t>
      </w:r>
      <w:r w:rsidRPr="003E7F05">
        <w:rPr>
          <w:i/>
          <w:iCs/>
        </w:rPr>
        <w:t xml:space="preserve">Prologus super </w:t>
      </w:r>
      <w:r>
        <w:rPr>
          <w:i/>
          <w:iCs/>
        </w:rPr>
        <w:t>A</w:t>
      </w:r>
      <w:r w:rsidRPr="003E7F05">
        <w:rPr>
          <w:i/>
          <w:iCs/>
        </w:rPr>
        <w:t>rtem geomanti</w:t>
      </w:r>
      <w:r>
        <w:rPr>
          <w:i/>
          <w:iCs/>
        </w:rPr>
        <w:t>ae</w:t>
      </w:r>
      <w:r>
        <w:t xml:space="preserve">, 26-45, in Pasquale Arfé, ‘Le dimore delle stelle nel </w:t>
      </w:r>
      <w:r w:rsidRPr="003E7F05">
        <w:rPr>
          <w:i/>
          <w:iCs/>
        </w:rPr>
        <w:t>Prologus super artem geomanti</w:t>
      </w:r>
      <w:r>
        <w:rPr>
          <w:i/>
          <w:iCs/>
        </w:rPr>
        <w:t>ae</w:t>
      </w:r>
      <w:r>
        <w:t xml:space="preserve"> di Ugo di Santalla</w:t>
      </w:r>
      <w:r w:rsidR="006749C6">
        <w:t>,</w:t>
      </w:r>
      <w:r>
        <w:t xml:space="preserve">’ 66. </w:t>
      </w:r>
    </w:p>
  </w:footnote>
  <w:footnote w:id="246">
    <w:p w14:paraId="375D6476" w14:textId="77777777" w:rsidR="00244FB6" w:rsidRDefault="00244FB6" w:rsidP="00244FB6">
      <w:pPr>
        <w:pStyle w:val="FootnoteText"/>
        <w:ind w:firstLine="0"/>
      </w:pPr>
      <w:r>
        <w:rPr>
          <w:rStyle w:val="FootnoteReference"/>
        </w:rPr>
        <w:footnoteRef/>
      </w:r>
      <w:r>
        <w:t xml:space="preserve"> Cambridge, Magdalen Coll. F. 4.27, f. 121r. </w:t>
      </w:r>
    </w:p>
  </w:footnote>
  <w:footnote w:id="247">
    <w:p w14:paraId="14E3D3F1" w14:textId="77777777" w:rsidR="00244FB6" w:rsidRDefault="00244FB6" w:rsidP="00244FB6">
      <w:pPr>
        <w:pStyle w:val="FootnoteText"/>
        <w:ind w:firstLine="0"/>
      </w:pPr>
      <w:r>
        <w:rPr>
          <w:rStyle w:val="FootnoteReference"/>
        </w:rPr>
        <w:footnoteRef/>
      </w:r>
      <w:r>
        <w:t xml:space="preserve"> Florence, Biblioteca Medicea Laurenziana, MS. Plut. 30.29, f.26vb: “Almisan finis est tauri et capud geminorum, stelle due. Qui in eis nascitur nec albus nec nigrus, forma equalis, facie medius, capilli pulcri, corpore mundo, mansuetus, sedulus, mediator de aliorum negociis, et possessionibus fortis. Arathia, uel azothaia, uentri geminorum, stelle 5 sic.”</w:t>
      </w:r>
    </w:p>
  </w:footnote>
  <w:footnote w:id="248">
    <w:p w14:paraId="03468C90" w14:textId="77777777" w:rsidR="00244FB6" w:rsidRDefault="00244FB6" w:rsidP="00244FB6">
      <w:pPr>
        <w:pStyle w:val="FootnoteText"/>
        <w:ind w:firstLine="0"/>
      </w:pPr>
      <w:r>
        <w:rPr>
          <w:rStyle w:val="FootnoteReference"/>
        </w:rPr>
        <w:footnoteRef/>
      </w:r>
      <w:r>
        <w:t xml:space="preserve"> Department of Oriental Antiquities, Inv. No. 188.5-26.1.</w:t>
      </w:r>
    </w:p>
  </w:footnote>
  <w:footnote w:id="249">
    <w:p w14:paraId="448B12C8" w14:textId="5A269F90" w:rsidR="00244FB6" w:rsidRDefault="00244FB6" w:rsidP="00244FB6">
      <w:pPr>
        <w:pStyle w:val="FootnoteText"/>
        <w:ind w:firstLine="0"/>
      </w:pPr>
      <w:r>
        <w:rPr>
          <w:rStyle w:val="FootnoteReference"/>
        </w:rPr>
        <w:footnoteRef/>
      </w:r>
      <w:r>
        <w:t xml:space="preserve"> </w:t>
      </w:r>
      <w:r w:rsidRPr="00064284">
        <w:t xml:space="preserve">Emilie Savage-Smith and Marion B. Smith, </w:t>
      </w:r>
      <w:r>
        <w:t>‘</w:t>
      </w:r>
      <w:r w:rsidRPr="00064284">
        <w:t xml:space="preserve">Islamic Geomancy and a Thirteenth-Century Divinatory </w:t>
      </w:r>
      <w:r w:rsidR="0039340E">
        <w:t>D</w:t>
      </w:r>
      <w:r w:rsidRPr="00064284">
        <w:t>evice</w:t>
      </w:r>
      <w:r>
        <w:t>’</w:t>
      </w:r>
      <w:r w:rsidRPr="00064284">
        <w:t>,</w:t>
      </w:r>
      <w:r>
        <w:t xml:space="preserve"> in </w:t>
      </w:r>
      <w:r w:rsidRPr="00064284">
        <w:t xml:space="preserve"> </w:t>
      </w:r>
      <w:r w:rsidRPr="00064284">
        <w:rPr>
          <w:i/>
          <w:iCs/>
        </w:rPr>
        <w:t>Magic and Divination in Early Islam</w:t>
      </w:r>
      <w:r w:rsidRPr="00064284">
        <w:t>, ed. by E. Savage-Smith [The Formation of the Classical Islamic World, vol. 42]</w:t>
      </w:r>
      <w:r>
        <w:t xml:space="preserve"> (</w:t>
      </w:r>
      <w:r w:rsidRPr="00064284">
        <w:t>Aldershot: Ashgate, 2004</w:t>
      </w:r>
      <w:r>
        <w:t>),</w:t>
      </w:r>
      <w:r w:rsidRPr="00064284">
        <w:t xml:space="preserve"> 211−276</w:t>
      </w:r>
      <w:r>
        <w:t>.</w:t>
      </w:r>
    </w:p>
  </w:footnote>
  <w:footnote w:id="250">
    <w:p w14:paraId="265C4B6A" w14:textId="233AE2E6" w:rsidR="00244FB6" w:rsidRDefault="00244FB6" w:rsidP="00244FB6">
      <w:pPr>
        <w:pStyle w:val="FootnoteText"/>
        <w:ind w:firstLine="0"/>
      </w:pPr>
      <w:r>
        <w:rPr>
          <w:rStyle w:val="FootnoteReference"/>
        </w:rPr>
        <w:footnoteRef/>
      </w:r>
      <w:r>
        <w:t xml:space="preserve"> For a complete description of the device see Savage-Smith and Smith,</w:t>
      </w:r>
      <w:r w:rsidRPr="003A55F1">
        <w:t xml:space="preserve"> </w:t>
      </w:r>
      <w:r>
        <w:t>‘</w:t>
      </w:r>
      <w:r w:rsidRPr="003A55F1">
        <w:t xml:space="preserve">Islamic Geomancy and a Thirteenth-Century Divinatory </w:t>
      </w:r>
      <w:r w:rsidR="0039340E">
        <w:t>D</w:t>
      </w:r>
      <w:r w:rsidRPr="003A55F1">
        <w:t>evice</w:t>
      </w:r>
      <w:r w:rsidR="0039340E">
        <w:t>,</w:t>
      </w:r>
      <w:r>
        <w:t>’ 224-229.</w:t>
      </w:r>
    </w:p>
  </w:footnote>
  <w:footnote w:id="251">
    <w:p w14:paraId="3DC5FA4C" w14:textId="5E805E22" w:rsidR="00244FB6" w:rsidRDefault="00244FB6" w:rsidP="00244FB6">
      <w:pPr>
        <w:pStyle w:val="FootnoteText"/>
        <w:ind w:firstLine="0"/>
      </w:pPr>
      <w:r>
        <w:rPr>
          <w:rStyle w:val="FootnoteReference"/>
        </w:rPr>
        <w:footnoteRef/>
      </w:r>
      <w:r>
        <w:t xml:space="preserve"> Savage-Smith and Smith,</w:t>
      </w:r>
      <w:r w:rsidRPr="003A55F1">
        <w:t xml:space="preserve"> </w:t>
      </w:r>
      <w:r>
        <w:t>‘</w:t>
      </w:r>
      <w:r w:rsidRPr="003A55F1">
        <w:t xml:space="preserve">Islamic Geomancy and a Thirteenth-Century Divinatory </w:t>
      </w:r>
      <w:r w:rsidR="0039340E">
        <w:t>D</w:t>
      </w:r>
      <w:r w:rsidRPr="003A55F1">
        <w:t>evice</w:t>
      </w:r>
      <w:r w:rsidR="0039340E">
        <w:t>,</w:t>
      </w:r>
      <w:r>
        <w:t>’ 238. See the image of the dial on pages 239-241.</w:t>
      </w:r>
    </w:p>
  </w:footnote>
  <w:footnote w:id="252">
    <w:p w14:paraId="6F2018D0" w14:textId="0BF023CA" w:rsidR="00244FB6" w:rsidRDefault="00244FB6" w:rsidP="00244FB6">
      <w:pPr>
        <w:pStyle w:val="FootnoteText"/>
        <w:ind w:firstLine="0"/>
      </w:pPr>
      <w:r>
        <w:rPr>
          <w:rStyle w:val="FootnoteReference"/>
        </w:rPr>
        <w:footnoteRef/>
      </w:r>
      <w:r>
        <w:t xml:space="preserve"> For the interpretation and position of the lunar mansions see Savage-Smith and Smith,</w:t>
      </w:r>
      <w:r w:rsidRPr="003A55F1">
        <w:t xml:space="preserve"> </w:t>
      </w:r>
      <w:r>
        <w:t>‘</w:t>
      </w:r>
      <w:r w:rsidRPr="003A55F1">
        <w:t xml:space="preserve">Islamic Geomancy and a Thirteenth-Century Divinatory </w:t>
      </w:r>
      <w:r w:rsidR="0039340E">
        <w:t>D</w:t>
      </w:r>
      <w:r w:rsidRPr="003A55F1">
        <w:t>evice</w:t>
      </w:r>
      <w:r w:rsidR="0039340E">
        <w:t>,</w:t>
      </w:r>
      <w:r>
        <w:t>’ 249-249.</w:t>
      </w:r>
    </w:p>
  </w:footnote>
  <w:footnote w:id="253">
    <w:p w14:paraId="3D64D049" w14:textId="5FDA640E" w:rsidR="00244FB6" w:rsidRDefault="00244FB6" w:rsidP="00244FB6">
      <w:pPr>
        <w:pStyle w:val="FootnoteText"/>
        <w:ind w:firstLine="0"/>
      </w:pPr>
      <w:r>
        <w:rPr>
          <w:rStyle w:val="FootnoteReference"/>
        </w:rPr>
        <w:footnoteRef/>
      </w:r>
      <w:r>
        <w:t xml:space="preserve"> The copy of </w:t>
      </w:r>
      <w:r w:rsidRPr="00D61F48">
        <w:rPr>
          <w:i/>
          <w:iCs/>
        </w:rPr>
        <w:t>the Liber arenalis scientiae</w:t>
      </w:r>
      <w:r>
        <w:t xml:space="preserve"> by Plato of Tivoli preserved in the manuscript London, BL, Arundel 66 displays the sixteen geomantic figures as star clusters illuminated with gold leaf, and contained in medallions of blue or red colour. In the manuscript </w:t>
      </w:r>
      <w:r w:rsidRPr="00D61F48">
        <w:t>Cambridge, Corpus Christi College, MS</w:t>
      </w:r>
      <w:r>
        <w:t>.</w:t>
      </w:r>
      <w:r w:rsidRPr="00D61F48">
        <w:t xml:space="preserve"> 037</w:t>
      </w:r>
      <w:r>
        <w:t>, a miscellany of astrological texts, a treatise on lunar mansions written in Middle French</w:t>
      </w:r>
      <w:r w:rsidR="00204647">
        <w:t>,</w:t>
      </w:r>
      <w:r>
        <w:t xml:space="preserve"> contains in the margins representations of the lunar asterisms depicted as small stars. The resemblance between the two sets of designs further strengthens the correspondence between lunar mansions and geomantic figures.</w:t>
      </w:r>
    </w:p>
  </w:footnote>
  <w:footnote w:id="254">
    <w:p w14:paraId="5F974993" w14:textId="4A9E7B64" w:rsidR="00244FB6" w:rsidRDefault="00244FB6" w:rsidP="00244FB6">
      <w:pPr>
        <w:pStyle w:val="FootnoteText"/>
        <w:ind w:firstLine="0"/>
      </w:pPr>
      <w:r>
        <w:rPr>
          <w:rStyle w:val="FootnoteReference"/>
        </w:rPr>
        <w:footnoteRef/>
      </w:r>
      <w:r>
        <w:t xml:space="preserve"> The circular diagram contained in the </w:t>
      </w:r>
      <w:r w:rsidRPr="00D954F4">
        <w:rPr>
          <w:i/>
          <w:iCs/>
        </w:rPr>
        <w:t>Estimaverunt Indi</w:t>
      </w:r>
      <w:r>
        <w:t>, in the codex Florence, BML, Plut. 30.29 is discussed by Irene Zavattero in her article ‘</w:t>
      </w:r>
      <w:r w:rsidRPr="00D954F4">
        <w:rPr>
          <w:i/>
          <w:iCs/>
        </w:rPr>
        <w:t>Estimaverunt Indi</w:t>
      </w:r>
      <w:r>
        <w:t>: La tradizione testuale di un anomimo trattato di geomanzia</w:t>
      </w:r>
      <w:r w:rsidR="00B75298">
        <w:t>,</w:t>
      </w:r>
      <w:r>
        <w:t>’ 31-63. A more thorough analysis of all the images in the Estimaverunt Indi is offered in the article by Alessandro Palazzo, ‘</w:t>
      </w:r>
      <w:r w:rsidRPr="00D954F4">
        <w:rPr>
          <w:i/>
          <w:iCs/>
        </w:rPr>
        <w:t>Et ego quidem nunc fabricabo circulum.</w:t>
      </w:r>
      <w:r>
        <w:t xml:space="preserve"> Images and Diagrams in the Geomantic Treatise </w:t>
      </w:r>
      <w:r w:rsidRPr="00D954F4">
        <w:rPr>
          <w:i/>
          <w:iCs/>
        </w:rPr>
        <w:t>Estimaverunt Indi</w:t>
      </w:r>
      <w:r>
        <w:t xml:space="preserve">’, in </w:t>
      </w:r>
      <w:r w:rsidRPr="00E122FF">
        <w:rPr>
          <w:i/>
          <w:iCs/>
        </w:rPr>
        <w:t>Per cognitionem uisualem. The Visualization of Cognitive and Natural Processes in the Middle Ages</w:t>
      </w:r>
      <w:r w:rsidRPr="00E122FF">
        <w:t xml:space="preserve">. XXV Annual Colloquium of the SIEPM (Rencontres de Philosophie Médiévale, 27), ed. by José Higuera Rubio, </w:t>
      </w:r>
      <w:r>
        <w:t xml:space="preserve">(Turnhout: </w:t>
      </w:r>
      <w:r w:rsidRPr="00E122FF">
        <w:t>B</w:t>
      </w:r>
      <w:r>
        <w:t xml:space="preserve">repols, </w:t>
      </w:r>
      <w:r w:rsidRPr="00E122FF">
        <w:t>2023</w:t>
      </w:r>
      <w:r>
        <w:t>), 133-172.</w:t>
      </w:r>
    </w:p>
  </w:footnote>
  <w:footnote w:id="255">
    <w:p w14:paraId="49EE6A10" w14:textId="77777777" w:rsidR="00244FB6" w:rsidRDefault="00244FB6" w:rsidP="00244FB6">
      <w:pPr>
        <w:pStyle w:val="FootnoteText"/>
        <w:ind w:firstLine="0"/>
      </w:pPr>
      <w:r>
        <w:rPr>
          <w:rStyle w:val="FootnoteReference"/>
        </w:rPr>
        <w:footnoteRef/>
      </w:r>
      <w:r>
        <w:t xml:space="preserve"> The ‘Magnificent Parchment’ has been digitised as part of the project </w:t>
      </w:r>
      <w:r w:rsidRPr="001163C3">
        <w:t xml:space="preserve">The University of Haifa </w:t>
      </w:r>
      <w:r w:rsidRPr="001163C3">
        <w:rPr>
          <w:i/>
          <w:iCs/>
        </w:rPr>
        <w:t>Ilanot</w:t>
      </w:r>
      <w:r w:rsidRPr="001163C3">
        <w:t xml:space="preserve"> Project, founded and led by Prof. J. H. Chajes</w:t>
      </w:r>
      <w:r>
        <w:t xml:space="preserve">, dedicated to the study of visual kabbala. The digital image and description of </w:t>
      </w:r>
      <w:r w:rsidRPr="001163C3">
        <w:rPr>
          <w:i/>
          <w:iCs/>
        </w:rPr>
        <w:t>Ilanot</w:t>
      </w:r>
      <w:r>
        <w:t xml:space="preserve"> mentioned in </w:t>
      </w:r>
      <w:r w:rsidRPr="003F791C">
        <w:t>MS Hunt. Add. D</w:t>
      </w:r>
      <w:r>
        <w:t xml:space="preserve"> can be accessed through this link: </w:t>
      </w:r>
      <w:bookmarkStart w:id="72" w:name="_Hlk149647800"/>
      <w:r w:rsidRPr="00BF720A">
        <w:fldChar w:fldCharType="begin"/>
      </w:r>
      <w:r w:rsidRPr="00BF720A">
        <w:instrText>HYPERLINK "https://ilanot.org/detail?id=https://ilanot.org/resource/item/manuscript3r0gg" \l "1/-168/78"</w:instrText>
      </w:r>
      <w:r w:rsidRPr="00BF720A">
        <w:fldChar w:fldCharType="separate"/>
      </w:r>
      <w:r w:rsidRPr="00BF720A">
        <w:rPr>
          <w:rStyle w:val="Hyperlink"/>
          <w:color w:val="auto"/>
        </w:rPr>
        <w:t>https://ilanot.org/detail?id=https://ilanot.org/resource/item/manuscript3r0gg#1/-168/78</w:t>
      </w:r>
      <w:r w:rsidRPr="00BF720A">
        <w:rPr>
          <w:rStyle w:val="Hyperlink"/>
          <w:color w:val="auto"/>
        </w:rPr>
        <w:fldChar w:fldCharType="end"/>
      </w:r>
      <w:r w:rsidRPr="00BF720A">
        <w:t xml:space="preserve"> </w:t>
      </w:r>
      <w:bookmarkEnd w:id="72"/>
      <w:r>
        <w:t>. I thank Dr Hanna Gentili for bringing this manuscript to my attention.</w:t>
      </w:r>
    </w:p>
  </w:footnote>
  <w:footnote w:id="256">
    <w:p w14:paraId="5A67C399" w14:textId="618E9517" w:rsidR="00244FB6" w:rsidRDefault="00244FB6" w:rsidP="00244FB6">
      <w:pPr>
        <w:pStyle w:val="FootnoteText"/>
        <w:ind w:firstLine="0"/>
      </w:pPr>
      <w:r>
        <w:rPr>
          <w:rStyle w:val="FootnoteReference"/>
        </w:rPr>
        <w:footnoteRef/>
      </w:r>
      <w:r>
        <w:t xml:space="preserve"> </w:t>
      </w:r>
      <w:r w:rsidR="0025404C">
        <w:t>Arfé</w:t>
      </w:r>
      <w:r>
        <w:t>, ‘Le dimore delle stelle</w:t>
      </w:r>
      <w:r w:rsidR="008F049D">
        <w:t>,</w:t>
      </w:r>
      <w:r>
        <w:t xml:space="preserve">’ 54-55. </w:t>
      </w:r>
    </w:p>
  </w:footnote>
  <w:footnote w:id="257">
    <w:p w14:paraId="1A5B68B0" w14:textId="26BC59C0" w:rsidR="00005FE2" w:rsidRDefault="00005FE2" w:rsidP="00005FE2">
      <w:pPr>
        <w:pStyle w:val="FootnoteText"/>
        <w:ind w:firstLine="0"/>
      </w:pPr>
      <w:r>
        <w:rPr>
          <w:rStyle w:val="FootnoteReference"/>
        </w:rPr>
        <w:footnoteRef/>
      </w:r>
      <w:r>
        <w:t xml:space="preserve"> The importance of intentions in the practice of geomancy has been recently highlighted by Alessandro Palazzo in his article ‘Dibattiti filosofici e scientifici sulla geomanzia nel medioevo latino</w:t>
      </w:r>
      <w:r w:rsidR="00B0554E">
        <w:t>,</w:t>
      </w:r>
      <w:r>
        <w:t>’</w:t>
      </w:r>
      <w:r w:rsidRPr="00267E09">
        <w:t xml:space="preserve"> 31-56</w:t>
      </w:r>
      <w:r>
        <w:t xml:space="preserve">; and by Alessandra </w:t>
      </w:r>
      <w:r w:rsidRPr="00267E09">
        <w:t>Beccarisi</w:t>
      </w:r>
      <w:r>
        <w:t xml:space="preserve"> in her preface to the edition of Moerbeke’s </w:t>
      </w:r>
      <w:r w:rsidRPr="00BF0D14">
        <w:rPr>
          <w:i/>
          <w:iCs/>
        </w:rPr>
        <w:t>Geomantia</w:t>
      </w:r>
      <w:r>
        <w:t>, see</w:t>
      </w:r>
      <w:r w:rsidRPr="00267E09">
        <w:t xml:space="preserve"> </w:t>
      </w:r>
      <w:r>
        <w:t>‘</w:t>
      </w:r>
      <w:r w:rsidRPr="00267E09">
        <w:t>Guglielmo di Moerbeke e la Geomanzia</w:t>
      </w:r>
      <w:r w:rsidR="00B0554E">
        <w:t>,</w:t>
      </w:r>
      <w:r>
        <w:t xml:space="preserve">’ </w:t>
      </w:r>
      <w:r w:rsidRPr="00267E09">
        <w:t>VII-LVIII</w:t>
      </w:r>
      <w:r>
        <w:t>.</w:t>
      </w:r>
    </w:p>
  </w:footnote>
  <w:footnote w:id="258">
    <w:p w14:paraId="61806EAE" w14:textId="663FC054" w:rsidR="00D33099" w:rsidRDefault="00D33099" w:rsidP="00D33099">
      <w:pPr>
        <w:pStyle w:val="FootnoteText"/>
        <w:ind w:firstLine="0"/>
      </w:pPr>
      <w:r>
        <w:rPr>
          <w:rStyle w:val="FootnoteReference"/>
        </w:rPr>
        <w:footnoteRef/>
      </w:r>
      <w:r>
        <w:t xml:space="preserve"> Although a substantial section of Moerbeke’s </w:t>
      </w:r>
      <w:r w:rsidRPr="00D33099">
        <w:rPr>
          <w:i/>
          <w:iCs/>
        </w:rPr>
        <w:t>Geomantia</w:t>
      </w:r>
      <w:r>
        <w:t xml:space="preserve"> is dedicated to the topic of human intentions, this text will not be considered in this section because it is a Latin compilation rather tha</w:t>
      </w:r>
      <w:r w:rsidR="004D1260">
        <w:t>n</w:t>
      </w:r>
      <w:r>
        <w:t xml:space="preserve"> a translation from an Arabic source. For Moerbeke’s discussion on this topic see Guillelmus de Morbeca, </w:t>
      </w:r>
      <w:r w:rsidRPr="004D1C18">
        <w:rPr>
          <w:i/>
          <w:iCs/>
        </w:rPr>
        <w:t>Geomantia, IV, 5-VIII,</w:t>
      </w:r>
      <w:r>
        <w:t xml:space="preserve"> ed. by E. Rubino [Corpus Philosophorum Medii Aevi Testi e Studi XXVIII] (Florence: Sismel-Edizioni del Galluzzo, 2023), </w:t>
      </w:r>
      <w:r w:rsidR="00DE6A20">
        <w:t>110-117.</w:t>
      </w:r>
    </w:p>
  </w:footnote>
  <w:footnote w:id="259">
    <w:p w14:paraId="6B14282E" w14:textId="16D91B6C" w:rsidR="00244FB6" w:rsidRPr="0045279B" w:rsidRDefault="00244FB6" w:rsidP="00244FB6">
      <w:pPr>
        <w:pStyle w:val="FootnoteText"/>
        <w:ind w:firstLine="0"/>
        <w:rPr>
          <w:highlight w:val="yellow"/>
        </w:rPr>
      </w:pPr>
      <w:r>
        <w:rPr>
          <w:rStyle w:val="FootnoteReference"/>
        </w:rPr>
        <w:footnoteRef/>
      </w:r>
      <w:r>
        <w:t xml:space="preserve"> </w:t>
      </w:r>
      <w:r w:rsidR="0045279B" w:rsidRPr="00031F52">
        <w:t>Appendix 3, p</w:t>
      </w:r>
      <w:r w:rsidR="00031F52" w:rsidRPr="00031F52">
        <w:t>assage 45.</w:t>
      </w:r>
    </w:p>
  </w:footnote>
  <w:footnote w:id="260">
    <w:p w14:paraId="7F566305" w14:textId="24B68E2B" w:rsidR="00244FB6" w:rsidRDefault="00244FB6" w:rsidP="00244FB6">
      <w:pPr>
        <w:pStyle w:val="FootnoteText"/>
        <w:ind w:firstLine="0"/>
      </w:pPr>
      <w:r w:rsidRPr="00E14A62">
        <w:rPr>
          <w:rStyle w:val="FootnoteReference"/>
        </w:rPr>
        <w:footnoteRef/>
      </w:r>
      <w:r w:rsidRPr="00E14A62">
        <w:t xml:space="preserve"> </w:t>
      </w:r>
      <w:r w:rsidR="0045279B" w:rsidRPr="00E14A62">
        <w:t>Appendix 3, pa</w:t>
      </w:r>
      <w:r w:rsidR="00E14A62" w:rsidRPr="00E14A62">
        <w:t>ssage 44.</w:t>
      </w:r>
      <w:r w:rsidR="0045279B">
        <w:t xml:space="preserve"> </w:t>
      </w:r>
    </w:p>
  </w:footnote>
  <w:footnote w:id="261">
    <w:p w14:paraId="3021AFD4" w14:textId="3C3A3ACD" w:rsidR="00244FB6" w:rsidRDefault="00244FB6" w:rsidP="00244FB6">
      <w:pPr>
        <w:pStyle w:val="FootnoteText"/>
        <w:ind w:firstLine="0"/>
      </w:pPr>
      <w:r>
        <w:rPr>
          <w:rStyle w:val="FootnoteReference"/>
        </w:rPr>
        <w:footnoteRef/>
      </w:r>
      <w:r>
        <w:t xml:space="preserve"> Irene </w:t>
      </w:r>
      <w:r w:rsidRPr="009F566A">
        <w:t xml:space="preserve">Zavattero, </w:t>
      </w:r>
      <w:r>
        <w:t>‘</w:t>
      </w:r>
      <w:r w:rsidRPr="007A707E">
        <w:rPr>
          <w:i/>
          <w:iCs/>
        </w:rPr>
        <w:t>Estimaverunt Indi</w:t>
      </w:r>
      <w:r w:rsidRPr="009F566A">
        <w:t>: la tradizione testuale</w:t>
      </w:r>
      <w:r w:rsidR="000A31AD">
        <w:t>,</w:t>
      </w:r>
      <w:r>
        <w:t>’</w:t>
      </w:r>
      <w:r w:rsidRPr="009F566A">
        <w:t xml:space="preserve"> 59</w:t>
      </w:r>
      <w:r>
        <w:t>. This passage is explained in Palazzo, ‘Dibattiti filosofici e scientifici sulla geomanzia nel Medioevo latino</w:t>
      </w:r>
      <w:r w:rsidR="000A31AD">
        <w:t>,</w:t>
      </w:r>
      <w:r>
        <w:t>’ 46-47.</w:t>
      </w:r>
    </w:p>
  </w:footnote>
  <w:footnote w:id="262">
    <w:p w14:paraId="176318FB" w14:textId="049C8849" w:rsidR="00244FB6" w:rsidRDefault="00244FB6" w:rsidP="00244FB6">
      <w:pPr>
        <w:pStyle w:val="FootnoteText"/>
        <w:ind w:firstLine="0"/>
      </w:pPr>
      <w:r>
        <w:rPr>
          <w:rStyle w:val="FootnoteReference"/>
        </w:rPr>
        <w:footnoteRef/>
      </w:r>
      <w:r>
        <w:t xml:space="preserve">  </w:t>
      </w:r>
      <w:r w:rsidRPr="009F566A">
        <w:t xml:space="preserve">Zavattero, </w:t>
      </w:r>
      <w:r>
        <w:t>‘</w:t>
      </w:r>
      <w:r w:rsidRPr="007A707E">
        <w:rPr>
          <w:i/>
          <w:iCs/>
        </w:rPr>
        <w:t>Estimaverunt Indi:</w:t>
      </w:r>
      <w:r w:rsidRPr="009F566A">
        <w:t xml:space="preserve"> la tradizione testuale</w:t>
      </w:r>
      <w:r w:rsidR="00FA0FFF">
        <w:t>,</w:t>
      </w:r>
      <w:r w:rsidR="00DC173F">
        <w:t>’</w:t>
      </w:r>
      <w:r w:rsidRPr="009F566A">
        <w:t xml:space="preserve"> 59:</w:t>
      </w:r>
      <w:r>
        <w:t xml:space="preserve"> “Nota quod figure disponuntur secundum dispositionem orbis signorum ad illud quod est rectum, quia circulus erit secundum intentionem querentis et cognitionem cordis eius ad illud quod est rectum, et interpretatur de eo quod est in anima.”</w:t>
      </w:r>
    </w:p>
  </w:footnote>
  <w:footnote w:id="263">
    <w:p w14:paraId="4FC21B2A" w14:textId="0EAA40BA" w:rsidR="00244FB6" w:rsidRPr="0024139A" w:rsidRDefault="00244FB6" w:rsidP="00244FB6">
      <w:pPr>
        <w:pStyle w:val="FootnoteText"/>
        <w:ind w:firstLine="0"/>
        <w:rPr>
          <w:lang w:val="de-DE"/>
        </w:rPr>
      </w:pPr>
      <w:r>
        <w:rPr>
          <w:rStyle w:val="FootnoteReference"/>
        </w:rPr>
        <w:footnoteRef/>
      </w:r>
      <w:r>
        <w:t xml:space="preserve"> Paris, BnF, lat. 10 270, f.3: “Completus est Liber Salcharie Albasarith translatus a magistro Salione, de ebrayco in latinum, Tholeti II die exeunte Februario M</w:t>
      </w:r>
      <w:r w:rsidRPr="00D01127">
        <w:rPr>
          <w:vertAlign w:val="superscript"/>
        </w:rPr>
        <w:t>o</w:t>
      </w:r>
      <w:r>
        <w:t>CC</w:t>
      </w:r>
      <w:r w:rsidRPr="00D01127">
        <w:rPr>
          <w:vertAlign w:val="superscript"/>
        </w:rPr>
        <w:t>o</w:t>
      </w:r>
      <w:r>
        <w:t>XVIII</w:t>
      </w:r>
      <w:r w:rsidRPr="00D01127">
        <w:rPr>
          <w:vertAlign w:val="superscript"/>
        </w:rPr>
        <w:t>o</w:t>
      </w:r>
      <w:r>
        <w:rPr>
          <w:vertAlign w:val="superscript"/>
        </w:rPr>
        <w:t xml:space="preserve"> </w:t>
      </w:r>
      <w:r w:rsidRPr="00D01127">
        <w:t>anno Christi</w:t>
      </w:r>
      <w:r>
        <w:t>”; Kassel, Astronom. Q</w:t>
      </w:r>
      <w:r w:rsidRPr="00D01127">
        <w:rPr>
          <w:vertAlign w:val="superscript"/>
        </w:rPr>
        <w:t>o</w:t>
      </w:r>
      <w:r>
        <w:t xml:space="preserve">16, f.76vb: “Completus est liber predicti Zacharie Albasarith translatus a magistro Sallice de arabico in latinum, Tholleti.” </w:t>
      </w:r>
      <w:r w:rsidRPr="00D9201D">
        <w:rPr>
          <w:lang w:val="de-DE"/>
        </w:rPr>
        <w:t xml:space="preserve">See Charmasson, </w:t>
      </w:r>
      <w:r w:rsidRPr="00D9201D">
        <w:rPr>
          <w:i/>
          <w:iCs/>
          <w:lang w:val="de-DE"/>
        </w:rPr>
        <w:t>Recherches</w:t>
      </w:r>
      <w:r w:rsidR="0025518E">
        <w:rPr>
          <w:i/>
          <w:iCs/>
          <w:lang w:val="de-DE"/>
        </w:rPr>
        <w:t xml:space="preserve"> sur une technique divinatoire</w:t>
      </w:r>
      <w:r w:rsidRPr="00D9201D">
        <w:rPr>
          <w:lang w:val="de-DE"/>
        </w:rPr>
        <w:t>, 83, 198-199.</w:t>
      </w:r>
    </w:p>
  </w:footnote>
  <w:footnote w:id="264">
    <w:p w14:paraId="64990D1F" w14:textId="1BBD22C4" w:rsidR="00244FB6" w:rsidRDefault="00244FB6" w:rsidP="00244FB6">
      <w:pPr>
        <w:pStyle w:val="FootnoteText"/>
        <w:ind w:firstLine="0"/>
      </w:pPr>
      <w:r>
        <w:rPr>
          <w:rStyle w:val="FootnoteReference"/>
        </w:rPr>
        <w:footnoteRef/>
      </w:r>
      <w:r w:rsidRPr="00D9201D">
        <w:rPr>
          <w:lang w:val="de-DE"/>
        </w:rPr>
        <w:t xml:space="preserve"> Kassel, Landesbibl. und Murhardsche Bibl. der Stadt, astron. </w:t>
      </w:r>
      <w:r w:rsidRPr="00D9201D">
        <w:rPr>
          <w:lang w:val="fr-FR"/>
        </w:rPr>
        <w:t xml:space="preserve">Q° 16, 76vb: </w:t>
      </w:r>
      <w:r>
        <w:t>“</w:t>
      </w:r>
      <w:r w:rsidRPr="00D9201D">
        <w:rPr>
          <w:lang w:val="fr-FR"/>
        </w:rPr>
        <w:t>Incipit doctrinam</w:t>
      </w:r>
      <w:r w:rsidR="00520988">
        <w:rPr>
          <w:lang w:val="fr-FR"/>
        </w:rPr>
        <w:t xml:space="preserve"> &lt;quam&gt;</w:t>
      </w:r>
      <w:r w:rsidRPr="00D9201D">
        <w:rPr>
          <w:lang w:val="fr-FR"/>
        </w:rPr>
        <w:t xml:space="preserve"> philosophi celaverunt. Quoniam multos in scientia puncti per ignorantiam errare perspeximus, ideo presentem declarationem diximus faciendam per quam querentis intentio absque sua declaratione poterit a peritis et discretis competentis </w:t>
      </w:r>
      <w:r w:rsidRPr="002015EA">
        <w:rPr>
          <w:lang w:val="fr-FR"/>
        </w:rPr>
        <w:t>(</w:t>
      </w:r>
      <w:r w:rsidRPr="002015EA">
        <w:rPr>
          <w:i/>
          <w:iCs/>
          <w:lang w:val="fr-FR"/>
        </w:rPr>
        <w:t>sic</w:t>
      </w:r>
      <w:r w:rsidRPr="002015EA">
        <w:rPr>
          <w:lang w:val="fr-FR"/>
        </w:rPr>
        <w:t xml:space="preserve"> competenti</w:t>
      </w:r>
      <w:r w:rsidR="00520988">
        <w:rPr>
          <w:lang w:val="fr-FR"/>
        </w:rPr>
        <w:t>bu</w:t>
      </w:r>
      <w:r w:rsidRPr="002015EA">
        <w:rPr>
          <w:lang w:val="fr-FR"/>
        </w:rPr>
        <w:t>s?)</w:t>
      </w:r>
      <w:r>
        <w:rPr>
          <w:lang w:val="fr-FR"/>
        </w:rPr>
        <w:t xml:space="preserve"> </w:t>
      </w:r>
      <w:r w:rsidRPr="00D9201D">
        <w:rPr>
          <w:lang w:val="fr-FR"/>
        </w:rPr>
        <w:t>agnosci. Dixit enim Zacharias in  huiusmodi scientia magistraliter eruditus per istud capitulum quod est de melioribus propter quod secretum et nullus sapientum ipsum nominauit quam</w:t>
      </w:r>
      <w:r>
        <w:rPr>
          <w:lang w:val="fr-FR"/>
        </w:rPr>
        <w:t xml:space="preserve"> </w:t>
      </w:r>
      <w:r w:rsidRPr="002015EA">
        <w:rPr>
          <w:lang w:val="fr-FR"/>
        </w:rPr>
        <w:t>(</w:t>
      </w:r>
      <w:r w:rsidRPr="002015EA">
        <w:rPr>
          <w:i/>
          <w:iCs/>
          <w:lang w:val="fr-FR"/>
        </w:rPr>
        <w:t>sic</w:t>
      </w:r>
      <w:r w:rsidRPr="002015EA">
        <w:rPr>
          <w:lang w:val="fr-FR"/>
        </w:rPr>
        <w:t xml:space="preserve"> qui ?)</w:t>
      </w:r>
      <w:r w:rsidRPr="00D9201D">
        <w:rPr>
          <w:lang w:val="fr-FR"/>
        </w:rPr>
        <w:t xml:space="preserve"> habuerunt zelum super illud et est magna radix et habetur in eo fama et omni eo sanabitur intentio tota et omnis res absconsa et omni illo extrahitur nomen et numerus et res absconsa. Ergo sciatis illud </w:t>
      </w:r>
      <w:r>
        <w:rPr>
          <w:lang w:val="fr-FR"/>
        </w:rPr>
        <w:t>–</w:t>
      </w:r>
      <w:r w:rsidRPr="00D9201D">
        <w:rPr>
          <w:lang w:val="fr-FR"/>
        </w:rPr>
        <w:t xml:space="preserve"> intentio querentis. Completus est liber predicti Zacharie Albasarith translatus a magistro Salice</w:t>
      </w:r>
      <w:r w:rsidR="00520988">
        <w:rPr>
          <w:lang w:val="fr-FR"/>
        </w:rPr>
        <w:t xml:space="preserve"> (</w:t>
      </w:r>
      <w:r w:rsidR="00520988" w:rsidRPr="00520988">
        <w:rPr>
          <w:i/>
          <w:iCs/>
          <w:lang w:val="fr-FR"/>
        </w:rPr>
        <w:t>sic</w:t>
      </w:r>
      <w:r w:rsidR="00520988">
        <w:rPr>
          <w:lang w:val="fr-FR"/>
        </w:rPr>
        <w:t>. Salione)</w:t>
      </w:r>
      <w:r w:rsidRPr="00D9201D">
        <w:rPr>
          <w:lang w:val="fr-FR"/>
        </w:rPr>
        <w:t xml:space="preserve"> de Arabico in Latinum, Tolleti</w:t>
      </w:r>
      <w:r>
        <w:rPr>
          <w:lang w:val="fr-FR"/>
        </w:rPr>
        <w:t>.</w:t>
      </w:r>
      <w:r>
        <w:t>”</w:t>
      </w:r>
      <w:r w:rsidRPr="00D9201D">
        <w:rPr>
          <w:lang w:val="fr-FR"/>
        </w:rPr>
        <w:t xml:space="preserve"> </w:t>
      </w:r>
      <w:r>
        <w:t>The transcription and translation of this passage have been kindly provided by Charles Burnett.</w:t>
      </w:r>
    </w:p>
  </w:footnote>
  <w:footnote w:id="265">
    <w:p w14:paraId="5E99498F" w14:textId="77777777" w:rsidR="00244FB6" w:rsidRDefault="00244FB6" w:rsidP="00244FB6">
      <w:pPr>
        <w:pStyle w:val="FootnoteText"/>
        <w:ind w:firstLine="0"/>
      </w:pPr>
      <w:r>
        <w:rPr>
          <w:rStyle w:val="FootnoteReference"/>
        </w:rPr>
        <w:footnoteRef/>
      </w:r>
      <w:r>
        <w:t xml:space="preserve"> </w:t>
      </w:r>
      <w:r w:rsidRPr="00D9201D">
        <w:rPr>
          <w:lang w:val="de-DE"/>
        </w:rPr>
        <w:t xml:space="preserve">Kassel, Landesbibl. und Murhardsche Bibl. der Stadt, astron. </w:t>
      </w:r>
      <w:r w:rsidRPr="00D9201D">
        <w:rPr>
          <w:lang w:val="fr-FR"/>
        </w:rPr>
        <w:t>Q° 16, 76vb</w:t>
      </w:r>
      <w:r>
        <w:rPr>
          <w:lang w:val="fr-FR"/>
        </w:rPr>
        <w:t>.</w:t>
      </w:r>
    </w:p>
  </w:footnote>
  <w:footnote w:id="266">
    <w:p w14:paraId="39A7D0FC" w14:textId="27229DB3" w:rsidR="00244FB6" w:rsidRDefault="00244FB6" w:rsidP="00244FB6">
      <w:pPr>
        <w:pStyle w:val="FootnoteText"/>
        <w:ind w:firstLine="0"/>
      </w:pPr>
      <w:r>
        <w:rPr>
          <w:rStyle w:val="FootnoteReference"/>
        </w:rPr>
        <w:footnoteRef/>
      </w:r>
      <w:r>
        <w:t xml:space="preserve"> For the English translation see Eugenio Garin, </w:t>
      </w:r>
      <w:r w:rsidRPr="00535C81">
        <w:rPr>
          <w:i/>
          <w:iCs/>
        </w:rPr>
        <w:t>Astrology in the Renaissance. The Zodiac of Life</w:t>
      </w:r>
      <w:r>
        <w:t xml:space="preserve">, trans. by C. Jackson and J. Allen (London: Routledge &amp; Kegan Paul, 1983), 35. For the original Italian see Garin, </w:t>
      </w:r>
      <w:r w:rsidRPr="00535C81">
        <w:rPr>
          <w:i/>
          <w:iCs/>
        </w:rPr>
        <w:t>Lo zodiaco della vita</w:t>
      </w:r>
      <w:r>
        <w:t>, 39.</w:t>
      </w:r>
    </w:p>
  </w:footnote>
  <w:footnote w:id="267">
    <w:p w14:paraId="76092BCF" w14:textId="77777777" w:rsidR="00244FB6" w:rsidRPr="00CF637F" w:rsidRDefault="00244FB6" w:rsidP="00244FB6">
      <w:pPr>
        <w:pStyle w:val="FootnoteText"/>
        <w:ind w:firstLine="0"/>
      </w:pPr>
      <w:r w:rsidRPr="00CF637F">
        <w:rPr>
          <w:rStyle w:val="FootnoteReference"/>
        </w:rPr>
        <w:footnoteRef/>
      </w:r>
      <w:r w:rsidRPr="00CF637F">
        <w:t xml:space="preserve"> </w:t>
      </w:r>
      <w:r>
        <w:t xml:space="preserve">I am basing my observations on the transcription of the text made from the manuscripts </w:t>
      </w:r>
      <w:r w:rsidRPr="00CF637F">
        <w:t>Vat</w:t>
      </w:r>
      <w:r>
        <w:t>ican Library,</w:t>
      </w:r>
      <w:r w:rsidRPr="00CF637F">
        <w:t xml:space="preserve"> Urb. </w:t>
      </w:r>
      <w:r w:rsidRPr="000B01ED">
        <w:t>Lat. 262</w:t>
      </w:r>
      <w:r>
        <w:t xml:space="preserve"> and Oxford, BL, </w:t>
      </w:r>
      <w:r w:rsidRPr="00CF637F">
        <w:t>Ashmole 393, IV</w:t>
      </w:r>
      <w:r>
        <w:t xml:space="preserve"> (A) by Charles Burnett (unpublished).</w:t>
      </w:r>
    </w:p>
  </w:footnote>
  <w:footnote w:id="268">
    <w:p w14:paraId="58E2A35A" w14:textId="77777777" w:rsidR="00244FB6" w:rsidRDefault="00244FB6" w:rsidP="00244FB6">
      <w:pPr>
        <w:pStyle w:val="FootnoteText"/>
        <w:ind w:firstLine="0"/>
      </w:pPr>
      <w:r>
        <w:rPr>
          <w:rStyle w:val="FootnoteReference"/>
        </w:rPr>
        <w:footnoteRef/>
      </w:r>
      <w:r>
        <w:t xml:space="preserve"> </w:t>
      </w:r>
      <w:r w:rsidRPr="00CF637F">
        <w:t>Vat. Urb. Lat. 262</w:t>
      </w:r>
      <w:r>
        <w:t xml:space="preserve">, 2: </w:t>
      </w:r>
      <w:bookmarkStart w:id="82" w:name="_Hlk100581880"/>
      <w:r>
        <w:t>“[...]</w:t>
      </w:r>
      <w:r w:rsidRPr="00EC2B36">
        <w:t xml:space="preserve"> </w:t>
      </w:r>
      <w:bookmarkStart w:id="83" w:name="_Hlk144478483"/>
      <w:r w:rsidRPr="00EC2B36">
        <w:t xml:space="preserve">appropiaverunt sibi Indy negotium circuli qui divisus est in duodecim partes equales </w:t>
      </w:r>
      <w:bookmarkStart w:id="84" w:name="_Hlk144478275"/>
      <w:bookmarkEnd w:id="83"/>
      <w:r w:rsidRPr="00EC2B36">
        <w:t xml:space="preserve">et precipiunt interroganti quod ponat manu&lt;m&gt; in una ipsarum partium; </w:t>
      </w:r>
      <w:bookmarkEnd w:id="82"/>
      <w:r w:rsidRPr="00EC2B36">
        <w:t>postquam autem hoc fecerit, lo</w:t>
      </w:r>
      <w:r>
        <w:t>qu</w:t>
      </w:r>
      <w:r w:rsidRPr="00EC2B36">
        <w:t>untur super hoc mirabiliter cum plenitudine interpretationum super quamlibet intentionem</w:t>
      </w:r>
      <w:bookmarkEnd w:id="84"/>
      <w:r>
        <w:t xml:space="preserve">.” </w:t>
      </w:r>
    </w:p>
  </w:footnote>
  <w:footnote w:id="269">
    <w:p w14:paraId="09A196FB" w14:textId="0C9CBECD" w:rsidR="00244FB6" w:rsidRPr="0007263C" w:rsidRDefault="00244FB6" w:rsidP="00244FB6">
      <w:pPr>
        <w:pStyle w:val="FootnoteText"/>
        <w:ind w:firstLine="0"/>
      </w:pPr>
      <w:r>
        <w:rPr>
          <w:rStyle w:val="FootnoteReference"/>
        </w:rPr>
        <w:footnoteRef/>
      </w:r>
      <w:r>
        <w:t xml:space="preserve"> This procedure would most likely refer to a form of divination known as </w:t>
      </w:r>
      <w:r w:rsidRPr="007032D2">
        <w:rPr>
          <w:i/>
          <w:iCs/>
        </w:rPr>
        <w:t>zā’irja</w:t>
      </w:r>
      <w:r>
        <w:rPr>
          <w:i/>
          <w:iCs/>
        </w:rPr>
        <w:t xml:space="preserve"> </w:t>
      </w:r>
      <w:r>
        <w:t xml:space="preserve">rather than to geomancy. The </w:t>
      </w:r>
      <w:r w:rsidRPr="007032D2">
        <w:rPr>
          <w:i/>
          <w:iCs/>
        </w:rPr>
        <w:t>zā’irja</w:t>
      </w:r>
      <w:r>
        <w:rPr>
          <w:i/>
          <w:iCs/>
        </w:rPr>
        <w:t xml:space="preserve"> </w:t>
      </w:r>
      <w:r>
        <w:t>is a very intricate form of divinatory technique, it employs a circle divided into twelve sections, which according to Mushegh Asatrian would be drawn on sand, see his article ‘</w:t>
      </w:r>
      <w:r w:rsidRPr="0007263C">
        <w:t>Ibn Khaldūn on Magic and the Occult</w:t>
      </w:r>
      <w:r>
        <w:t xml:space="preserve">’, in </w:t>
      </w:r>
      <w:r w:rsidRPr="0007263C">
        <w:rPr>
          <w:i/>
          <w:iCs/>
        </w:rPr>
        <w:t>Iran &amp; the Caucasus</w:t>
      </w:r>
      <w:r>
        <w:t>, v</w:t>
      </w:r>
      <w:r w:rsidRPr="0007263C">
        <w:t xml:space="preserve">ol. 7, No. </w:t>
      </w:r>
      <w:r>
        <w:t>1/2 (2003), 73-123. A similar passage to that of Ibn Ma</w:t>
      </w:r>
      <w:r w:rsidR="003E064F">
        <w:t>ḥf</w:t>
      </w:r>
      <w:r>
        <w:t xml:space="preserve">uf’s geomantic text is described by Edward William Lane in an Egyptian divinatory practice that employs the </w:t>
      </w:r>
      <w:r w:rsidRPr="007032D2">
        <w:rPr>
          <w:i/>
          <w:iCs/>
        </w:rPr>
        <w:t>zā’irja</w:t>
      </w:r>
      <w:r>
        <w:rPr>
          <w:i/>
          <w:iCs/>
        </w:rPr>
        <w:t xml:space="preserve">, </w:t>
      </w:r>
      <w:r>
        <w:t xml:space="preserve">in which the diviner puts his hand randomly on a table in order to obtain the answer to a question, see </w:t>
      </w:r>
      <w:r w:rsidRPr="00166C18">
        <w:t xml:space="preserve">Edward William Lane, </w:t>
      </w:r>
      <w:r w:rsidRPr="00166C18">
        <w:rPr>
          <w:i/>
          <w:iCs/>
        </w:rPr>
        <w:t>The</w:t>
      </w:r>
      <w:r w:rsidRPr="00166C18">
        <w:t xml:space="preserve"> </w:t>
      </w:r>
      <w:r w:rsidRPr="00166C18">
        <w:rPr>
          <w:i/>
          <w:iCs/>
        </w:rPr>
        <w:t xml:space="preserve">Manners and Customs of Modern Egyptians, </w:t>
      </w:r>
      <w:r w:rsidRPr="00166C18">
        <w:t>(London: J.M. Dent, 1923),</w:t>
      </w:r>
      <w:r>
        <w:t xml:space="preserve"> 266: “Having done this, without looking directly at the table, he places his finger upon it: he then looks to see upon what letter his</w:t>
      </w:r>
      <w:r w:rsidR="003E064F">
        <w:t xml:space="preserve"> finger</w:t>
      </w:r>
      <w:r>
        <w:t xml:space="preserve"> is placed; writes that letter; the fifth following it; the fifth following this; and so on, until he comes again to the first which he wrote; and these letters together compose the answer</w:t>
      </w:r>
      <w:r w:rsidR="00241FA0">
        <w:t>.</w:t>
      </w:r>
      <w:r>
        <w:t>”</w:t>
      </w:r>
    </w:p>
  </w:footnote>
  <w:footnote w:id="270">
    <w:p w14:paraId="5CE2D97B" w14:textId="5A2D588A" w:rsidR="00C9412B" w:rsidRDefault="00C9412B" w:rsidP="00C9412B">
      <w:pPr>
        <w:pStyle w:val="FootnoteText"/>
        <w:ind w:firstLine="0"/>
      </w:pPr>
      <w:r>
        <w:rPr>
          <w:rStyle w:val="FootnoteReference"/>
        </w:rPr>
        <w:footnoteRef/>
      </w:r>
      <w:r w:rsidR="00044CD7">
        <w:t xml:space="preserve"> </w:t>
      </w:r>
      <w:r w:rsidRPr="00C9412B">
        <w:t>Vat. Urb. Lat. 262, f. 2ra</w:t>
      </w:r>
      <w:r>
        <w:t>:</w:t>
      </w:r>
      <w:r w:rsidRPr="00C9412B">
        <w:t xml:space="preserve"> “[…] appropiaverunt sibi Indy negotium circuli qui divisus est in duodecim partes equales et precipiunt interroganti quod ponat manu&lt;m&gt; in una ipsarum partium; postquam autem hoc fecerit, loquuntur super hoc mirabiliter cum plenitudine interpretationum super quamlibet intentionem.”</w:t>
      </w:r>
      <w:r>
        <w:t xml:space="preserve"> </w:t>
      </w:r>
      <w:r w:rsidRPr="00C9412B">
        <w:t>Oxford, Bodleian Library, MS. Ma</w:t>
      </w:r>
      <w:r>
        <w:t>r</w:t>
      </w:r>
      <w:r w:rsidRPr="00C9412B">
        <w:t>sh 2016</w:t>
      </w:r>
      <w:r w:rsidR="00FE3E47">
        <w:t>, f.1v</w:t>
      </w:r>
      <w:r>
        <w:t xml:space="preserve">: </w:t>
      </w:r>
      <w:r>
        <w:rPr>
          <w:rFonts w:cs="Times New Roman"/>
          <w:rtl/>
        </w:rPr>
        <w:t>ا ً بھ أھل الھند من عمل ناطق فمن ذلك ما خصّ صادق وإمام</w:t>
      </w:r>
      <w:r w:rsidRPr="00C9412B">
        <w:rPr>
          <w:rFonts w:cs="Times New Roman"/>
          <w:rtl/>
        </w:rPr>
        <w:t xml:space="preserve"> </w:t>
      </w:r>
      <w:r>
        <w:rPr>
          <w:rFonts w:cs="Times New Roman"/>
          <w:rtl/>
        </w:rPr>
        <w:t xml:space="preserve">السائل أن </w:t>
      </w:r>
      <w:r>
        <w:rPr>
          <w:rFonts w:cs="Times New Roman" w:hint="cs"/>
          <w:rtl/>
        </w:rPr>
        <w:t>ی</w:t>
      </w:r>
      <w:r>
        <w:rPr>
          <w:rFonts w:cs="Times New Roman" w:hint="eastAsia"/>
          <w:rtl/>
        </w:rPr>
        <w:t>جعل</w:t>
      </w:r>
      <w:r>
        <w:rPr>
          <w:rFonts w:cs="Times New Roman"/>
          <w:rtl/>
        </w:rPr>
        <w:t xml:space="preserve"> </w:t>
      </w:r>
      <w:r>
        <w:rPr>
          <w:rFonts w:cs="Times New Roman" w:hint="cs"/>
          <w:rtl/>
        </w:rPr>
        <w:t>ی</w:t>
      </w:r>
      <w:r>
        <w:rPr>
          <w:rFonts w:cs="Times New Roman" w:hint="eastAsia"/>
          <w:rtl/>
        </w:rPr>
        <w:t>ده</w:t>
      </w:r>
      <w:r>
        <w:rPr>
          <w:rFonts w:cs="Times New Roman"/>
          <w:rtl/>
        </w:rPr>
        <w:t xml:space="preserve"> في أحد تلك الأقسام فإذا فعل ذلكتكل ّموا عل</w:t>
      </w:r>
      <w:r>
        <w:rPr>
          <w:rFonts w:cs="Times New Roman" w:hint="cs"/>
          <w:rtl/>
        </w:rPr>
        <w:t>ی</w:t>
      </w:r>
      <w:r>
        <w:rPr>
          <w:rFonts w:cs="Times New Roman" w:hint="eastAsia"/>
          <w:rtl/>
        </w:rPr>
        <w:t>ھ</w:t>
      </w:r>
      <w:r>
        <w:rPr>
          <w:rFonts w:cs="Times New Roman"/>
          <w:rtl/>
        </w:rPr>
        <w:t xml:space="preserve"> بمعجز الكلام وفصاحة التعب</w:t>
      </w:r>
      <w:r>
        <w:rPr>
          <w:rFonts w:cs="Times New Roman" w:hint="cs"/>
          <w:rtl/>
        </w:rPr>
        <w:t>ی</w:t>
      </w:r>
      <w:r>
        <w:rPr>
          <w:rFonts w:cs="Times New Roman" w:hint="eastAsia"/>
          <w:rtl/>
        </w:rPr>
        <w:t>ر</w:t>
      </w:r>
      <w:r>
        <w:rPr>
          <w:rFonts w:cs="Times New Roman"/>
          <w:rtl/>
        </w:rPr>
        <w:t xml:space="preserve"> في كلّ ضم</w:t>
      </w:r>
      <w:r>
        <w:rPr>
          <w:rFonts w:cs="Times New Roman" w:hint="cs"/>
          <w:rtl/>
        </w:rPr>
        <w:t>ی</w:t>
      </w:r>
      <w:r>
        <w:rPr>
          <w:rFonts w:cs="Times New Roman" w:hint="eastAsia"/>
          <w:rtl/>
        </w:rPr>
        <w:t>ر</w:t>
      </w:r>
    </w:p>
  </w:footnote>
  <w:footnote w:id="271">
    <w:p w14:paraId="1729C226" w14:textId="77777777" w:rsidR="00244FB6" w:rsidRDefault="00244FB6" w:rsidP="00244FB6">
      <w:pPr>
        <w:pStyle w:val="FootnoteText"/>
        <w:ind w:firstLine="0"/>
      </w:pPr>
      <w:r>
        <w:rPr>
          <w:rStyle w:val="FootnoteReference"/>
        </w:rPr>
        <w:footnoteRef/>
      </w:r>
      <w:r>
        <w:t xml:space="preserve"> </w:t>
      </w:r>
      <w:r w:rsidRPr="004303F1">
        <w:rPr>
          <w:i/>
          <w:iCs/>
        </w:rPr>
        <w:t>Arabic and Latin Glossary</w:t>
      </w:r>
      <w:r>
        <w:t xml:space="preserve">, ed. by Dag Nikolaus Hasse, </w:t>
      </w:r>
      <w:hyperlink r:id="rId2" w:anchor="intentio" w:history="1">
        <w:r w:rsidRPr="00BF720A">
          <w:rPr>
            <w:rStyle w:val="Hyperlink"/>
            <w:color w:val="auto"/>
          </w:rPr>
          <w:t>https://algloss.de.dariah.eu/?lemma=intentio&amp;var=la&amp;nav=i#intentio</w:t>
        </w:r>
      </w:hyperlink>
      <w:r w:rsidRPr="00BF720A">
        <w:t xml:space="preserve">,  </w:t>
      </w:r>
      <w:r>
        <w:t>visited on 23/01/2023: “</w:t>
      </w:r>
      <w:r w:rsidRPr="00542E69">
        <w:rPr>
          <w:rFonts w:cs="Times New Roman"/>
          <w:rtl/>
        </w:rPr>
        <w:t>معنًى</w:t>
      </w:r>
      <w:r>
        <w:rPr>
          <w:rFonts w:cs="Times New Roman"/>
        </w:rPr>
        <w:t xml:space="preserve"> </w:t>
      </w:r>
      <w:r w:rsidRPr="004F0A0D">
        <w:rPr>
          <w:shd w:val="clear" w:color="auto" w:fill="FFFFFF"/>
        </w:rPr>
        <w:t xml:space="preserve">maʿnan (pl. maʿānin) n. – meaning, signification </w:t>
      </w:r>
      <w:r>
        <w:rPr>
          <w:shd w:val="clear" w:color="auto" w:fill="FFFFFF"/>
        </w:rPr>
        <w:t>[</w:t>
      </w:r>
      <w:r w:rsidRPr="004F0A0D">
        <w:rPr>
          <w:shd w:val="clear" w:color="auto" w:fill="FFFFFF"/>
        </w:rPr>
        <w:t>of a term</w:t>
      </w:r>
      <w:r>
        <w:rPr>
          <w:shd w:val="clear" w:color="auto" w:fill="FFFFFF"/>
        </w:rPr>
        <w:t>]</w:t>
      </w:r>
      <w:r w:rsidRPr="004F0A0D">
        <w:rPr>
          <w:shd w:val="clear" w:color="auto" w:fill="FFFFFF"/>
        </w:rPr>
        <w:t xml:space="preserve">; concept, notion; sense, respect, kind; attribute, property </w:t>
      </w:r>
      <w:r>
        <w:rPr>
          <w:shd w:val="clear" w:color="auto" w:fill="FFFFFF"/>
        </w:rPr>
        <w:t>[</w:t>
      </w:r>
      <w:r w:rsidRPr="004F0A0D">
        <w:rPr>
          <w:shd w:val="clear" w:color="auto" w:fill="FFFFFF"/>
        </w:rPr>
        <w:t>e.g. of visible objects</w:t>
      </w:r>
      <w:r>
        <w:rPr>
          <w:shd w:val="clear" w:color="auto" w:fill="FFFFFF"/>
        </w:rPr>
        <w:t>]</w:t>
      </w:r>
      <w:r w:rsidRPr="004F0A0D">
        <w:rPr>
          <w:shd w:val="clear" w:color="auto" w:fill="FFFFFF"/>
        </w:rPr>
        <w:t xml:space="preserve">; intention, connotational attribute </w:t>
      </w:r>
      <w:r>
        <w:rPr>
          <w:shd w:val="clear" w:color="auto" w:fill="FFFFFF"/>
        </w:rPr>
        <w:t>[</w:t>
      </w:r>
      <w:r w:rsidRPr="004F0A0D">
        <w:rPr>
          <w:shd w:val="clear" w:color="auto" w:fill="FFFFFF"/>
        </w:rPr>
        <w:t>i.e. what is sensed by the estimative faculty</w:t>
      </w:r>
      <w:r>
        <w:rPr>
          <w:shd w:val="clear" w:color="auto" w:fill="FFFFFF"/>
        </w:rPr>
        <w:t>]</w:t>
      </w:r>
      <w:r w:rsidRPr="004F0A0D">
        <w:rPr>
          <w:shd w:val="clear" w:color="auto" w:fill="FFFFFF"/>
        </w:rPr>
        <w:t xml:space="preserve">; subject, topic </w:t>
      </w:r>
      <w:r>
        <w:rPr>
          <w:shd w:val="clear" w:color="auto" w:fill="FFFFFF"/>
        </w:rPr>
        <w:t>[</w:t>
      </w:r>
      <w:r w:rsidRPr="004F0A0D">
        <w:rPr>
          <w:shd w:val="clear" w:color="auto" w:fill="FFFFFF"/>
        </w:rPr>
        <w:t>of a science or a book</w:t>
      </w:r>
      <w:r>
        <w:rPr>
          <w:shd w:val="clear" w:color="auto" w:fill="FFFFFF"/>
        </w:rPr>
        <w:t>]</w:t>
      </w:r>
      <w:r w:rsidRPr="004F0A0D">
        <w:rPr>
          <w:shd w:val="clear" w:color="auto" w:fill="FFFFFF"/>
        </w:rPr>
        <w:t xml:space="preserve">; purpose </w:t>
      </w:r>
      <w:r>
        <w:rPr>
          <w:shd w:val="clear" w:color="auto" w:fill="FFFFFF"/>
        </w:rPr>
        <w:t>[</w:t>
      </w:r>
      <w:r w:rsidRPr="004F0A0D">
        <w:rPr>
          <w:shd w:val="clear" w:color="auto" w:fill="FFFFFF"/>
        </w:rPr>
        <w:t>e.g. in nature</w:t>
      </w:r>
      <w:r>
        <w:rPr>
          <w:shd w:val="clear" w:color="auto" w:fill="FFFFFF"/>
        </w:rPr>
        <w:t>]).”</w:t>
      </w:r>
    </w:p>
  </w:footnote>
  <w:footnote w:id="272">
    <w:p w14:paraId="3809F0AA" w14:textId="77777777" w:rsidR="00244FB6" w:rsidRDefault="00244FB6" w:rsidP="00244FB6">
      <w:pPr>
        <w:pStyle w:val="FootnoteText"/>
        <w:ind w:firstLine="0"/>
      </w:pPr>
      <w:r>
        <w:rPr>
          <w:rStyle w:val="FootnoteReference"/>
        </w:rPr>
        <w:footnoteRef/>
      </w:r>
      <w:r>
        <w:t xml:space="preserve"> On the extent to which it is possible to talk of internal senses in Aristotle see Deborah Modrak, ‘Internal Senses and Aristotle’s Cognitive Theory’, in </w:t>
      </w:r>
      <w:r w:rsidRPr="00BC73C5">
        <w:rPr>
          <w:i/>
          <w:iCs/>
        </w:rPr>
        <w:t>The Internal Senses in the Aristotelian Tradition</w:t>
      </w:r>
      <w:r>
        <w:t xml:space="preserve">, ed. by S.N. Mousavian and J. L. Fink (Berlin: Springer, 2020), 17-28. </w:t>
      </w:r>
    </w:p>
  </w:footnote>
  <w:footnote w:id="273">
    <w:p w14:paraId="706280D2" w14:textId="19704196" w:rsidR="00244FB6" w:rsidRDefault="00244FB6" w:rsidP="00244FB6">
      <w:pPr>
        <w:pStyle w:val="FootnoteText"/>
        <w:ind w:firstLine="0"/>
      </w:pPr>
      <w:r>
        <w:rPr>
          <w:rStyle w:val="FootnoteReference"/>
        </w:rPr>
        <w:footnoteRef/>
      </w:r>
      <w:r>
        <w:t xml:space="preserve"> For a more thorough explanation of the internal senses theory in Avicenna see Simon Kemp, </w:t>
      </w:r>
      <w:r w:rsidRPr="00F13442">
        <w:rPr>
          <w:i/>
          <w:iCs/>
        </w:rPr>
        <w:t>Cognitive Psychology in the Middle Ages</w:t>
      </w:r>
      <w:r>
        <w:t xml:space="preserve"> (Westport, Connecticut: Greenwood Press, 1996), 45-63; and Dag Hasse, ‘The soul’s faculty</w:t>
      </w:r>
      <w:r w:rsidR="00CF25F4">
        <w:t>,</w:t>
      </w:r>
      <w:r>
        <w:t xml:space="preserve">’ in </w:t>
      </w:r>
      <w:r w:rsidRPr="002E2873">
        <w:rPr>
          <w:i/>
          <w:iCs/>
        </w:rPr>
        <w:t>The Cambridge History of Medieval Philosophy, vol. I</w:t>
      </w:r>
      <w:r>
        <w:t xml:space="preserve">, ed. by R. Pasnau and C. van Dyke (Cambridge: Cambridge University Press, 2014), 305-319.  </w:t>
      </w:r>
    </w:p>
  </w:footnote>
  <w:footnote w:id="274">
    <w:p w14:paraId="0DF4FB0B" w14:textId="08BBA9EF" w:rsidR="00244FB6" w:rsidRDefault="00244FB6" w:rsidP="00244FB6">
      <w:pPr>
        <w:pStyle w:val="FootnoteText"/>
        <w:ind w:firstLine="0"/>
      </w:pPr>
      <w:r>
        <w:rPr>
          <w:rStyle w:val="FootnoteReference"/>
        </w:rPr>
        <w:footnoteRef/>
      </w:r>
      <w:r w:rsidRPr="00D9201D">
        <w:rPr>
          <w:lang w:val="pt-PT"/>
        </w:rPr>
        <w:t xml:space="preserve"> Avicenna Latinus, </w:t>
      </w:r>
      <w:r w:rsidRPr="00D9201D">
        <w:rPr>
          <w:i/>
          <w:iCs/>
          <w:lang w:val="pt-PT"/>
        </w:rPr>
        <w:t>Liber de Anima seu sextus de naturalibus</w:t>
      </w:r>
      <w:r w:rsidRPr="00D9201D">
        <w:rPr>
          <w:lang w:val="pt-PT"/>
        </w:rPr>
        <w:t>, I, pars I, cap. V, ed. Van Riet (Louvain: Éditions Peeters, 1972),</w:t>
      </w:r>
      <w:r w:rsidR="00A7185D">
        <w:rPr>
          <w:lang w:val="pt-PT"/>
        </w:rPr>
        <w:t xml:space="preserve"> </w:t>
      </w:r>
      <w:r w:rsidRPr="00D9201D">
        <w:rPr>
          <w:lang w:val="pt-PT"/>
        </w:rPr>
        <w:t xml:space="preserve">89, lines 48-53: </w:t>
      </w:r>
      <w:r>
        <w:rPr>
          <w:lang w:val="pt-PT"/>
        </w:rPr>
        <w:t>“</w:t>
      </w:r>
      <w:r w:rsidRPr="00D9201D">
        <w:rPr>
          <w:lang w:val="pt-PT"/>
        </w:rPr>
        <w:t>Deinde est vis aestimationis; quae est vis ordinata in summo mediae concavitatis cerebri, apprehendens intentiones non sensatas quae sunt in singulis sensibilibus. Sicut vis quae est in ove diiudicans quod ab hoc lupo est fugiendum, et quod huius agni est miserendum ; videtur etiam haec vis operari in imaginatis compositionem et divisionem</w:t>
      </w:r>
      <w:r w:rsidR="00A7185D">
        <w:rPr>
          <w:lang w:val="pt-PT"/>
        </w:rPr>
        <w:t>.</w:t>
      </w:r>
      <w:r>
        <w:rPr>
          <w:lang w:val="pt-PT"/>
        </w:rPr>
        <w:t>”</w:t>
      </w:r>
      <w:r>
        <w:t xml:space="preserve"> </w:t>
      </w:r>
      <w:r w:rsidRPr="00E72BE1">
        <w:t xml:space="preserve">Some </w:t>
      </w:r>
      <w:r>
        <w:t xml:space="preserve">of the scholarly </w:t>
      </w:r>
      <w:r w:rsidRPr="00E72BE1">
        <w:t>contributions show</w:t>
      </w:r>
      <w:r>
        <w:t>ing</w:t>
      </w:r>
      <w:r w:rsidRPr="00E72BE1">
        <w:t xml:space="preserve"> the richness of </w:t>
      </w:r>
      <w:r>
        <w:t>the medieval and modern</w:t>
      </w:r>
      <w:r w:rsidRPr="00E72BE1">
        <w:t xml:space="preserve"> debate</w:t>
      </w:r>
      <w:r>
        <w:t>,</w:t>
      </w:r>
      <w:r w:rsidRPr="00E72BE1">
        <w:t xml:space="preserve"> and the variety of theories on the internal senses are</w:t>
      </w:r>
      <w:r>
        <w:t xml:space="preserve"> </w:t>
      </w:r>
      <w:r w:rsidRPr="004041F0">
        <w:rPr>
          <w:i/>
          <w:iCs/>
        </w:rPr>
        <w:t>Corpo e anima, sensi interni e intelletto dai secoli XIII-XIV ai post-cartesiani e spinoziani</w:t>
      </w:r>
      <w:r>
        <w:t xml:space="preserve">, ed. by G. Federici Vescovini, V. Sorge and C. Vinti (Turnhout: Brepols, 2005); Dag Hasse, </w:t>
      </w:r>
      <w:r w:rsidRPr="00E72BE1">
        <w:rPr>
          <w:i/>
          <w:iCs/>
        </w:rPr>
        <w:t>Avicenna’s De anima in the Latin West</w:t>
      </w:r>
      <w:r>
        <w:t xml:space="preserve"> (London-Turin: The Warburg Institute &amp; Nino Aragno Editore, 2000), especially part I; </w:t>
      </w:r>
      <w:r w:rsidRPr="00BC73C5">
        <w:rPr>
          <w:i/>
          <w:iCs/>
        </w:rPr>
        <w:t>The Internal Senses in the Aristotelian Tradition</w:t>
      </w:r>
      <w:r>
        <w:t xml:space="preserve">, ed. by S.N. Mousavian and J. L. Fink (Berlin: Springer, 2020); José Filipe Silva, ‘Stop Making Sense(es): Some Late Medieval and Very Late Medieval Views of the Faculty Psychology’, in </w:t>
      </w:r>
      <w:r w:rsidRPr="00DD1529">
        <w:rPr>
          <w:i/>
          <w:iCs/>
        </w:rPr>
        <w:t>The Internal Senses in the Aristotelian Tradition</w:t>
      </w:r>
      <w:r>
        <w:t>, ed. S.N. Mousavian and J.L. Fink (Springer, 2020), 45-67.</w:t>
      </w:r>
    </w:p>
  </w:footnote>
  <w:footnote w:id="275">
    <w:p w14:paraId="0A4F8720" w14:textId="77777777" w:rsidR="00244FB6" w:rsidRPr="00BC7718" w:rsidRDefault="00244FB6" w:rsidP="00244FB6">
      <w:pPr>
        <w:pStyle w:val="FootnoteText"/>
        <w:ind w:firstLine="0"/>
        <w:rPr>
          <w:lang w:val="pt-PT"/>
        </w:rPr>
      </w:pPr>
      <w:r>
        <w:rPr>
          <w:rStyle w:val="FootnoteReference"/>
        </w:rPr>
        <w:footnoteRef/>
      </w:r>
      <w:r>
        <w:t xml:space="preserve"> </w:t>
      </w:r>
      <w:r w:rsidRPr="00D9201D">
        <w:rPr>
          <w:lang w:val="pt-PT"/>
        </w:rPr>
        <w:t xml:space="preserve">Avicenna Latinus, </w:t>
      </w:r>
      <w:r w:rsidRPr="00D9201D">
        <w:rPr>
          <w:i/>
          <w:iCs/>
          <w:lang w:val="pt-PT"/>
        </w:rPr>
        <w:t>Liber de anima,</w:t>
      </w:r>
      <w:r w:rsidRPr="00D9201D">
        <w:rPr>
          <w:lang w:val="pt-PT"/>
        </w:rPr>
        <w:t xml:space="preserve"> I, pars I, cap. V, p. 86, f. 6vb: </w:t>
      </w:r>
      <w:r>
        <w:rPr>
          <w:lang w:val="pt-PT"/>
        </w:rPr>
        <w:t>“</w:t>
      </w:r>
      <w:r w:rsidRPr="00D9201D">
        <w:rPr>
          <w:lang w:val="pt-PT"/>
        </w:rPr>
        <w:t>Differentia autem inter apprehendere formam et apprehendere intentionem est haec: quod forma est illa quam apprehendit sensus interior et sensus exterior simul, sed sensus exterior primo apprehendit eam et postea reddit eam sensui interiori, sicut cum ovis apprehendit formam lupi, scilicet figuram eius et affectionem et colorem, sed sensum exterior ovis primo apprehendit eam et deide sensus interior; intentio autem est id quod apprehendit anima de sensibili, quamvis non prius apprehendat illud sensus exterior, sicut ovis apprehendit intentionem quam habet de lupo, quae scilicet est quare debeat eum timere et fugere, quamvis non hoc apprehendat sensus ullo modo</w:t>
      </w:r>
      <w:r>
        <w:rPr>
          <w:lang w:val="pt-PT"/>
        </w:rPr>
        <w:t>.”</w:t>
      </w:r>
      <w:r>
        <w:t xml:space="preserve"> </w:t>
      </w:r>
    </w:p>
  </w:footnote>
  <w:footnote w:id="276">
    <w:p w14:paraId="27FF9DF5" w14:textId="30EECC94" w:rsidR="00244FB6" w:rsidRDefault="00244FB6" w:rsidP="00244FB6">
      <w:pPr>
        <w:pStyle w:val="FootnoteText"/>
        <w:ind w:firstLine="0"/>
      </w:pPr>
      <w:r>
        <w:rPr>
          <w:rStyle w:val="FootnoteReference"/>
        </w:rPr>
        <w:footnoteRef/>
      </w:r>
      <w:r>
        <w:t xml:space="preserve"> </w:t>
      </w:r>
      <w:r w:rsidRPr="001E3844">
        <w:t>On the geomantic production of William of Moerbeke see Alessandra Beccarisi, ‘Guglielmo di Moerbeke e la divinatione</w:t>
      </w:r>
      <w:r w:rsidR="00BE5F2A">
        <w:t>,</w:t>
      </w:r>
      <w:r w:rsidRPr="001E3844">
        <w:t xml:space="preserve">’371-395. </w:t>
      </w:r>
      <w:r>
        <w:rPr>
          <w:lang w:val="it-IT"/>
        </w:rPr>
        <w:t>By</w:t>
      </w:r>
      <w:r w:rsidRPr="001E3844">
        <w:rPr>
          <w:lang w:val="it-IT"/>
        </w:rPr>
        <w:t xml:space="preserve"> the same author ‘Alcune considerazioni sulla Geomantia attribuita a Guglielmo di Moerbeke’, in </w:t>
      </w:r>
      <w:r w:rsidRPr="001E3844">
        <w:rPr>
          <w:i/>
          <w:iCs/>
          <w:lang w:val="it-IT"/>
        </w:rPr>
        <w:t>Quaderni di Noctua, 5</w:t>
      </w:r>
      <w:r w:rsidRPr="001E3844">
        <w:rPr>
          <w:lang w:val="it-IT"/>
        </w:rPr>
        <w:t xml:space="preserve"> (2019), 554-603; Elisa Rubino, ‘Per una edizione della Geomantia di Guglielmo di Moerbeke. Il testo del proemio e della prima distinzione della prima parte’, in </w:t>
      </w:r>
      <w:r w:rsidRPr="001E3844">
        <w:rPr>
          <w:i/>
          <w:iCs/>
          <w:lang w:val="it-IT"/>
        </w:rPr>
        <w:t>Geomancy and Other Forms of Divination</w:t>
      </w:r>
      <w:r w:rsidRPr="001E3844">
        <w:rPr>
          <w:lang w:val="it-IT"/>
        </w:rPr>
        <w:t xml:space="preserve"> (2017), 93-134. </w:t>
      </w:r>
      <w:r>
        <w:t>By</w:t>
      </w:r>
      <w:r w:rsidRPr="001E3844">
        <w:t xml:space="preserve"> the same author ‘An Italian Translation of William of Moerbeke’s Geomancy’, in </w:t>
      </w:r>
      <w:r w:rsidRPr="001E3844">
        <w:rPr>
          <w:i/>
          <w:iCs/>
        </w:rPr>
        <w:t>Medioevo. Rivista di storia della filosofia medievale, vol. XLII</w:t>
      </w:r>
      <w:r w:rsidRPr="001E3844">
        <w:t>, ed. by A. Beccarisi and F. Retucci (Padua: Il Poligrafo, 2017), 81-98</w:t>
      </w:r>
      <w:r w:rsidRPr="001E3844">
        <w:rPr>
          <w:lang w:val="it-IT"/>
        </w:rPr>
        <w:t>.</w:t>
      </w:r>
    </w:p>
  </w:footnote>
  <w:footnote w:id="277">
    <w:p w14:paraId="145B96D9" w14:textId="77777777" w:rsidR="00244FB6" w:rsidRDefault="00244FB6" w:rsidP="00244FB6">
      <w:pPr>
        <w:pStyle w:val="FootnoteText"/>
        <w:ind w:firstLine="0"/>
      </w:pPr>
      <w:r>
        <w:rPr>
          <w:rStyle w:val="FootnoteReference"/>
        </w:rPr>
        <w:footnoteRef/>
      </w:r>
      <w:r>
        <w:t xml:space="preserve"> “</w:t>
      </w:r>
      <w:r>
        <w:rPr>
          <w:rFonts w:cs="Times New Roman"/>
          <w:rtl/>
        </w:rPr>
        <w:t>ضمير</w:t>
      </w:r>
      <w:r>
        <w:rPr>
          <w:rFonts w:cs="Times New Roman"/>
        </w:rPr>
        <w:t xml:space="preserve"> </w:t>
      </w:r>
      <w:r>
        <w:t xml:space="preserve">ḍamīr n. ḍmr – mind, secret thought, innermost,” in </w:t>
      </w:r>
      <w:r w:rsidRPr="004303F1">
        <w:rPr>
          <w:i/>
          <w:iCs/>
        </w:rPr>
        <w:t>Arabic and Latin Glossary</w:t>
      </w:r>
      <w:r>
        <w:t>, ed. by Dag Nikolaus Hass</w:t>
      </w:r>
      <w:r w:rsidRPr="00BF720A">
        <w:t xml:space="preserve">e </w:t>
      </w:r>
      <w:hyperlink r:id="rId3" w:anchor="intentio" w:history="1">
        <w:r w:rsidRPr="00BF720A">
          <w:rPr>
            <w:rStyle w:val="Hyperlink"/>
            <w:color w:val="auto"/>
          </w:rPr>
          <w:t>https://algloss.de.dariah.eu/?lemma=intentio&amp;var=la&amp;nav=i#intentio</w:t>
        </w:r>
      </w:hyperlink>
      <w:r w:rsidRPr="00BF720A">
        <w:t xml:space="preserve">, </w:t>
      </w:r>
      <w:r>
        <w:t>visited on 19/01/2023.</w:t>
      </w:r>
    </w:p>
  </w:footnote>
  <w:footnote w:id="278">
    <w:p w14:paraId="18B6CA51" w14:textId="1945B330" w:rsidR="00244FB6" w:rsidRDefault="00244FB6" w:rsidP="00244FB6">
      <w:pPr>
        <w:pStyle w:val="FootnoteText"/>
        <w:ind w:firstLine="0"/>
      </w:pPr>
      <w:r>
        <w:rPr>
          <w:rStyle w:val="FootnoteReference"/>
        </w:rPr>
        <w:footnoteRef/>
      </w:r>
      <w:r>
        <w:t xml:space="preserve"> </w:t>
      </w:r>
      <w:r w:rsidRPr="00F50A81">
        <w:t>Ann</w:t>
      </w:r>
      <w:r>
        <w:t>e</w:t>
      </w:r>
      <w:r w:rsidRPr="00F50A81">
        <w:t xml:space="preserve"> Regourd, </w:t>
      </w:r>
      <w:r>
        <w:t>‘</w:t>
      </w:r>
      <w:r w:rsidRPr="00F50A81">
        <w:t>Traditions and Practices of Prognostication in the Middle Ages: Mantic Arts</w:t>
      </w:r>
      <w:r>
        <w:t>’</w:t>
      </w:r>
      <w:r w:rsidRPr="00F50A81">
        <w:t xml:space="preserve">, in  </w:t>
      </w:r>
      <w:r w:rsidRPr="00F50A81">
        <w:rPr>
          <w:i/>
          <w:iCs/>
        </w:rPr>
        <w:t>Prognostication in the Medieval World, a Handbook, Vol. 1</w:t>
      </w:r>
      <w:r w:rsidRPr="00F50A81">
        <w:t xml:space="preserve"> (2021), </w:t>
      </w:r>
      <w:r>
        <w:t xml:space="preserve">468-484: </w:t>
      </w:r>
      <w:r w:rsidRPr="00F50A81">
        <w:t>47</w:t>
      </w:r>
      <w:r>
        <w:t>0-473</w:t>
      </w:r>
      <w:r w:rsidRPr="00F50A81">
        <w:t xml:space="preserve">. </w:t>
      </w:r>
      <w:r>
        <w:rPr>
          <w:lang w:val="fr-FR"/>
        </w:rPr>
        <w:t xml:space="preserve">By the </w:t>
      </w:r>
      <w:r w:rsidRPr="00F9172C">
        <w:t xml:space="preserve">same author, see also </w:t>
      </w:r>
      <w:r>
        <w:rPr>
          <w:lang w:val="fr-FR"/>
        </w:rPr>
        <w:t>‘</w:t>
      </w:r>
      <w:r w:rsidRPr="00D9201D">
        <w:rPr>
          <w:lang w:val="fr-FR"/>
        </w:rPr>
        <w:t>Pratiques de géomancie au Yémen</w:t>
      </w:r>
      <w:r w:rsidR="006D7589">
        <w:rPr>
          <w:lang w:val="fr-FR"/>
        </w:rPr>
        <w:t>,</w:t>
      </w:r>
      <w:r>
        <w:rPr>
          <w:lang w:val="fr-FR"/>
        </w:rPr>
        <w:t>’</w:t>
      </w:r>
      <w:r w:rsidRPr="00D9201D">
        <w:rPr>
          <w:lang w:val="fr-FR"/>
        </w:rPr>
        <w:t xml:space="preserve"> in </w:t>
      </w:r>
      <w:r w:rsidRPr="00D9201D">
        <w:rPr>
          <w:i/>
          <w:iCs/>
          <w:lang w:val="fr-FR"/>
        </w:rPr>
        <w:t xml:space="preserve">Religion et pratiques de puissance, </w:t>
      </w:r>
      <w:r w:rsidRPr="00D9201D">
        <w:rPr>
          <w:lang w:val="fr-FR"/>
        </w:rPr>
        <w:t>ed. by A. de Surgy (Paris: L’Harmattan</w:t>
      </w:r>
      <w:r w:rsidRPr="00F50A81">
        <w:t>, 1997), 105-128: 117-118.</w:t>
      </w:r>
      <w:r>
        <w:t xml:space="preserve"> In my thesis, I have preferred to translate </w:t>
      </w:r>
      <w:r w:rsidRPr="00402C43">
        <w:rPr>
          <w:i/>
          <w:iCs/>
        </w:rPr>
        <w:t>ḍamīr</w:t>
      </w:r>
      <w:r>
        <w:t xml:space="preserve"> as ‘unconscious’ rather than ‘subconscious’, as the latter bears stronger psychoanalytical connotations.</w:t>
      </w:r>
    </w:p>
  </w:footnote>
  <w:footnote w:id="279">
    <w:p w14:paraId="377C43D8" w14:textId="77777777" w:rsidR="00244FB6" w:rsidRPr="00F50A81" w:rsidRDefault="00244FB6" w:rsidP="00244FB6">
      <w:pPr>
        <w:pStyle w:val="FootnoteText"/>
        <w:ind w:firstLine="0"/>
      </w:pPr>
      <w:r w:rsidRPr="00F50A81">
        <w:rPr>
          <w:rStyle w:val="FootnoteReference"/>
        </w:rPr>
        <w:footnoteRef/>
      </w:r>
      <w:r w:rsidRPr="00F50A81">
        <w:t xml:space="preserve"> Oddbjørn Leirvik, </w:t>
      </w:r>
      <w:r>
        <w:t>‘</w:t>
      </w:r>
      <w:r w:rsidRPr="00F50A81">
        <w:t>Conscience in Arabic and the Semantic History of ‘Ḍamīr’</w:t>
      </w:r>
      <w:r>
        <w:t>’</w:t>
      </w:r>
      <w:r w:rsidRPr="00F50A81">
        <w:t xml:space="preserve">, in </w:t>
      </w:r>
      <w:r w:rsidRPr="00F50A81">
        <w:rPr>
          <w:i/>
          <w:iCs/>
        </w:rPr>
        <w:t>Journal of Arabic and Islamic Studies</w:t>
      </w:r>
      <w:r w:rsidRPr="00F50A81">
        <w:t>, 9 (2017), 18-36.</w:t>
      </w:r>
    </w:p>
  </w:footnote>
  <w:footnote w:id="280">
    <w:p w14:paraId="354374B6" w14:textId="15ED2646" w:rsidR="00244FB6" w:rsidRPr="00F50A81" w:rsidRDefault="00244FB6" w:rsidP="00244FB6">
      <w:pPr>
        <w:pStyle w:val="FootnoteText"/>
        <w:ind w:firstLine="0"/>
      </w:pPr>
      <w:r w:rsidRPr="00F50A81">
        <w:rPr>
          <w:rStyle w:val="FootnoteReference"/>
        </w:rPr>
        <w:footnoteRef/>
      </w:r>
      <w:r w:rsidRPr="00F50A81">
        <w:t xml:space="preserve"> Leirvik, </w:t>
      </w:r>
      <w:r>
        <w:t>‘</w:t>
      </w:r>
      <w:r w:rsidRPr="00F50A81">
        <w:t>Conscience in Arabi</w:t>
      </w:r>
      <w:r>
        <w:t>c</w:t>
      </w:r>
      <w:r w:rsidR="00C63151">
        <w:t>,</w:t>
      </w:r>
      <w:r>
        <w:t>’</w:t>
      </w:r>
      <w:r w:rsidRPr="00F50A81">
        <w:t xml:space="preserve"> 21.</w:t>
      </w:r>
    </w:p>
  </w:footnote>
  <w:footnote w:id="281">
    <w:p w14:paraId="5374F68D" w14:textId="708E9725" w:rsidR="00FB4CF8" w:rsidRDefault="00FB4CF8" w:rsidP="00FB4CF8">
      <w:pPr>
        <w:pStyle w:val="FootnoteText"/>
        <w:ind w:firstLine="0"/>
      </w:pPr>
      <w:r>
        <w:rPr>
          <w:rStyle w:val="FootnoteReference"/>
        </w:rPr>
        <w:footnoteRef/>
      </w:r>
      <w:r>
        <w:t xml:space="preserve"> Saif, </w:t>
      </w:r>
      <w:r w:rsidRPr="00FB4CF8">
        <w:rPr>
          <w:i/>
          <w:iCs/>
        </w:rPr>
        <w:t>The Arabic Influence on Early Modern Occult Philosophy</w:t>
      </w:r>
      <w:r>
        <w:t xml:space="preserve">, 10-11. </w:t>
      </w:r>
    </w:p>
  </w:footnote>
  <w:footnote w:id="282">
    <w:p w14:paraId="77E12947" w14:textId="090CB660" w:rsidR="00244FB6" w:rsidRDefault="00244FB6" w:rsidP="00244FB6">
      <w:pPr>
        <w:pStyle w:val="FootnoteText"/>
        <w:ind w:firstLine="0"/>
      </w:pPr>
      <w:r>
        <w:rPr>
          <w:rStyle w:val="FootnoteReference"/>
        </w:rPr>
        <w:footnoteRef/>
      </w:r>
      <w:r>
        <w:t xml:space="preserve"> </w:t>
      </w:r>
      <w:r w:rsidRPr="00F50A81">
        <w:t xml:space="preserve">Leirvik, </w:t>
      </w:r>
      <w:r>
        <w:t>‘</w:t>
      </w:r>
      <w:r w:rsidRPr="00F50A81">
        <w:t>Conscience in Arabic</w:t>
      </w:r>
      <w:r w:rsidR="00C63151">
        <w:t>,</w:t>
      </w:r>
      <w:r>
        <w:t>’ 22.</w:t>
      </w:r>
    </w:p>
  </w:footnote>
  <w:footnote w:id="283">
    <w:p w14:paraId="13F98DB8" w14:textId="77777777" w:rsidR="00244FB6" w:rsidRPr="00F50A81" w:rsidRDefault="00244FB6" w:rsidP="00244FB6">
      <w:pPr>
        <w:pStyle w:val="FootnoteText"/>
        <w:ind w:firstLine="0"/>
      </w:pPr>
      <w:r w:rsidRPr="00F50A81">
        <w:rPr>
          <w:rStyle w:val="FootnoteReference"/>
        </w:rPr>
        <w:footnoteRef/>
      </w:r>
      <w:r w:rsidRPr="00F50A81">
        <w:t xml:space="preserve"> </w:t>
      </w:r>
      <w:r>
        <w:t>An example is the following passage attributed to Abū Sulaymān al-Sijistānī (c. 912- c.985 AD): “If the heart (</w:t>
      </w:r>
      <w:r w:rsidRPr="00B21519">
        <w:rPr>
          <w:i/>
          <w:iCs/>
        </w:rPr>
        <w:t>ḍamīr</w:t>
      </w:r>
      <w:r>
        <w:t xml:space="preserve">) of one friend is open to another, the truth glows between them, the good enfolds them, and each becomes a mainstay to his companion, a helpmate in his endeavour, and a potent factor in his attaining his wish. There is nothing surprising in this: souls ignite one another, tongues exchange confidences; and the mysteries of this human being, a microcosm in this macrocosm, abound and spread.” In </w:t>
      </w:r>
      <w:r w:rsidRPr="00F50A81">
        <w:t xml:space="preserve">Joel L. Kraemer, </w:t>
      </w:r>
      <w:r w:rsidRPr="00F50A81">
        <w:rPr>
          <w:i/>
          <w:iCs/>
        </w:rPr>
        <w:t>Humanism in the Renaissance of Islam</w:t>
      </w:r>
      <w:r w:rsidRPr="00F50A81">
        <w:t xml:space="preserve"> (Leiden: Brill, 1986), 163.</w:t>
      </w:r>
    </w:p>
  </w:footnote>
  <w:footnote w:id="284">
    <w:p w14:paraId="67BE884F" w14:textId="2E83CC94" w:rsidR="00244FB6" w:rsidRPr="00F50A81" w:rsidRDefault="00244FB6" w:rsidP="00244FB6">
      <w:pPr>
        <w:pStyle w:val="FootnoteText"/>
        <w:ind w:firstLine="0"/>
      </w:pPr>
      <w:r w:rsidRPr="00F50A81">
        <w:rPr>
          <w:rStyle w:val="FootnoteReference"/>
        </w:rPr>
        <w:footnoteRef/>
      </w:r>
      <w:r w:rsidRPr="00F50A81">
        <w:t xml:space="preserve"> Leirvik, </w:t>
      </w:r>
      <w:r>
        <w:t>‘</w:t>
      </w:r>
      <w:r w:rsidRPr="00F50A81">
        <w:t>Conscience in Arabic</w:t>
      </w:r>
      <w:r w:rsidR="000E7BFA">
        <w:t>,</w:t>
      </w:r>
      <w:r>
        <w:t>’</w:t>
      </w:r>
      <w:r w:rsidRPr="00F50A81">
        <w:t xml:space="preserve"> 24. </w:t>
      </w:r>
    </w:p>
  </w:footnote>
  <w:footnote w:id="285">
    <w:p w14:paraId="13802EF2" w14:textId="77777777" w:rsidR="00244FB6" w:rsidRDefault="00244FB6" w:rsidP="00244FB6">
      <w:pPr>
        <w:pStyle w:val="FootnoteText"/>
        <w:ind w:firstLine="0"/>
      </w:pPr>
      <w:r>
        <w:rPr>
          <w:rStyle w:val="FootnoteReference"/>
        </w:rPr>
        <w:footnoteRef/>
      </w:r>
      <w:r>
        <w:t xml:space="preserve"> </w:t>
      </w:r>
      <w:r w:rsidRPr="002E792B">
        <w:t xml:space="preserve">More on  Abū Ma‘shar’s use of lots in the Introduction to Abū Ma‘shar, </w:t>
      </w:r>
      <w:r w:rsidRPr="002E792B">
        <w:rPr>
          <w:i/>
          <w:iCs/>
        </w:rPr>
        <w:t>The Great Introduction to Astrology, Vol. I</w:t>
      </w:r>
      <w:r w:rsidRPr="002E792B">
        <w:t>, ed. by K. Yamamoto and C. Burnett (Leiden-Boston: Brill, 2019), 28-29. The Lot of Fortune is also used by Ptolemy in his Tetrabiblos, see Ptolemy, Tetrabiblos, ed. by F. E. Robbins (Cambridge, Mass.: Harvard University Press,1980), III, 10, pp. 274-277. The indications offered by Ptolemy for the calculation are as follows: “Take as the Lot of Fortune always the amount of the number of degrees, both by night and by day, which is the distance from the sun to the moon and which extends to an equal distance from the horoscope (ascendant) in the order of the following signs, in order that, whatever relation and aspect the sun bears to the horoscope, the moon also may bear to the Lot of Fortune, and that it may be as it were a lunar horoscope.”</w:t>
      </w:r>
    </w:p>
  </w:footnote>
  <w:footnote w:id="286">
    <w:p w14:paraId="3795B123" w14:textId="77777777" w:rsidR="00244FB6" w:rsidRDefault="00244FB6" w:rsidP="00244FB6">
      <w:pPr>
        <w:pStyle w:val="FootnoteText"/>
        <w:ind w:firstLine="0"/>
      </w:pPr>
      <w:r>
        <w:rPr>
          <w:rStyle w:val="FootnoteReference"/>
        </w:rPr>
        <w:footnoteRef/>
      </w:r>
      <w:r>
        <w:t xml:space="preserve"> Abū Ma‘shar, </w:t>
      </w:r>
      <w:r w:rsidRPr="008F7BED">
        <w:rPr>
          <w:i/>
          <w:iCs/>
        </w:rPr>
        <w:t>The Great Introduction to Astrology, Vol. I</w:t>
      </w:r>
      <w:r>
        <w:t>, ed. by K. Yamamoto and C. Burnett (Leiden: Brill, 2019), VIII, 3.7, 1-4, pp. 836-837.</w:t>
      </w:r>
    </w:p>
  </w:footnote>
  <w:footnote w:id="287">
    <w:p w14:paraId="04B9608A" w14:textId="77777777" w:rsidR="00244FB6" w:rsidRDefault="00244FB6" w:rsidP="00244FB6">
      <w:pPr>
        <w:pStyle w:val="FootnoteText"/>
        <w:ind w:firstLine="0"/>
      </w:pPr>
      <w:r>
        <w:rPr>
          <w:rStyle w:val="FootnoteReference"/>
        </w:rPr>
        <w:footnoteRef/>
      </w:r>
      <w:r>
        <w:t xml:space="preserve"> Abū Ma‘shar, </w:t>
      </w:r>
      <w:r w:rsidRPr="008F7BED">
        <w:rPr>
          <w:i/>
          <w:iCs/>
        </w:rPr>
        <w:t>The Great Introduction to Astrology, Vol. I</w:t>
      </w:r>
      <w:r>
        <w:t>, VIII, 3.10b, 8-10, pp. 838-839.</w:t>
      </w:r>
    </w:p>
  </w:footnote>
  <w:footnote w:id="288">
    <w:p w14:paraId="56B932EC" w14:textId="7DEA8C61" w:rsidR="00244FB6" w:rsidRDefault="00244FB6" w:rsidP="00B51696">
      <w:pPr>
        <w:pStyle w:val="FootnoteText"/>
        <w:ind w:firstLine="0"/>
      </w:pPr>
      <w:r>
        <w:rPr>
          <w:rStyle w:val="FootnoteReference"/>
        </w:rPr>
        <w:footnoteRef/>
      </w:r>
      <w:r>
        <w:t xml:space="preserve"> Guillelmus de Morbeka, </w:t>
      </w:r>
      <w:r w:rsidRPr="000C37AA">
        <w:rPr>
          <w:i/>
          <w:iCs/>
        </w:rPr>
        <w:t>Geomantia</w:t>
      </w:r>
      <w:r w:rsidR="00CE3C4E">
        <w:t>,</w:t>
      </w:r>
      <w:r>
        <w:t xml:space="preserve"> LV: “... et vocatur domus vite, quia per eam questio occultata in anima apparere incipit et reviviscit. Sicud fetus natus in utero matris de obscuritate exit ad lucem, spirat et apparet, ita figura in visceribus terre mortua et occultata per tres motus apparet et lucescit in suo ortu.”</w:t>
      </w:r>
    </w:p>
  </w:footnote>
  <w:footnote w:id="289">
    <w:p w14:paraId="19E368B2" w14:textId="4E4A100C" w:rsidR="00244FB6" w:rsidRDefault="00244FB6" w:rsidP="00244FB6">
      <w:pPr>
        <w:pStyle w:val="FootnoteText"/>
        <w:ind w:firstLine="0"/>
      </w:pPr>
      <w:r w:rsidRPr="00B705B5">
        <w:rPr>
          <w:rStyle w:val="FootnoteReference"/>
        </w:rPr>
        <w:footnoteRef/>
      </w:r>
      <w:r w:rsidRPr="00B705B5">
        <w:t xml:space="preserve"> </w:t>
      </w:r>
      <w:r>
        <w:t xml:space="preserve">Ibn </w:t>
      </w:r>
      <w:r w:rsidR="00407654">
        <w:t>Khaldūn</w:t>
      </w:r>
      <w:r>
        <w:t xml:space="preserve">, </w:t>
      </w:r>
      <w:r w:rsidRPr="00B705B5">
        <w:rPr>
          <w:i/>
          <w:iCs/>
        </w:rPr>
        <w:t xml:space="preserve">The Muqaddimah, Vol. </w:t>
      </w:r>
      <w:r>
        <w:rPr>
          <w:i/>
          <w:iCs/>
        </w:rPr>
        <w:t>1</w:t>
      </w:r>
      <w:r>
        <w:t>, ed. by F. Rosenthal (New York: Pantheon Books, 1958), 226-234.</w:t>
      </w:r>
    </w:p>
  </w:footnote>
  <w:footnote w:id="290">
    <w:p w14:paraId="443429CA" w14:textId="3F3B1CE0" w:rsidR="00244FB6" w:rsidRDefault="00244FB6" w:rsidP="00244FB6">
      <w:pPr>
        <w:pStyle w:val="FootnoteText"/>
        <w:ind w:firstLine="0"/>
      </w:pPr>
      <w:r>
        <w:rPr>
          <w:rStyle w:val="FootnoteReference"/>
        </w:rPr>
        <w:footnoteRef/>
      </w:r>
      <w:r>
        <w:t xml:space="preserve"> (Imam) Ali ibn Abu Talib, </w:t>
      </w:r>
      <w:r w:rsidRPr="00F148F1">
        <w:rPr>
          <w:i/>
          <w:iCs/>
        </w:rPr>
        <w:t>Peak of Eloquence. Nahjul Balagha. Sermons, Letters and Sayings of Imam Ali ibn Abu Talib,</w:t>
      </w:r>
      <w:r>
        <w:t xml:space="preserve"> trans. by Sayed Ali Reza (New</w:t>
      </w:r>
      <w:r w:rsidR="00CF7D6F">
        <w:t xml:space="preserve"> </w:t>
      </w:r>
      <w:r>
        <w:t>York: Tahrike Tarsile Quran, 1986), sermon 198, 394.</w:t>
      </w:r>
    </w:p>
  </w:footnote>
  <w:footnote w:id="291">
    <w:p w14:paraId="54079707" w14:textId="0849F8ED" w:rsidR="00244FB6" w:rsidRDefault="00244FB6" w:rsidP="001713F4">
      <w:pPr>
        <w:pStyle w:val="FootnoteText"/>
        <w:ind w:firstLine="0"/>
      </w:pPr>
      <w:r>
        <w:rPr>
          <w:rStyle w:val="FootnoteReference"/>
        </w:rPr>
        <w:footnoteRef/>
      </w:r>
      <w:r>
        <w:t xml:space="preserve"> Carl Philip E. </w:t>
      </w:r>
      <w:r w:rsidRPr="006A5BD0">
        <w:t xml:space="preserve">Nothaft, </w:t>
      </w:r>
      <w:r>
        <w:t>‘</w:t>
      </w:r>
      <w:r w:rsidRPr="006A5BD0">
        <w:t>A Fourteenth-Century Scholastic Dispute on Astrological Interrogations</w:t>
      </w:r>
      <w:r>
        <w:t>’, in</w:t>
      </w:r>
      <w:r w:rsidRPr="006A5BD0">
        <w:t xml:space="preserve"> </w:t>
      </w:r>
      <w:r w:rsidRPr="006A5BD0">
        <w:rPr>
          <w:i/>
          <w:iCs/>
        </w:rPr>
        <w:t>Vivarium</w:t>
      </w:r>
      <w:r>
        <w:t xml:space="preserve"> </w:t>
      </w:r>
      <w:r w:rsidRPr="006A5BD0">
        <w:t>59</w:t>
      </w:r>
      <w:r>
        <w:t xml:space="preserve"> (2021)</w:t>
      </w:r>
      <w:r w:rsidRPr="006A5BD0">
        <w:t>, 241-258.</w:t>
      </w:r>
      <w:r>
        <w:t xml:space="preserve"> See also H. Darrel </w:t>
      </w:r>
      <w:r w:rsidRPr="007A0264">
        <w:t xml:space="preserve">Rutkin, </w:t>
      </w:r>
      <w:r>
        <w:t>‘</w:t>
      </w:r>
      <w:r w:rsidRPr="007A0264">
        <w:t>Is Astrology a Type of Divination? Thomas Aquinas, the Index of Prohibited Books, and the Construction of a Legitimate Astrology in the Middle Ages and the Renaissance</w:t>
      </w:r>
      <w:r>
        <w:t>’, in</w:t>
      </w:r>
      <w:r w:rsidRPr="007A0264">
        <w:t xml:space="preserve"> </w:t>
      </w:r>
      <w:r w:rsidRPr="007A0264">
        <w:rPr>
          <w:i/>
          <w:iCs/>
        </w:rPr>
        <w:t>International Journal of Divination and Prognostication</w:t>
      </w:r>
      <w:r w:rsidRPr="007A0264">
        <w:t xml:space="preserve"> 1</w:t>
      </w:r>
      <w:r>
        <w:t xml:space="preserve"> (2019),</w:t>
      </w:r>
      <w:r w:rsidRPr="007A0264">
        <w:t xml:space="preserve"> 36-74.</w:t>
      </w:r>
      <w:r w:rsidR="001713F4" w:rsidRPr="001713F4">
        <w:t xml:space="preserve"> </w:t>
      </w:r>
      <w:r w:rsidR="001713F4" w:rsidRPr="00F50A81">
        <w:t>On</w:t>
      </w:r>
      <w:r w:rsidR="001713F4">
        <w:t xml:space="preserve"> medieval</w:t>
      </w:r>
      <w:r w:rsidR="001713F4" w:rsidRPr="00F50A81">
        <w:t xml:space="preserve"> </w:t>
      </w:r>
      <w:r w:rsidR="001713F4">
        <w:t xml:space="preserve">astrological interrogations </w:t>
      </w:r>
      <w:r w:rsidR="001713F4" w:rsidRPr="00635006">
        <w:t xml:space="preserve">see Charles Burnett, ‘Traditions and Practices of Prognostication in the Middle Ages: Astral Sciences’, in </w:t>
      </w:r>
      <w:r w:rsidR="001713F4" w:rsidRPr="00635006">
        <w:rPr>
          <w:i/>
          <w:iCs/>
        </w:rPr>
        <w:t>Prognostication in the Medieval World, a Handbook</w:t>
      </w:r>
      <w:r w:rsidR="001713F4" w:rsidRPr="00F50A81">
        <w:t>, 485-501: 489-490</w:t>
      </w:r>
      <w:r w:rsidR="001713F4">
        <w:t xml:space="preserve">; Hilary M. </w:t>
      </w:r>
      <w:r w:rsidR="001713F4" w:rsidRPr="00A62A89">
        <w:t>Carey,</w:t>
      </w:r>
      <w:r w:rsidR="001713F4">
        <w:t xml:space="preserve"> ‘</w:t>
      </w:r>
      <w:r w:rsidR="001713F4" w:rsidRPr="00A62A89">
        <w:t>Judicial Astrology in Theory and Practice in Later Medieval Europe</w:t>
      </w:r>
      <w:r w:rsidR="001713F4">
        <w:t>’,</w:t>
      </w:r>
      <w:r w:rsidR="001713F4" w:rsidRPr="00A62A89">
        <w:t xml:space="preserve"> </w:t>
      </w:r>
      <w:r w:rsidR="001713F4">
        <w:t>i</w:t>
      </w:r>
      <w:r w:rsidR="001713F4" w:rsidRPr="00A62A89">
        <w:t xml:space="preserve">n </w:t>
      </w:r>
      <w:r w:rsidR="001713F4" w:rsidRPr="00A62A89">
        <w:rPr>
          <w:i/>
          <w:iCs/>
        </w:rPr>
        <w:t>Studies in History and Philosophy of Science Part C: Studies in History and Philosophy of Biological and Biomedical Sciences</w:t>
      </w:r>
      <w:r w:rsidR="001713F4" w:rsidRPr="00A62A89">
        <w:t>, 41</w:t>
      </w:r>
      <w:r w:rsidR="001713F4">
        <w:t>,</w:t>
      </w:r>
      <w:r w:rsidR="001713F4" w:rsidRPr="00A62A89">
        <w:t xml:space="preserve"> 2</w:t>
      </w:r>
      <w:r w:rsidR="001713F4">
        <w:t xml:space="preserve"> </w:t>
      </w:r>
      <w:r w:rsidR="001713F4" w:rsidRPr="00A62A89">
        <w:t>(2010), 90-98</w:t>
      </w:r>
      <w:r w:rsidR="001713F4">
        <w:t>.</w:t>
      </w:r>
    </w:p>
  </w:footnote>
  <w:footnote w:id="292">
    <w:p w14:paraId="408272D2" w14:textId="77777777" w:rsidR="00244FB6" w:rsidRDefault="00244FB6" w:rsidP="00244FB6">
      <w:pPr>
        <w:pStyle w:val="FootnoteText"/>
        <w:ind w:firstLine="0"/>
      </w:pPr>
      <w:r>
        <w:rPr>
          <w:rStyle w:val="FootnoteReference"/>
        </w:rPr>
        <w:footnoteRef/>
      </w:r>
      <w:r>
        <w:t xml:space="preserve"> See </w:t>
      </w:r>
      <w:r w:rsidRPr="00B26397">
        <w:t>C</w:t>
      </w:r>
      <w:r>
        <w:t>harles</w:t>
      </w:r>
      <w:r w:rsidRPr="00B26397">
        <w:t xml:space="preserve"> B. Schmitt</w:t>
      </w:r>
      <w:r>
        <w:t xml:space="preserve"> and</w:t>
      </w:r>
      <w:r w:rsidRPr="00B26397">
        <w:t xml:space="preserve"> D</w:t>
      </w:r>
      <w:r>
        <w:t>ilwyn</w:t>
      </w:r>
      <w:r w:rsidRPr="00B26397">
        <w:t xml:space="preserve"> Knox, </w:t>
      </w:r>
      <w:r w:rsidRPr="00B26397">
        <w:rPr>
          <w:i/>
          <w:iCs/>
        </w:rPr>
        <w:t>Pseudo-Aristoteles Latinus. A Guide to Latin Works Falsely Attributed to Aristotle Before 1500,</w:t>
      </w:r>
      <w:r w:rsidRPr="00B26397">
        <w:t xml:space="preserve"> </w:t>
      </w:r>
      <w:r>
        <w:t>(</w:t>
      </w:r>
      <w:r w:rsidRPr="00B26397">
        <w:t>London</w:t>
      </w:r>
      <w:r>
        <w:t>: The Warburg Institute Press,</w:t>
      </w:r>
      <w:r w:rsidRPr="00B26397">
        <w:t xml:space="preserve"> 1985</w:t>
      </w:r>
      <w:r>
        <w:t>)</w:t>
      </w:r>
      <w:r w:rsidRPr="00B26397">
        <w:t>, 35-37 (nos. 49-51)</w:t>
      </w:r>
      <w:r>
        <w:t xml:space="preserve">; Charles </w:t>
      </w:r>
      <w:r w:rsidRPr="00BA5DA3">
        <w:t xml:space="preserve">Burnett, ‘Aristotle as an Authority on Judicial Astrology’, in </w:t>
      </w:r>
      <w:r w:rsidRPr="00BA5DA3">
        <w:rPr>
          <w:i/>
          <w:iCs/>
        </w:rPr>
        <w:t>Florilegium Mediaevale. Études offertes à Jacqueline Hamesse à l’occasion de son émérita</w:t>
      </w:r>
      <w:r w:rsidRPr="00BA5DA3">
        <w:t>t, ed</w:t>
      </w:r>
      <w:r>
        <w:t>. by</w:t>
      </w:r>
      <w:r w:rsidRPr="00BA5DA3">
        <w:t xml:space="preserve"> J. Meirinhos, O. Weijers </w:t>
      </w:r>
      <w:r>
        <w:t xml:space="preserve">(Louvain: </w:t>
      </w:r>
      <w:r w:rsidRPr="00BA5DA3">
        <w:t>Louvain</w:t>
      </w:r>
      <w:r>
        <w:t xml:space="preserve"> </w:t>
      </w:r>
      <w:r w:rsidRPr="00BA5DA3">
        <w:t>la</w:t>
      </w:r>
      <w:r>
        <w:t xml:space="preserve"> </w:t>
      </w:r>
      <w:r w:rsidRPr="00BA5DA3">
        <w:t>Neuve, 2009</w:t>
      </w:r>
      <w:r>
        <w:t>),</w:t>
      </w:r>
      <w:r w:rsidRPr="00BA5DA3">
        <w:t xml:space="preserve"> 41-62</w:t>
      </w:r>
      <w:r>
        <w:t xml:space="preserve">; and </w:t>
      </w:r>
      <w:r w:rsidRPr="00484598">
        <w:t>D</w:t>
      </w:r>
      <w:r>
        <w:t>avid</w:t>
      </w:r>
      <w:r w:rsidRPr="00484598">
        <w:t xml:space="preserve"> Juste, ‘</w:t>
      </w:r>
      <w:r w:rsidRPr="00FA7013">
        <w:rPr>
          <w:lang w:val="fr-FR"/>
        </w:rPr>
        <w:t>Les textes astrologiques latins attribués à Aristote’</w:t>
      </w:r>
      <w:r w:rsidRPr="00484598">
        <w:t>,</w:t>
      </w:r>
      <w:r>
        <w:t xml:space="preserve"> in</w:t>
      </w:r>
      <w:r w:rsidRPr="00484598">
        <w:t xml:space="preserve"> </w:t>
      </w:r>
      <w:r w:rsidRPr="00484598">
        <w:rPr>
          <w:i/>
          <w:iCs/>
        </w:rPr>
        <w:t>Micrologus 21</w:t>
      </w:r>
      <w:r w:rsidRPr="00484598">
        <w:t xml:space="preserve"> (</w:t>
      </w:r>
      <w:r>
        <w:t xml:space="preserve">Florence: Sismel-Edizioni del Galluzzo, </w:t>
      </w:r>
      <w:r w:rsidRPr="00484598">
        <w:t>2013), 145-164: 150-153</w:t>
      </w:r>
      <w:r>
        <w:t>.</w:t>
      </w:r>
    </w:p>
  </w:footnote>
  <w:footnote w:id="293">
    <w:p w14:paraId="677BB814" w14:textId="17F75953" w:rsidR="00244FB6" w:rsidRDefault="00244FB6" w:rsidP="00244FB6">
      <w:pPr>
        <w:pStyle w:val="FootnoteText"/>
        <w:ind w:firstLine="0"/>
      </w:pPr>
      <w:r>
        <w:rPr>
          <w:rStyle w:val="FootnoteReference"/>
        </w:rPr>
        <w:footnoteRef/>
      </w:r>
      <w:r>
        <w:t xml:space="preserve"> The text has been identified by Shlomo Sela. See  </w:t>
      </w:r>
      <w:r w:rsidRPr="0078438B">
        <w:t xml:space="preserve">S. Sela, </w:t>
      </w:r>
      <w:r w:rsidRPr="0078438B">
        <w:rPr>
          <w:i/>
          <w:iCs/>
        </w:rPr>
        <w:t>Abraham Ibn Ezra Latinus on Elections and Interrogations. A Parallel Latin-English Critical Edition of Liber Electionum, Liber Interrogationum, and Tractatus Particulares</w:t>
      </w:r>
      <w:r w:rsidRPr="0078438B">
        <w:t xml:space="preserve"> </w:t>
      </w:r>
      <w:r>
        <w:t>(</w:t>
      </w:r>
      <w:r w:rsidRPr="0078438B">
        <w:t>Leiden</w:t>
      </w:r>
      <w:r>
        <w:t>: Brill,</w:t>
      </w:r>
      <w:r w:rsidRPr="0078438B">
        <w:t xml:space="preserve"> 2020</w:t>
      </w:r>
      <w:r>
        <w:t>),</w:t>
      </w:r>
      <w:r w:rsidRPr="0078438B">
        <w:t xml:space="preserve"> 64-66</w:t>
      </w:r>
      <w:r>
        <w:t xml:space="preserve">, </w:t>
      </w:r>
      <w:r w:rsidRPr="0078438B">
        <w:t>505-509</w:t>
      </w:r>
      <w:r>
        <w:t xml:space="preserve">. </w:t>
      </w:r>
    </w:p>
  </w:footnote>
  <w:footnote w:id="294">
    <w:p w14:paraId="1051D6A6" w14:textId="1DBA87C5" w:rsidR="00244FB6" w:rsidRPr="00D9201D" w:rsidRDefault="00244FB6" w:rsidP="00244FB6">
      <w:pPr>
        <w:pStyle w:val="FootnoteText"/>
        <w:ind w:firstLine="0"/>
        <w:rPr>
          <w:lang w:val="fr-FR"/>
        </w:rPr>
      </w:pPr>
      <w:r>
        <w:rPr>
          <w:rStyle w:val="FootnoteReference"/>
        </w:rPr>
        <w:footnoteRef/>
      </w:r>
      <w:r w:rsidRPr="00D9201D">
        <w:rPr>
          <w:lang w:val="fr-FR"/>
        </w:rPr>
        <w:t xml:space="preserve">  David Juste, </w:t>
      </w:r>
      <w:r w:rsidRPr="00D9201D">
        <w:rPr>
          <w:i/>
          <w:iCs/>
          <w:lang w:val="fr-FR"/>
        </w:rPr>
        <w:t>Les Alchandreana primitifs</w:t>
      </w:r>
      <w:r w:rsidRPr="00D9201D">
        <w:rPr>
          <w:lang w:val="fr-FR"/>
        </w:rPr>
        <w:t>, 273-275</w:t>
      </w:r>
      <w:r w:rsidR="0033559E">
        <w:rPr>
          <w:lang w:val="fr-FR"/>
        </w:rPr>
        <w:t>.</w:t>
      </w:r>
    </w:p>
  </w:footnote>
  <w:footnote w:id="295">
    <w:p w14:paraId="2EA449B1" w14:textId="011EEC69" w:rsidR="00244FB6" w:rsidRPr="00566987" w:rsidRDefault="00244FB6" w:rsidP="00244FB6">
      <w:pPr>
        <w:pStyle w:val="FootnoteText"/>
        <w:ind w:firstLine="0"/>
      </w:pPr>
      <w:r>
        <w:rPr>
          <w:rStyle w:val="FootnoteReference"/>
        </w:rPr>
        <w:footnoteRef/>
      </w:r>
      <w:r w:rsidRPr="00D9201D">
        <w:rPr>
          <w:lang w:val="fr-FR"/>
        </w:rPr>
        <w:t xml:space="preserve"> </w:t>
      </w:r>
      <w:r w:rsidRPr="00566987">
        <w:t xml:space="preserve">Sela, </w:t>
      </w:r>
      <w:r w:rsidRPr="00566987">
        <w:rPr>
          <w:i/>
          <w:iCs/>
        </w:rPr>
        <w:t>Abraham Ibn Ezra Latinus on Elections and Interrogations</w:t>
      </w:r>
      <w:r w:rsidRPr="00566987">
        <w:t>, 507-509.</w:t>
      </w:r>
    </w:p>
  </w:footnote>
  <w:footnote w:id="296">
    <w:p w14:paraId="6FABC54B" w14:textId="77777777" w:rsidR="00244FB6" w:rsidRDefault="00244FB6" w:rsidP="00244FB6">
      <w:pPr>
        <w:pStyle w:val="FootnoteText"/>
        <w:ind w:firstLine="0"/>
      </w:pPr>
      <w:r w:rsidRPr="00566987">
        <w:rPr>
          <w:rStyle w:val="FootnoteReference"/>
        </w:rPr>
        <w:footnoteRef/>
      </w:r>
      <w:r w:rsidRPr="00566987">
        <w:t xml:space="preserve"> Māshā’allāh,</w:t>
      </w:r>
      <w:r w:rsidRPr="00566987">
        <w:rPr>
          <w:i/>
          <w:iCs/>
        </w:rPr>
        <w:t xml:space="preserve"> On Hidden Things, </w:t>
      </w:r>
      <w:r w:rsidRPr="00566987">
        <w:t>in</w:t>
      </w:r>
      <w:r w:rsidRPr="00566987">
        <w:rPr>
          <w:i/>
          <w:iCs/>
        </w:rPr>
        <w:t xml:space="preserve"> Works of Sahl &amp; Māshā’allāh</w:t>
      </w:r>
      <w:r w:rsidRPr="00566987">
        <w:t>, trans. by Benjamin N. Dykes (Golden Valley, Minnesota: The Cazimi Press, 2008), 425.</w:t>
      </w:r>
    </w:p>
  </w:footnote>
  <w:footnote w:id="297">
    <w:p w14:paraId="2BBCBEB7" w14:textId="37A9DC41" w:rsidR="00244FB6" w:rsidRPr="00105A14" w:rsidRDefault="00244FB6" w:rsidP="00244FB6">
      <w:pPr>
        <w:pStyle w:val="FootnoteText"/>
        <w:ind w:firstLine="0"/>
      </w:pPr>
      <w:r>
        <w:rPr>
          <w:rStyle w:val="FootnoteReference"/>
        </w:rPr>
        <w:footnoteRef/>
      </w:r>
      <w:r>
        <w:t xml:space="preserve"> </w:t>
      </w:r>
      <w:r w:rsidRPr="00105A14">
        <w:t>Māshā’allāh,</w:t>
      </w:r>
      <w:r w:rsidRPr="00105A14">
        <w:rPr>
          <w:i/>
          <w:iCs/>
        </w:rPr>
        <w:t xml:space="preserve"> On Hidden Things</w:t>
      </w:r>
      <w:r w:rsidRPr="00105A14">
        <w:t>, 426-428.</w:t>
      </w:r>
    </w:p>
  </w:footnote>
  <w:footnote w:id="298">
    <w:p w14:paraId="02ED3EB0" w14:textId="48085121" w:rsidR="00244FB6" w:rsidRPr="00105A14" w:rsidRDefault="00244FB6" w:rsidP="00244FB6">
      <w:pPr>
        <w:pStyle w:val="FootnoteText"/>
        <w:ind w:firstLine="0"/>
      </w:pPr>
      <w:r w:rsidRPr="00105A14">
        <w:rPr>
          <w:rStyle w:val="FootnoteReference"/>
        </w:rPr>
        <w:footnoteRef/>
      </w:r>
      <w:r w:rsidRPr="00105A14">
        <w:t xml:space="preserve"> </w:t>
      </w:r>
      <w:r w:rsidR="00E25750" w:rsidRPr="00E25750">
        <w:rPr>
          <w:i/>
          <w:iCs/>
        </w:rPr>
        <w:t>Ibid</w:t>
      </w:r>
      <w:r w:rsidR="00E25750" w:rsidRPr="00E25750">
        <w:t>.,</w:t>
      </w:r>
      <w:r w:rsidRPr="00E25750">
        <w:t xml:space="preserve"> </w:t>
      </w:r>
      <w:r w:rsidRPr="00105A14">
        <w:t xml:space="preserve">426. </w:t>
      </w:r>
    </w:p>
  </w:footnote>
  <w:footnote w:id="299">
    <w:p w14:paraId="628A8EFF" w14:textId="43AC21E3" w:rsidR="00244FB6" w:rsidRPr="00105A14" w:rsidRDefault="00244FB6" w:rsidP="00244FB6">
      <w:pPr>
        <w:pStyle w:val="FootnoteText"/>
        <w:ind w:firstLine="0"/>
      </w:pPr>
      <w:r w:rsidRPr="00105A14">
        <w:rPr>
          <w:rStyle w:val="FootnoteReference"/>
        </w:rPr>
        <w:footnoteRef/>
      </w:r>
      <w:r w:rsidRPr="00105A14">
        <w:t xml:space="preserve"> Māshā’allāh,</w:t>
      </w:r>
      <w:r w:rsidRPr="00105A14">
        <w:rPr>
          <w:i/>
          <w:iCs/>
        </w:rPr>
        <w:t xml:space="preserve"> On Hidden Things</w:t>
      </w:r>
      <w:r w:rsidRPr="00105A14">
        <w:t>, 426.</w:t>
      </w:r>
    </w:p>
  </w:footnote>
  <w:footnote w:id="300">
    <w:p w14:paraId="789CBB28" w14:textId="77777777" w:rsidR="00244FB6" w:rsidRDefault="00244FB6" w:rsidP="00244FB6">
      <w:pPr>
        <w:pStyle w:val="FootnoteText"/>
        <w:ind w:firstLine="0"/>
      </w:pPr>
      <w:r>
        <w:rPr>
          <w:rStyle w:val="FootnoteReference"/>
        </w:rPr>
        <w:footnoteRef/>
      </w:r>
      <w:r>
        <w:t xml:space="preserve"> On the </w:t>
      </w:r>
      <w:r w:rsidRPr="00300876">
        <w:rPr>
          <w:i/>
          <w:iCs/>
        </w:rPr>
        <w:t>Liber novem iudicum</w:t>
      </w:r>
      <w:r>
        <w:t xml:space="preserve"> see Charles S.F. Burnett, ‘A Group of Arabic-Latin Translators Working in Northern Spain in the Mid-12</w:t>
      </w:r>
      <w:r w:rsidRPr="00300876">
        <w:rPr>
          <w:vertAlign w:val="superscript"/>
        </w:rPr>
        <w:t>th</w:t>
      </w:r>
      <w:r>
        <w:t xml:space="preserve"> Century’, in </w:t>
      </w:r>
      <w:r w:rsidRPr="00DF15C8">
        <w:rPr>
          <w:i/>
          <w:iCs/>
        </w:rPr>
        <w:t>The Journal of the Royal Asiatic Society of Great Britain and Ireland</w:t>
      </w:r>
      <w:r>
        <w:t xml:space="preserve"> No. 1 (1977), 62-108: 65-70.</w:t>
      </w:r>
    </w:p>
  </w:footnote>
  <w:footnote w:id="301">
    <w:p w14:paraId="2FC4DB4D" w14:textId="77777777" w:rsidR="00244FB6" w:rsidRDefault="00244FB6" w:rsidP="00244FB6">
      <w:pPr>
        <w:pStyle w:val="FootnoteText"/>
        <w:ind w:firstLine="0"/>
      </w:pPr>
      <w:r>
        <w:rPr>
          <w:rStyle w:val="FootnoteReference"/>
        </w:rPr>
        <w:footnoteRef/>
      </w:r>
      <w:r>
        <w:t xml:space="preserve">  </w:t>
      </w:r>
      <w:r w:rsidRPr="005667F2">
        <w:rPr>
          <w:i/>
          <w:iCs/>
        </w:rPr>
        <w:t>Liber novem iudicum</w:t>
      </w:r>
      <w:r>
        <w:t>, Vienna, Österreichische Nationalbibliothek, Cod. 2428, f.1v: “</w:t>
      </w:r>
      <w:r w:rsidRPr="007E4ED0">
        <w:t xml:space="preserve">Celestis enim circuli vis divina et efficacie proprietas sub ipsius hora questionis ad querentum intelligentiam et mentem quadam similitudine videntur referri. Querentem </w:t>
      </w:r>
      <w:r>
        <w:t>un</w:t>
      </w:r>
      <w:r w:rsidRPr="007E4ED0">
        <w:t>quam circuli motus ad interrogandum compellit. Nam et humana conditio celestium tam siderum quam circulorum affec</w:t>
      </w:r>
      <w:r>
        <w:t>[ta]</w:t>
      </w:r>
      <w:r w:rsidRPr="007E4ED0">
        <w:t>tus ordinem, et progressus debite quasi cuiusdam dilec</w:t>
      </w:r>
      <w:r>
        <w:t>[ta]</w:t>
      </w:r>
      <w:r w:rsidRPr="007E4ED0">
        <w:t>tionis vinculo imitari non cessat</w:t>
      </w:r>
      <w:r>
        <w:t>.”</w:t>
      </w:r>
    </w:p>
  </w:footnote>
  <w:footnote w:id="302">
    <w:p w14:paraId="2E1DF6DC" w14:textId="7D3BAE54" w:rsidR="00244FB6" w:rsidRDefault="00244FB6" w:rsidP="00244FB6">
      <w:pPr>
        <w:pStyle w:val="FootnoteText"/>
        <w:ind w:firstLine="0"/>
      </w:pPr>
      <w:r>
        <w:rPr>
          <w:rStyle w:val="FootnoteReference"/>
        </w:rPr>
        <w:footnoteRef/>
      </w:r>
      <w:r>
        <w:t xml:space="preserve"> </w:t>
      </w:r>
      <w:r w:rsidRPr="009F566A">
        <w:t xml:space="preserve">Zavattero, </w:t>
      </w:r>
      <w:r>
        <w:t>‘</w:t>
      </w:r>
      <w:r w:rsidRPr="0037609C">
        <w:rPr>
          <w:i/>
          <w:iCs/>
        </w:rPr>
        <w:t>Estimaverunt Indi</w:t>
      </w:r>
      <w:r w:rsidRPr="009F566A">
        <w:t>: la tradizione testuale</w:t>
      </w:r>
      <w:r w:rsidR="003115B3">
        <w:t>,</w:t>
      </w:r>
      <w:r>
        <w:t>’</w:t>
      </w:r>
      <w:r w:rsidRPr="009F566A">
        <w:t xml:space="preserve"> 59:</w:t>
      </w:r>
      <w:r>
        <w:t xml:space="preserve"> “Nota quod figure disponuntur secundum dispositionem orbis signorum ad illud quod est rectum, quia circulus erit secundum intentionem querentis et cognitionem cordis eius ad illud quod est rectum, et interpretatur de eo quod est in anima.”</w:t>
      </w:r>
    </w:p>
  </w:footnote>
  <w:footnote w:id="303">
    <w:p w14:paraId="4E942040" w14:textId="77777777" w:rsidR="00244FB6" w:rsidRDefault="00244FB6" w:rsidP="00244FB6">
      <w:pPr>
        <w:pStyle w:val="FootnoteText"/>
        <w:ind w:firstLine="0"/>
      </w:pPr>
      <w:r>
        <w:rPr>
          <w:rStyle w:val="FootnoteReference"/>
        </w:rPr>
        <w:footnoteRef/>
      </w:r>
      <w:r>
        <w:t xml:space="preserve"> Francis J. Carmody, </w:t>
      </w:r>
      <w:r w:rsidRPr="00A7591F">
        <w:rPr>
          <w:i/>
          <w:iCs/>
        </w:rPr>
        <w:t>Arabic Astronomical and Astrological Sciences in Latin Translation. A Critical Bibliography</w:t>
      </w:r>
      <w:r>
        <w:t xml:space="preserve"> (Berkeley: University of California Press, 1956), 28‐29; Lynn Thorndike, ‘The Latin Translation of Astrological Works by Messahala’, in </w:t>
      </w:r>
      <w:r w:rsidRPr="00A7591F">
        <w:rPr>
          <w:i/>
          <w:iCs/>
        </w:rPr>
        <w:t>Osiris</w:t>
      </w:r>
      <w:r>
        <w:t xml:space="preserve">, 12 (1956), 53‐54. </w:t>
      </w:r>
    </w:p>
  </w:footnote>
  <w:footnote w:id="304">
    <w:p w14:paraId="23A61849" w14:textId="05BC0A0F" w:rsidR="00244FB6" w:rsidRPr="00D9201D" w:rsidRDefault="00244FB6" w:rsidP="00244FB6">
      <w:pPr>
        <w:pStyle w:val="FootnoteText"/>
        <w:ind w:firstLine="0"/>
        <w:rPr>
          <w:lang w:val="pt-PT"/>
        </w:rPr>
      </w:pPr>
      <w:r>
        <w:rPr>
          <w:rStyle w:val="FootnoteReference"/>
        </w:rPr>
        <w:footnoteRef/>
      </w:r>
      <w:r>
        <w:t xml:space="preserve"> </w:t>
      </w:r>
      <w:r w:rsidRPr="00061E21">
        <w:rPr>
          <w:i/>
          <w:iCs/>
        </w:rPr>
        <w:t>De cogitationibus secundum Messahalam</w:t>
      </w:r>
      <w:r>
        <w:t xml:space="preserve">,  ed. by Joachimus Hellerus, (Nürnberg: Johannes Montanus et Ulricus Neuberus, 1549): “Tribus modis autem fiunt interrogationes. </w:t>
      </w:r>
      <w:r w:rsidRPr="00D9201D">
        <w:rPr>
          <w:lang w:val="pt-PT"/>
        </w:rPr>
        <w:t>Primo, ut scias causam de qua interrogat. Secundo</w:t>
      </w:r>
      <w:r w:rsidR="00FC0143">
        <w:rPr>
          <w:lang w:val="pt-PT"/>
        </w:rPr>
        <w:t>,</w:t>
      </w:r>
      <w:r w:rsidRPr="00D9201D">
        <w:rPr>
          <w:lang w:val="pt-PT"/>
        </w:rPr>
        <w:t xml:space="preserve"> quae causa illum impulerit. Tertio, ut scias utrum res perficiatur an non et quem finem habitura sit</w:t>
      </w:r>
      <w:r>
        <w:rPr>
          <w:lang w:val="pt-PT"/>
        </w:rPr>
        <w:t>.”</w:t>
      </w:r>
    </w:p>
  </w:footnote>
  <w:footnote w:id="305">
    <w:p w14:paraId="35FE649D" w14:textId="77777777" w:rsidR="00244FB6" w:rsidRPr="00D9201D" w:rsidRDefault="00244FB6" w:rsidP="00244FB6">
      <w:pPr>
        <w:pStyle w:val="FootnoteText"/>
        <w:ind w:firstLine="0"/>
        <w:rPr>
          <w:lang w:val="pt-PT"/>
        </w:rPr>
      </w:pPr>
      <w:r>
        <w:rPr>
          <w:rStyle w:val="FootnoteReference"/>
        </w:rPr>
        <w:footnoteRef/>
      </w:r>
      <w:r w:rsidRPr="00D9201D">
        <w:rPr>
          <w:lang w:val="pt-PT"/>
        </w:rPr>
        <w:t xml:space="preserve"> </w:t>
      </w:r>
      <w:r>
        <w:rPr>
          <w:lang w:val="pt-PT"/>
        </w:rPr>
        <w:t>“</w:t>
      </w:r>
      <w:r w:rsidRPr="00D9201D">
        <w:rPr>
          <w:lang w:val="pt-PT"/>
        </w:rPr>
        <w:t>Et scito quod ueracior intentio est, quam habuit interrogator in corde per unam diem et noctem uel plus</w:t>
      </w:r>
      <w:r>
        <w:rPr>
          <w:lang w:val="pt-PT"/>
        </w:rPr>
        <w:t>”</w:t>
      </w:r>
      <w:r w:rsidRPr="00D9201D">
        <w:rPr>
          <w:lang w:val="pt-PT"/>
        </w:rPr>
        <w:t xml:space="preserve">. In </w:t>
      </w:r>
      <w:r w:rsidRPr="00D9201D">
        <w:rPr>
          <w:i/>
          <w:iCs/>
          <w:lang w:val="pt-PT"/>
        </w:rPr>
        <w:t>De cogitationibus secundum Messahalam</w:t>
      </w:r>
      <w:r w:rsidRPr="00D9201D">
        <w:rPr>
          <w:lang w:val="pt-PT"/>
        </w:rPr>
        <w:t>.</w:t>
      </w:r>
    </w:p>
  </w:footnote>
  <w:footnote w:id="306">
    <w:p w14:paraId="7B66A86F" w14:textId="11940B4C" w:rsidR="00244FB6" w:rsidRDefault="00244FB6" w:rsidP="00BF1420">
      <w:pPr>
        <w:pStyle w:val="FootnoteText"/>
        <w:ind w:firstLine="0"/>
      </w:pPr>
      <w:r>
        <w:rPr>
          <w:rStyle w:val="FootnoteReference"/>
        </w:rPr>
        <w:footnoteRef/>
      </w:r>
      <w:r>
        <w:t xml:space="preserve"> </w:t>
      </w:r>
      <w:r w:rsidRPr="00F50A81">
        <w:t xml:space="preserve">Paola Zambelli, </w:t>
      </w:r>
      <w:r w:rsidRPr="00F50A81">
        <w:rPr>
          <w:i/>
          <w:iCs/>
        </w:rPr>
        <w:t>The Speculum Astronomiae and its Enigma</w:t>
      </w:r>
      <w:r w:rsidRPr="00F50A81">
        <w:t xml:space="preserve">. </w:t>
      </w:r>
      <w:r w:rsidRPr="00444749">
        <w:rPr>
          <w:i/>
          <w:iCs/>
        </w:rPr>
        <w:t>Astrology, Theology and Science in Albertus Magnus and his Contemporaries</w:t>
      </w:r>
      <w:r w:rsidRPr="00F50A81">
        <w:t xml:space="preserve"> (Dordrecht: Kluwer Academic Publishers, 1992)</w:t>
      </w:r>
      <w:r>
        <w:t xml:space="preserve">, 236-37: “Super quibus invenitur ... liber Messehalla </w:t>
      </w:r>
      <w:r w:rsidRPr="00C16309">
        <w:rPr>
          <w:i/>
          <w:iCs/>
        </w:rPr>
        <w:t>De inventione occultorum</w:t>
      </w:r>
      <w:r>
        <w:t>, qui sic incipit</w:t>
      </w:r>
      <w:r w:rsidRPr="00C16309">
        <w:rPr>
          <w:i/>
          <w:iCs/>
        </w:rPr>
        <w:t>: Scito quod aspiciens etc</w:t>
      </w:r>
      <w:r>
        <w:t xml:space="preserve">. Et alius eiusdem </w:t>
      </w:r>
      <w:r w:rsidRPr="00C16309">
        <w:rPr>
          <w:i/>
          <w:iCs/>
        </w:rPr>
        <w:t>De interpretatione cogitationis</w:t>
      </w:r>
      <w:r>
        <w:t xml:space="preserve">, qui sic incipit: </w:t>
      </w:r>
      <w:r w:rsidRPr="00C16309">
        <w:rPr>
          <w:i/>
          <w:iCs/>
        </w:rPr>
        <w:t>Et scito quod tempora excitant motus etc</w:t>
      </w:r>
      <w:r>
        <w:t>. ... et similiter Ptolemaei ad Aristoxenum, qui superius nominati sunt</w:t>
      </w:r>
      <w:r w:rsidR="00BF1420">
        <w:t xml:space="preserve"> (i.e. </w:t>
      </w:r>
      <w:r w:rsidR="00BF1420" w:rsidRPr="00BF1420">
        <w:rPr>
          <w:i/>
          <w:iCs/>
        </w:rPr>
        <w:t>Iudicia</w:t>
      </w:r>
      <w:r w:rsidR="00BF1420">
        <w:t>)</w:t>
      </w:r>
      <w:r>
        <w:t xml:space="preserve">.” On the matter of the attribution of the </w:t>
      </w:r>
      <w:r w:rsidRPr="001939E7">
        <w:rPr>
          <w:i/>
          <w:iCs/>
        </w:rPr>
        <w:t>Speculum astronomiae</w:t>
      </w:r>
      <w:r>
        <w:t xml:space="preserve"> see Jeremiah Hackett, ‘Albert the Great and the </w:t>
      </w:r>
      <w:r w:rsidRPr="001939E7">
        <w:rPr>
          <w:i/>
          <w:iCs/>
        </w:rPr>
        <w:t>Speculum Astronomiae</w:t>
      </w:r>
      <w:r>
        <w:t>. The State of the Research at the Beginning of the 21</w:t>
      </w:r>
      <w:r w:rsidRPr="0077656A">
        <w:rPr>
          <w:vertAlign w:val="superscript"/>
        </w:rPr>
        <w:t>st</w:t>
      </w:r>
      <w:r>
        <w:t xml:space="preserve"> Century</w:t>
      </w:r>
      <w:r w:rsidR="00BF1420">
        <w:t>,</w:t>
      </w:r>
      <w:r>
        <w:t xml:space="preserve">’ in </w:t>
      </w:r>
      <w:r w:rsidRPr="0077656A">
        <w:rPr>
          <w:i/>
          <w:iCs/>
        </w:rPr>
        <w:t xml:space="preserve">A </w:t>
      </w:r>
      <w:r w:rsidR="00BF1420">
        <w:rPr>
          <w:i/>
          <w:iCs/>
        </w:rPr>
        <w:t>C</w:t>
      </w:r>
      <w:r w:rsidRPr="0077656A">
        <w:rPr>
          <w:i/>
          <w:iCs/>
        </w:rPr>
        <w:t xml:space="preserve">ompanion to Albert the Great: </w:t>
      </w:r>
      <w:r>
        <w:rPr>
          <w:i/>
          <w:iCs/>
        </w:rPr>
        <w:t>T</w:t>
      </w:r>
      <w:r w:rsidRPr="0077656A">
        <w:rPr>
          <w:i/>
          <w:iCs/>
        </w:rPr>
        <w:t xml:space="preserve">heology, </w:t>
      </w:r>
      <w:r>
        <w:rPr>
          <w:i/>
          <w:iCs/>
        </w:rPr>
        <w:t>P</w:t>
      </w:r>
      <w:r w:rsidRPr="0077656A">
        <w:rPr>
          <w:i/>
          <w:iCs/>
        </w:rPr>
        <w:t xml:space="preserve">hilosophy, and the </w:t>
      </w:r>
      <w:r>
        <w:rPr>
          <w:i/>
          <w:iCs/>
        </w:rPr>
        <w:t>S</w:t>
      </w:r>
      <w:r w:rsidRPr="0077656A">
        <w:rPr>
          <w:i/>
          <w:iCs/>
        </w:rPr>
        <w:t>ciences</w:t>
      </w:r>
      <w:r>
        <w:rPr>
          <w:i/>
          <w:iCs/>
        </w:rPr>
        <w:t xml:space="preserve">, </w:t>
      </w:r>
      <w:r w:rsidRPr="0077656A">
        <w:t>ed</w:t>
      </w:r>
      <w:r>
        <w:t>.</w:t>
      </w:r>
      <w:r w:rsidRPr="0077656A">
        <w:t xml:space="preserve"> by I</w:t>
      </w:r>
      <w:r>
        <w:t>.</w:t>
      </w:r>
      <w:r w:rsidRPr="0077656A">
        <w:t xml:space="preserve"> M. Resnick</w:t>
      </w:r>
      <w:r>
        <w:t xml:space="preserve"> (Leiden: Brill, 2013), 437-449.</w:t>
      </w:r>
    </w:p>
  </w:footnote>
  <w:footnote w:id="307">
    <w:p w14:paraId="2C589C84" w14:textId="08714D87" w:rsidR="00244FB6" w:rsidRPr="00F50A81" w:rsidRDefault="00244FB6" w:rsidP="00244FB6">
      <w:pPr>
        <w:pStyle w:val="FootnoteText"/>
        <w:ind w:firstLine="0"/>
      </w:pPr>
      <w:r w:rsidRPr="00F50A81">
        <w:rPr>
          <w:rStyle w:val="FootnoteReference"/>
        </w:rPr>
        <w:footnoteRef/>
      </w:r>
      <w:r w:rsidRPr="00F50A81">
        <w:t xml:space="preserve"> For the critical edition and translation of the </w:t>
      </w:r>
      <w:r w:rsidRPr="00F50A81">
        <w:rPr>
          <w:i/>
          <w:iCs/>
        </w:rPr>
        <w:t>Speculum Astronomiae</w:t>
      </w:r>
      <w:r w:rsidRPr="00F50A81">
        <w:t xml:space="preserve"> see Paola Zambelli, </w:t>
      </w:r>
      <w:r w:rsidRPr="00F50A81">
        <w:rPr>
          <w:i/>
          <w:iCs/>
        </w:rPr>
        <w:t>The Speculum Astronomiae and its Enigma</w:t>
      </w:r>
      <w:r w:rsidRPr="00F50A81">
        <w:t>. See also Agostino Paravicini Baglia</w:t>
      </w:r>
      <w:r w:rsidR="006879B7">
        <w:t>n</w:t>
      </w:r>
      <w:r w:rsidRPr="00F50A81">
        <w:t>i</w:t>
      </w:r>
      <w:r w:rsidRPr="00F50A81">
        <w:rPr>
          <w:i/>
          <w:iCs/>
        </w:rPr>
        <w:t xml:space="preserve">, Le Speculum Astronomiae, une énigme?: enquête sur les manuscrits </w:t>
      </w:r>
      <w:r w:rsidRPr="00F50A81">
        <w:t>(Florence: SISMEL-Edizioni del Galluzzo, 2001</w:t>
      </w:r>
      <w:r>
        <w:t>)</w:t>
      </w:r>
      <w:r w:rsidRPr="00F50A81">
        <w:t xml:space="preserve">; and Jeremiah Hackett, </w:t>
      </w:r>
      <w:r>
        <w:t>‘</w:t>
      </w:r>
      <w:r w:rsidRPr="00F50A81">
        <w:t xml:space="preserve">Albert the Great and the </w:t>
      </w:r>
      <w:r w:rsidRPr="00F50A81">
        <w:rPr>
          <w:i/>
          <w:iCs/>
        </w:rPr>
        <w:t>Speculum Astronomiae.</w:t>
      </w:r>
      <w:r w:rsidRPr="00F50A81">
        <w:t xml:space="preserve"> The state of the research at the beginning of the 21</w:t>
      </w:r>
      <w:r w:rsidRPr="00F50A81">
        <w:rPr>
          <w:vertAlign w:val="superscript"/>
        </w:rPr>
        <w:t>st</w:t>
      </w:r>
      <w:r w:rsidRPr="00F50A81">
        <w:t xml:space="preserve"> century</w:t>
      </w:r>
      <w:r>
        <w:t>’</w:t>
      </w:r>
      <w:r w:rsidRPr="00F50A81">
        <w:t xml:space="preserve"> in </w:t>
      </w:r>
      <w:r w:rsidRPr="00F50A81">
        <w:rPr>
          <w:i/>
          <w:iCs/>
        </w:rPr>
        <w:t>A Companion to Albert the Great. Theology, Philosophy and Science</w:t>
      </w:r>
      <w:r w:rsidRPr="00F50A81">
        <w:t xml:space="preserve">, ed. by Irven M. Resnick (Leiden: Brill, 2013), 437-449; In the same volume, see H. Darrel Rutkin, </w:t>
      </w:r>
      <w:r>
        <w:t>‘</w:t>
      </w:r>
      <w:r w:rsidRPr="00F50A81">
        <w:t>Astrology and Magic</w:t>
      </w:r>
      <w:r>
        <w:t>’</w:t>
      </w:r>
      <w:r w:rsidRPr="00F50A81">
        <w:t>, 451-505.</w:t>
      </w:r>
    </w:p>
  </w:footnote>
  <w:footnote w:id="308">
    <w:p w14:paraId="5E7946E6" w14:textId="0063FF91" w:rsidR="00244FB6" w:rsidRDefault="00244FB6" w:rsidP="00244FB6">
      <w:pPr>
        <w:pStyle w:val="FootnoteText"/>
        <w:ind w:firstLine="0"/>
      </w:pPr>
      <w:r>
        <w:rPr>
          <w:rStyle w:val="FootnoteReference"/>
        </w:rPr>
        <w:footnoteRef/>
      </w:r>
      <w:r>
        <w:t xml:space="preserve"> </w:t>
      </w:r>
      <w:r w:rsidRPr="00F50A81">
        <w:t xml:space="preserve">Zambelli, </w:t>
      </w:r>
      <w:r w:rsidRPr="00F50A81">
        <w:rPr>
          <w:i/>
          <w:iCs/>
        </w:rPr>
        <w:t>The Speculum Astronomiae and its Enigma</w:t>
      </w:r>
      <w:r>
        <w:t>, 234-235.</w:t>
      </w:r>
    </w:p>
  </w:footnote>
  <w:footnote w:id="309">
    <w:p w14:paraId="6DA1C250" w14:textId="2E32FF61" w:rsidR="00244FB6" w:rsidRDefault="00244FB6" w:rsidP="00244FB6">
      <w:pPr>
        <w:pStyle w:val="FootnoteText"/>
        <w:ind w:firstLine="0"/>
      </w:pPr>
      <w:r>
        <w:rPr>
          <w:rStyle w:val="FootnoteReference"/>
        </w:rPr>
        <w:footnoteRef/>
      </w:r>
      <w:r>
        <w:t xml:space="preserve"> </w:t>
      </w:r>
      <w:r w:rsidR="002D6E30" w:rsidRPr="002D6E30">
        <w:rPr>
          <w:i/>
          <w:iCs/>
        </w:rPr>
        <w:t>Ibid</w:t>
      </w:r>
      <w:r w:rsidR="002D6E30">
        <w:t>.,</w:t>
      </w:r>
      <w:r>
        <w:t xml:space="preserve"> 234-235.</w:t>
      </w:r>
    </w:p>
  </w:footnote>
  <w:footnote w:id="310">
    <w:p w14:paraId="71A87251" w14:textId="772EDAFB" w:rsidR="00244FB6" w:rsidRPr="00D9201D" w:rsidRDefault="00244FB6" w:rsidP="00244FB6">
      <w:pPr>
        <w:pStyle w:val="FootnoteText"/>
        <w:ind w:firstLine="0"/>
        <w:rPr>
          <w:lang w:val="fr-FR"/>
        </w:rPr>
      </w:pPr>
      <w:r>
        <w:rPr>
          <w:rStyle w:val="FootnoteReference"/>
        </w:rPr>
        <w:footnoteRef/>
      </w:r>
      <w:r>
        <w:t xml:space="preserve"> The whole corpus has been edited in </w:t>
      </w:r>
      <w:r w:rsidRPr="00F50A81">
        <w:t>David Juste</w:t>
      </w:r>
      <w:r w:rsidRPr="00F50A81">
        <w:rPr>
          <w:i/>
          <w:iCs/>
        </w:rPr>
        <w:t>, Les Alchandreana Primitifs</w:t>
      </w:r>
      <w:r w:rsidRPr="00D9201D">
        <w:rPr>
          <w:lang w:val="fr-FR"/>
        </w:rPr>
        <w:t xml:space="preserve">. For the </w:t>
      </w:r>
      <w:r w:rsidRPr="006A0401">
        <w:rPr>
          <w:i/>
          <w:iCs/>
          <w:lang w:val="fr-FR"/>
        </w:rPr>
        <w:t>Epistola Argafalau ad Alexandrum</w:t>
      </w:r>
      <w:r w:rsidRPr="00D9201D">
        <w:rPr>
          <w:lang w:val="fr-FR"/>
        </w:rPr>
        <w:t xml:space="preserve"> see pages 473-486.</w:t>
      </w:r>
    </w:p>
  </w:footnote>
  <w:footnote w:id="311">
    <w:p w14:paraId="663685FC" w14:textId="031AD4D9" w:rsidR="00244FB6" w:rsidRPr="00774E86" w:rsidRDefault="00244FB6" w:rsidP="00244FB6">
      <w:pPr>
        <w:pStyle w:val="FootnoteText"/>
        <w:ind w:firstLine="0"/>
      </w:pPr>
      <w:r>
        <w:rPr>
          <w:rStyle w:val="FootnoteReference"/>
        </w:rPr>
        <w:footnoteRef/>
      </w:r>
      <w:r>
        <w:t xml:space="preserve"> </w:t>
      </w:r>
      <w:r w:rsidRPr="00F50A81">
        <w:t>Juste</w:t>
      </w:r>
      <w:r w:rsidRPr="00F50A81">
        <w:rPr>
          <w:i/>
          <w:iCs/>
        </w:rPr>
        <w:t>, Les Alchandreana Primitifs</w:t>
      </w:r>
      <w:r w:rsidRPr="00867699">
        <w:t>,</w:t>
      </w:r>
      <w:r>
        <w:rPr>
          <w:i/>
          <w:iCs/>
        </w:rPr>
        <w:t xml:space="preserve"> </w:t>
      </w:r>
      <w:r w:rsidRPr="00774E86">
        <w:t>473:</w:t>
      </w:r>
      <w:r>
        <w:t xml:space="preserve"> “[1] Regi Macedonum, Alexandro, astrologo et uniuersa philosophia perfectissimo, Argafalau, seruus suus conditione et natione ingenuus Caldaeus, professione uero secundus ab illo astrologus, artem suam quod habet </w:t>
      </w:r>
      <w:r w:rsidR="00CB1B6A">
        <w:t xml:space="preserve">&lt;nihil&gt; </w:t>
      </w:r>
      <w:r>
        <w:t xml:space="preserve">pretiosius. [2] Dicis te in opere quodam Platonis philosophi quod inscribitur summa operis uniuersi legisse, </w:t>
      </w:r>
      <w:r w:rsidRPr="00173883">
        <w:t xml:space="preserve">ipsum philosophum tacitae hominum cogitationi respondere consueuisse, </w:t>
      </w:r>
      <w:r>
        <w:t xml:space="preserve">et te, super hoc, </w:t>
      </w:r>
      <w:r w:rsidRPr="00173883">
        <w:t>scilicet quomodo homo humanus cogitationes latentes et adhuc inexpertas possit agnoscere,</w:t>
      </w:r>
      <w:r>
        <w:t xml:space="preserve"> magna concussum admiratione [...3…] hoc sit maxima utilitas huius artis: </w:t>
      </w:r>
      <w:r w:rsidRPr="00173883">
        <w:t>occulta praescire</w:t>
      </w:r>
      <w:r>
        <w:t xml:space="preserve"> et futura praedicere. [4] Tamen iuxta tuum praeceptum quid ego super hoc sentiam fideliter describo, sancietur ueritas iudicio tuo.”</w:t>
      </w:r>
    </w:p>
  </w:footnote>
  <w:footnote w:id="312">
    <w:p w14:paraId="54BEF86D" w14:textId="4BF57DD5" w:rsidR="00244FB6" w:rsidRPr="00D9201D" w:rsidRDefault="00244FB6" w:rsidP="00244FB6">
      <w:pPr>
        <w:pStyle w:val="FootnoteText"/>
        <w:ind w:firstLine="0"/>
        <w:rPr>
          <w:lang w:val="fr-FR"/>
        </w:rPr>
      </w:pPr>
      <w:r>
        <w:rPr>
          <w:rStyle w:val="FootnoteReference"/>
        </w:rPr>
        <w:footnoteRef/>
      </w:r>
      <w:r w:rsidRPr="00D9201D">
        <w:rPr>
          <w:lang w:val="fr-FR"/>
        </w:rPr>
        <w:t xml:space="preserve"> Juste</w:t>
      </w:r>
      <w:r w:rsidRPr="00D9201D">
        <w:rPr>
          <w:i/>
          <w:iCs/>
          <w:lang w:val="fr-FR"/>
        </w:rPr>
        <w:t>, Les Alchandreana Primitifs</w:t>
      </w:r>
      <w:r>
        <w:rPr>
          <w:lang w:val="fr-FR"/>
        </w:rPr>
        <w:t xml:space="preserve">, </w:t>
      </w:r>
      <w:r w:rsidRPr="00D9201D">
        <w:rPr>
          <w:lang w:val="fr-FR"/>
        </w:rPr>
        <w:t xml:space="preserve">73-4: </w:t>
      </w:r>
      <w:r>
        <w:t>“</w:t>
      </w:r>
      <w:r w:rsidRPr="00D9201D">
        <w:rPr>
          <w:lang w:val="fr-FR"/>
        </w:rPr>
        <w:t>Tempus igitur praesens totum iuxta Dei summi ordinationem, qui in numero et mensura omnia fecit, per VII planetarum nutus disponitur, ita ut semper una hora uni, alia alteri, et sic usque ad septimam, itemque eodem modo octaua reddatur primae</w:t>
      </w:r>
      <w:r>
        <w:rPr>
          <w:lang w:val="fr-FR"/>
        </w:rPr>
        <w:t>.</w:t>
      </w:r>
      <w:r>
        <w:t>”</w:t>
      </w:r>
    </w:p>
  </w:footnote>
  <w:footnote w:id="313">
    <w:p w14:paraId="3D4D4C4F" w14:textId="40060A13" w:rsidR="00244FB6" w:rsidRPr="00D9201D" w:rsidRDefault="00244FB6" w:rsidP="00244FB6">
      <w:pPr>
        <w:pStyle w:val="FootnoteText"/>
        <w:ind w:firstLine="0"/>
        <w:rPr>
          <w:lang w:val="fr-FR"/>
        </w:rPr>
      </w:pPr>
      <w:r>
        <w:rPr>
          <w:rStyle w:val="FootnoteReference"/>
        </w:rPr>
        <w:footnoteRef/>
      </w:r>
      <w:r w:rsidRPr="00D9201D">
        <w:rPr>
          <w:lang w:val="fr-FR"/>
        </w:rPr>
        <w:t xml:space="preserve"> Juste</w:t>
      </w:r>
      <w:r w:rsidRPr="00D9201D">
        <w:rPr>
          <w:i/>
          <w:iCs/>
          <w:lang w:val="fr-FR"/>
        </w:rPr>
        <w:t>, Les Alchandreana Primitifs</w:t>
      </w:r>
      <w:r>
        <w:rPr>
          <w:lang w:val="fr-FR"/>
        </w:rPr>
        <w:t xml:space="preserve">, </w:t>
      </w:r>
      <w:r w:rsidRPr="00D9201D">
        <w:rPr>
          <w:lang w:val="fr-FR"/>
        </w:rPr>
        <w:t xml:space="preserve">474: </w:t>
      </w:r>
      <w:r>
        <w:t>“</w:t>
      </w:r>
      <w:r w:rsidRPr="00D9201D">
        <w:rPr>
          <w:lang w:val="fr-FR"/>
        </w:rPr>
        <w:t>Ideoque si quis ad te uenerit causa huiusmodi aliquid quaerendi ... adhuc non interrogatus, iuxta horae ipsius in qua aduenit planetam tacitae respondebis humanae cogitationi, insuper etiam si in manu aliquid abscondit non uisum, quid sit dicere poteris</w:t>
      </w:r>
      <w:r>
        <w:rPr>
          <w:lang w:val="fr-FR"/>
        </w:rPr>
        <w:t>.</w:t>
      </w:r>
      <w:r>
        <w:t>”</w:t>
      </w:r>
    </w:p>
  </w:footnote>
  <w:footnote w:id="314">
    <w:p w14:paraId="59753CF4" w14:textId="3233FD27" w:rsidR="00244FB6" w:rsidRPr="00D9201D" w:rsidRDefault="00244FB6" w:rsidP="00244FB6">
      <w:pPr>
        <w:pStyle w:val="FootnoteText"/>
        <w:ind w:firstLine="0"/>
        <w:rPr>
          <w:lang w:val="fr-FR"/>
        </w:rPr>
      </w:pPr>
      <w:r>
        <w:rPr>
          <w:rStyle w:val="FootnoteReference"/>
        </w:rPr>
        <w:footnoteRef/>
      </w:r>
      <w:r w:rsidRPr="00D9201D">
        <w:rPr>
          <w:lang w:val="fr-FR"/>
        </w:rPr>
        <w:t xml:space="preserve"> Juste</w:t>
      </w:r>
      <w:r w:rsidRPr="00D9201D">
        <w:rPr>
          <w:i/>
          <w:iCs/>
          <w:lang w:val="fr-FR"/>
        </w:rPr>
        <w:t>, Les Alchandreana Primitifs</w:t>
      </w:r>
      <w:r>
        <w:rPr>
          <w:lang w:val="fr-FR"/>
        </w:rPr>
        <w:t xml:space="preserve">, </w:t>
      </w:r>
      <w:r w:rsidRPr="00D9201D">
        <w:rPr>
          <w:i/>
          <w:iCs/>
          <w:lang w:val="fr-FR"/>
        </w:rPr>
        <w:t xml:space="preserve"> </w:t>
      </w:r>
      <w:r w:rsidRPr="00D9201D">
        <w:rPr>
          <w:lang w:val="fr-FR"/>
        </w:rPr>
        <w:t xml:space="preserve">475: </w:t>
      </w:r>
      <w:r>
        <w:t>“</w:t>
      </w:r>
      <w:r w:rsidRPr="00D9201D">
        <w:rPr>
          <w:lang w:val="fr-FR"/>
        </w:rPr>
        <w:t>Inchoante autem hora Lunae si uenerit, de infirmitate oculorum quaeret; in manu, herbam odoriferam. Si in altera parte, de homine peregrinante aut re perdita; in manu, lapidem furuum. Si in fine horae ipsius, de re perdita; in manu, auripigmentum uel aliud rubeum</w:t>
      </w:r>
      <w:r>
        <w:rPr>
          <w:lang w:val="fr-FR"/>
        </w:rPr>
        <w:t>.</w:t>
      </w:r>
      <w:r>
        <w:t>”</w:t>
      </w:r>
    </w:p>
  </w:footnote>
  <w:footnote w:id="315">
    <w:p w14:paraId="01B036B5" w14:textId="1B194FB9" w:rsidR="00244FB6" w:rsidRDefault="00244FB6" w:rsidP="00244FB6">
      <w:pPr>
        <w:pStyle w:val="FootnoteText"/>
        <w:ind w:firstLine="0"/>
      </w:pPr>
      <w:r>
        <w:rPr>
          <w:rStyle w:val="FootnoteReference"/>
        </w:rPr>
        <w:footnoteRef/>
      </w:r>
      <w:r>
        <w:t xml:space="preserve"> </w:t>
      </w:r>
      <w:r w:rsidRPr="00EA7DB2">
        <w:t>‘Appendix 1. Evidence Presented to the Inquisition by Vittorio Cassar’</w:t>
      </w:r>
      <w:r w:rsidR="00C76105">
        <w:t xml:space="preserve">, in </w:t>
      </w:r>
      <w:r w:rsidR="00C76105" w:rsidRPr="00C76105">
        <w:rPr>
          <w:i/>
          <w:iCs/>
        </w:rPr>
        <w:t>Magic in Malta</w:t>
      </w:r>
      <w:r w:rsidRPr="00EA7DB2">
        <w:t>, 554: “E prima che non si facci geomantia in di […] ne da mezzo di p[er] insino al vespro ne i venti grigliandi (</w:t>
      </w:r>
      <w:r w:rsidRPr="00EA7DB2">
        <w:rPr>
          <w:i/>
          <w:iCs/>
        </w:rPr>
        <w:t>sic</w:t>
      </w:r>
      <w:r w:rsidRPr="00EA7DB2">
        <w:t>. gagliardi?) ne giorni nebulosi il meglio e la notte quando ogni undorme ne ingiorni si piuo È prima che il querente dica la sua intentione proferendo le parole in secreto nella penna e con essa getti la sorte punteggiando formando 4 figuri […]”</w:t>
      </w:r>
      <w:r>
        <w:t xml:space="preserve"> (</w:t>
      </w:r>
      <w:r w:rsidRPr="00EA7DB2">
        <w:t xml:space="preserve">And first, that geomancy shall not be done […] in the evening, nor when the winds &lt;are&gt; strong,   nor on cloudy days, best is during the night when everyone is sleeping &lt;…&gt;. And first the querent shall say his intention uttering the words in secret in the pen, and with it (the geomancer) will cast the lot by drawing </w:t>
      </w:r>
      <w:r w:rsidR="002F2BE4">
        <w:t>points</w:t>
      </w:r>
      <w:r w:rsidR="00C76105">
        <w:t>)</w:t>
      </w:r>
      <w:r w:rsidR="00974509">
        <w:t>.</w:t>
      </w:r>
    </w:p>
  </w:footnote>
  <w:footnote w:id="316">
    <w:p w14:paraId="65091C18" w14:textId="320E3D1D" w:rsidR="00800F7F" w:rsidRDefault="00800F7F" w:rsidP="00800F7F">
      <w:pPr>
        <w:pStyle w:val="FootnoteText"/>
        <w:ind w:firstLine="0"/>
      </w:pPr>
      <w:r>
        <w:rPr>
          <w:rStyle w:val="FootnoteReference"/>
        </w:rPr>
        <w:footnoteRef/>
      </w:r>
      <w:r>
        <w:t xml:space="preserve"> The term ‘occult’ is used here in its etymological sense, from the Latin </w:t>
      </w:r>
      <w:r w:rsidRPr="00C9679B">
        <w:rPr>
          <w:i/>
          <w:iCs/>
        </w:rPr>
        <w:t>occultus</w:t>
      </w:r>
      <w:r>
        <w:t xml:space="preserve"> meaning ‘hidden’ or ‘secret’, and thus occult sciences are considered as the disciplines whose object is the ‘knowledge of what is hidden’, a category that often included disciplines such as natural magic and alchemy, which claimed to operate through the occult properties of matter. In this sense, geomancy may be regarded as an occult science par excellence, as the object of the geomantic technique was identified with the investigation of the unconscious dimension of human interiority, but also, in the words of Salio of Padua, every “</w:t>
      </w:r>
      <w:r w:rsidRPr="00AF4144">
        <w:rPr>
          <w:lang w:val="xh-ZA"/>
        </w:rPr>
        <w:t>occult thing</w:t>
      </w:r>
      <w:r>
        <w:rPr>
          <w:lang w:val="xh-ZA"/>
        </w:rPr>
        <w:t>,</w:t>
      </w:r>
      <w:r w:rsidRPr="007F6063">
        <w:rPr>
          <w:lang w:val="xh-ZA"/>
        </w:rPr>
        <w:t xml:space="preserve"> </w:t>
      </w:r>
      <w:r>
        <w:rPr>
          <w:lang w:val="xh-ZA"/>
        </w:rPr>
        <w:t>and</w:t>
      </w:r>
      <w:r w:rsidRPr="007F6063">
        <w:rPr>
          <w:lang w:val="xh-ZA"/>
        </w:rPr>
        <w:t xml:space="preserve"> name, </w:t>
      </w:r>
      <w:r>
        <w:rPr>
          <w:lang w:val="xh-ZA"/>
        </w:rPr>
        <w:t>the</w:t>
      </w:r>
      <w:r w:rsidRPr="007F6063">
        <w:rPr>
          <w:lang w:val="xh-ZA"/>
        </w:rPr>
        <w:t xml:space="preserve"> number and hidden thing</w:t>
      </w:r>
      <w:r>
        <w:rPr>
          <w:lang w:val="xh-ZA"/>
        </w:rPr>
        <w:t xml:space="preserve"> extracted from all that. (</w:t>
      </w:r>
      <w:r w:rsidRPr="00D9201D">
        <w:rPr>
          <w:lang w:val="de-DE"/>
        </w:rPr>
        <w:t xml:space="preserve">Kassel, Landesbibl. und Murhardsche Bibl. der Stadt, astron. </w:t>
      </w:r>
      <w:r w:rsidRPr="00D9201D">
        <w:rPr>
          <w:lang w:val="fr-FR"/>
        </w:rPr>
        <w:t>Q° 16, 76vb</w:t>
      </w:r>
      <w:r>
        <w:rPr>
          <w:lang w:val="fr-FR"/>
        </w:rPr>
        <w:t xml:space="preserve">: </w:t>
      </w:r>
      <w:r>
        <w:t xml:space="preserve">“[…] </w:t>
      </w:r>
      <w:r w:rsidRPr="00461E23">
        <w:rPr>
          <w:lang w:val="fr-FR"/>
        </w:rPr>
        <w:t>et omnis res absconsa et omni illo extrahitur nomen et numerus et res absconsa</w:t>
      </w:r>
      <w:r>
        <w:rPr>
          <w:lang w:val="fr-FR"/>
        </w:rPr>
        <w:t>.</w:t>
      </w:r>
      <w:r>
        <w:t xml:space="preserve">” </w:t>
      </w:r>
    </w:p>
  </w:footnote>
  <w:footnote w:id="317">
    <w:p w14:paraId="3F0C69AA" w14:textId="55D874F2" w:rsidR="00244FB6" w:rsidRDefault="00244FB6" w:rsidP="00244FB6">
      <w:pPr>
        <w:pStyle w:val="FootnoteText"/>
        <w:ind w:firstLine="0"/>
      </w:pPr>
      <w:r>
        <w:rPr>
          <w:rStyle w:val="FootnoteReference"/>
        </w:rPr>
        <w:footnoteRef/>
      </w:r>
      <w:r>
        <w:t xml:space="preserve"> </w:t>
      </w:r>
      <w:r w:rsidRPr="007E0588">
        <w:t>Appendix 3, p</w:t>
      </w:r>
      <w:r w:rsidR="007E0588" w:rsidRPr="007E0588">
        <w:t>assage</w:t>
      </w:r>
      <w:r w:rsidR="007E0588">
        <w:t xml:space="preserve"> 1</w:t>
      </w:r>
      <w:r>
        <w:t>: “</w:t>
      </w:r>
      <w:r w:rsidRPr="00527E35">
        <w:t>Incipit  liber arenalis scientie, ab alfarino abizarch editus et a platone tiburtino  de arabico in latinum translatus. In nomine domini misericordis et pii, in lineis  contineri  scientiam, uni prophetarum a deo creatore transmissam ab antiquis ostenditur. Quicumque igitur per suas lineas ad quamlibet istius prophetie linearum a vero pervenerit, nullatenus deviabit, et ut aiunt huius prophete calidcinem filius a deo missus est ad barbaros</w:t>
      </w:r>
      <w:r>
        <w:t>.”</w:t>
      </w:r>
    </w:p>
  </w:footnote>
  <w:footnote w:id="318">
    <w:p w14:paraId="5A3E754C" w14:textId="199DECAF" w:rsidR="00244FB6" w:rsidRDefault="00244FB6" w:rsidP="00244FB6">
      <w:pPr>
        <w:pStyle w:val="FootnoteText"/>
        <w:ind w:firstLine="0"/>
      </w:pPr>
      <w:r>
        <w:rPr>
          <w:rStyle w:val="FootnoteReference"/>
        </w:rPr>
        <w:footnoteRef/>
      </w:r>
      <w:r>
        <w:t xml:space="preserve"> In Zavattero, ‘</w:t>
      </w:r>
      <w:r w:rsidRPr="002C46C5">
        <w:rPr>
          <w:i/>
          <w:iCs/>
        </w:rPr>
        <w:t>Estimaverunt Indi</w:t>
      </w:r>
      <w:r>
        <w:t>: la tradizione testuale</w:t>
      </w:r>
      <w:r w:rsidR="00F23274">
        <w:t>,</w:t>
      </w:r>
      <w:r>
        <w:t>’ 61-62: “</w:t>
      </w:r>
      <w:r w:rsidRPr="00933EDC">
        <w:t>Et scias quod non formantur figure secundum quod intendit querens, nec secundum questionem eius, et non formantur in eis nisi cum eo cuius portendit potentia esse, siue querat de eo querens, aut non querat, sicut formantur in uisione […].</w:t>
      </w:r>
      <w:r>
        <w:t>”</w:t>
      </w:r>
    </w:p>
  </w:footnote>
  <w:footnote w:id="319">
    <w:p w14:paraId="2926DCF2" w14:textId="5FDD09B5" w:rsidR="00244FB6" w:rsidRDefault="00244FB6" w:rsidP="00244FB6">
      <w:pPr>
        <w:pStyle w:val="FootnoteText"/>
        <w:ind w:firstLine="0"/>
      </w:pPr>
      <w:r>
        <w:rPr>
          <w:rStyle w:val="FootnoteReference"/>
        </w:rPr>
        <w:footnoteRef/>
      </w:r>
      <w:r>
        <w:t xml:space="preserve"> </w:t>
      </w:r>
      <w:r w:rsidRPr="00EA13B8">
        <w:rPr>
          <w:i/>
          <w:iCs/>
        </w:rPr>
        <w:t>Lectvra geomantiae</w:t>
      </w:r>
      <w:r>
        <w:t>, ed. by Charmasson,</w:t>
      </w:r>
      <w:r w:rsidR="00F23274">
        <w:t xml:space="preserve"> </w:t>
      </w:r>
      <w:r>
        <w:t>375, 3-8: “</w:t>
      </w:r>
      <w:r w:rsidRPr="00EA13B8">
        <w:t>Incipit lectura ieomancie secundum Hermetem philosophum primum inuen torem et per angelum uocatum *** sibi reuelata in quodam monte uocato ***.[…] et ibi fuit sibi reuelatum per dictum angelum […]</w:t>
      </w:r>
      <w:r>
        <w:t>.”</w:t>
      </w:r>
    </w:p>
  </w:footnote>
  <w:footnote w:id="320">
    <w:p w14:paraId="689A55AA" w14:textId="68339C68" w:rsidR="00244FB6" w:rsidRPr="00D9201D" w:rsidRDefault="00244FB6" w:rsidP="00244FB6">
      <w:pPr>
        <w:pStyle w:val="FootnoteText"/>
        <w:ind w:firstLine="0"/>
        <w:rPr>
          <w:lang w:val="it-IT"/>
        </w:rPr>
      </w:pPr>
      <w:r>
        <w:rPr>
          <w:rStyle w:val="FootnoteReference"/>
        </w:rPr>
        <w:footnoteRef/>
      </w:r>
      <w:r w:rsidRPr="00D9201D">
        <w:rPr>
          <w:lang w:val="it-IT"/>
        </w:rPr>
        <w:t xml:space="preserve"> Guillelmus de Morbeca, </w:t>
      </w:r>
      <w:r w:rsidRPr="00D9201D">
        <w:rPr>
          <w:i/>
          <w:iCs/>
          <w:lang w:val="it-IT"/>
        </w:rPr>
        <w:t>Geomantia I-IV, 4</w:t>
      </w:r>
      <w:r w:rsidRPr="00D9201D">
        <w:rPr>
          <w:lang w:val="it-IT"/>
        </w:rPr>
        <w:t xml:space="preserve">, 9. </w:t>
      </w:r>
    </w:p>
  </w:footnote>
  <w:footnote w:id="321">
    <w:p w14:paraId="03D54E60" w14:textId="431D9A8F" w:rsidR="00244FB6" w:rsidRPr="00D9201D" w:rsidRDefault="00244FB6" w:rsidP="00244FB6">
      <w:pPr>
        <w:pStyle w:val="FootnoteText"/>
        <w:ind w:firstLine="0"/>
        <w:rPr>
          <w:lang w:val="it-IT"/>
        </w:rPr>
      </w:pPr>
      <w:r>
        <w:rPr>
          <w:rStyle w:val="FootnoteReference"/>
        </w:rPr>
        <w:footnoteRef/>
      </w:r>
      <w:r w:rsidRPr="00D9201D">
        <w:rPr>
          <w:lang w:val="it-IT"/>
        </w:rPr>
        <w:t xml:space="preserve"> Guillelmus</w:t>
      </w:r>
      <w:r w:rsidRPr="00FC68B3">
        <w:rPr>
          <w:lang w:val="it-IT"/>
        </w:rPr>
        <w:t xml:space="preserve"> </w:t>
      </w:r>
      <w:r w:rsidRPr="00D9201D">
        <w:rPr>
          <w:lang w:val="it-IT"/>
        </w:rPr>
        <w:t xml:space="preserve">de Morbeca, </w:t>
      </w:r>
      <w:r w:rsidRPr="00D9201D">
        <w:rPr>
          <w:i/>
          <w:iCs/>
          <w:lang w:val="it-IT"/>
        </w:rPr>
        <w:t>Geomantia</w:t>
      </w:r>
      <w:r w:rsidR="000028D0" w:rsidRPr="000028D0">
        <w:rPr>
          <w:i/>
          <w:iCs/>
          <w:lang w:val="it-IT"/>
        </w:rPr>
        <w:t xml:space="preserve"> </w:t>
      </w:r>
      <w:r w:rsidR="000028D0" w:rsidRPr="00D9201D">
        <w:rPr>
          <w:i/>
          <w:iCs/>
          <w:lang w:val="it-IT"/>
        </w:rPr>
        <w:t>I-IV,</w:t>
      </w:r>
      <w:r w:rsidRPr="00D9201D">
        <w:rPr>
          <w:i/>
          <w:iCs/>
          <w:lang w:val="it-IT"/>
        </w:rPr>
        <w:t xml:space="preserve"> </w:t>
      </w:r>
      <w:r w:rsidRPr="00D9201D">
        <w:rPr>
          <w:lang w:val="it-IT"/>
        </w:rPr>
        <w:t xml:space="preserve">1.1, 9, 34-36: </w:t>
      </w:r>
      <w:r>
        <w:rPr>
          <w:lang w:val="it-IT"/>
        </w:rPr>
        <w:t>“</w:t>
      </w:r>
      <w:r w:rsidRPr="00D9201D">
        <w:rPr>
          <w:lang w:val="it-IT"/>
        </w:rPr>
        <w:t>Debet autem questio fieri super arenam vel in arena, ut sequitur suum nomen, quia geomantia dicitur a ‘geos’, quod est terra et ‘mantia’ divinatio</w:t>
      </w:r>
      <w:r>
        <w:rPr>
          <w:lang w:val="it-IT"/>
        </w:rPr>
        <w:t>”</w:t>
      </w:r>
      <w:r w:rsidRPr="00D9201D">
        <w:rPr>
          <w:lang w:val="it-IT"/>
        </w:rPr>
        <w:t>.</w:t>
      </w:r>
    </w:p>
  </w:footnote>
  <w:footnote w:id="322">
    <w:p w14:paraId="52EC39FA" w14:textId="485A25BA" w:rsidR="00EA1020" w:rsidRPr="00D9201D" w:rsidRDefault="00244FB6" w:rsidP="00EA1020">
      <w:pPr>
        <w:pStyle w:val="FootnoteText"/>
        <w:ind w:firstLine="0"/>
        <w:rPr>
          <w:lang w:val="it-IT"/>
        </w:rPr>
      </w:pPr>
      <w:r>
        <w:rPr>
          <w:rStyle w:val="FootnoteReference"/>
        </w:rPr>
        <w:footnoteRef/>
      </w:r>
      <w:r w:rsidRPr="00D9201D">
        <w:rPr>
          <w:lang w:val="it-IT"/>
        </w:rPr>
        <w:t xml:space="preserve"> Guillelmus</w:t>
      </w:r>
      <w:r w:rsidRPr="00FC68B3">
        <w:rPr>
          <w:lang w:val="it-IT"/>
        </w:rPr>
        <w:t xml:space="preserve"> </w:t>
      </w:r>
      <w:r w:rsidRPr="00D9201D">
        <w:rPr>
          <w:lang w:val="it-IT"/>
        </w:rPr>
        <w:t xml:space="preserve">de Morbeca, </w:t>
      </w:r>
      <w:r w:rsidRPr="00D9201D">
        <w:rPr>
          <w:i/>
          <w:iCs/>
          <w:lang w:val="it-IT"/>
        </w:rPr>
        <w:t>Geomantia,</w:t>
      </w:r>
      <w:r w:rsidR="000028D0" w:rsidRPr="000028D0">
        <w:rPr>
          <w:i/>
          <w:iCs/>
          <w:lang w:val="it-IT"/>
        </w:rPr>
        <w:t xml:space="preserve"> </w:t>
      </w:r>
      <w:r w:rsidR="000028D0" w:rsidRPr="00D9201D">
        <w:rPr>
          <w:i/>
          <w:iCs/>
          <w:lang w:val="it-IT"/>
        </w:rPr>
        <w:t>I-IV,</w:t>
      </w:r>
      <w:r w:rsidRPr="00D9201D">
        <w:rPr>
          <w:i/>
          <w:iCs/>
          <w:lang w:val="it-IT"/>
        </w:rPr>
        <w:t xml:space="preserve"> </w:t>
      </w:r>
      <w:r w:rsidRPr="00D9201D">
        <w:rPr>
          <w:lang w:val="it-IT"/>
        </w:rPr>
        <w:t xml:space="preserve">1.1, 9, 38-43: </w:t>
      </w:r>
      <w:r>
        <w:rPr>
          <w:lang w:val="it-IT"/>
        </w:rPr>
        <w:t>“</w:t>
      </w:r>
      <w:r w:rsidRPr="00D9201D">
        <w:rPr>
          <w:lang w:val="it-IT"/>
        </w:rPr>
        <w:t>Et hic est modus operationis huius scientie: liniando quatuor lineas ad modum quatuor digitorum sinistre manus, ita quod unusquisque digitus habeat plus quam duodecim puncta, sed fortuito casu eveniendo debeat figure de superfluo evenire ad hoc ut sequatur quod dicitur per sapientes et verum est, quod corpora inferiora reguntur a corporibus supracelestibus, et ita sequuntur motum corporum superiorum</w:t>
      </w:r>
      <w:r w:rsidR="00EA1020">
        <w:rPr>
          <w:lang w:val="it-IT"/>
        </w:rPr>
        <w:t>.</w:t>
      </w:r>
      <w:r>
        <w:rPr>
          <w:lang w:val="it-IT"/>
        </w:rPr>
        <w:t>”</w:t>
      </w:r>
    </w:p>
  </w:footnote>
  <w:footnote w:id="323">
    <w:p w14:paraId="29D51864" w14:textId="4EBC5D95" w:rsidR="00244FB6" w:rsidRPr="00D9201D" w:rsidRDefault="00244FB6" w:rsidP="00244FB6">
      <w:pPr>
        <w:pStyle w:val="FootnoteText"/>
        <w:ind w:firstLine="0"/>
        <w:rPr>
          <w:lang w:val="it-IT"/>
        </w:rPr>
      </w:pPr>
      <w:r>
        <w:rPr>
          <w:rStyle w:val="FootnoteReference"/>
        </w:rPr>
        <w:footnoteRef/>
      </w:r>
      <w:r w:rsidRPr="00D9201D">
        <w:rPr>
          <w:lang w:val="it-IT"/>
        </w:rPr>
        <w:t xml:space="preserve"> Guillelmus</w:t>
      </w:r>
      <w:r w:rsidRPr="00FC68B3">
        <w:rPr>
          <w:lang w:val="it-IT"/>
        </w:rPr>
        <w:t xml:space="preserve"> </w:t>
      </w:r>
      <w:r w:rsidRPr="00D9201D">
        <w:rPr>
          <w:lang w:val="it-IT"/>
        </w:rPr>
        <w:t xml:space="preserve">de Morbeca, </w:t>
      </w:r>
      <w:r w:rsidRPr="00D9201D">
        <w:rPr>
          <w:i/>
          <w:iCs/>
          <w:lang w:val="it-IT"/>
        </w:rPr>
        <w:t>Geomantia,</w:t>
      </w:r>
      <w:r w:rsidR="000028D0" w:rsidRPr="000028D0">
        <w:rPr>
          <w:i/>
          <w:iCs/>
          <w:lang w:val="it-IT"/>
        </w:rPr>
        <w:t xml:space="preserve"> </w:t>
      </w:r>
      <w:r w:rsidR="000028D0" w:rsidRPr="00D9201D">
        <w:rPr>
          <w:i/>
          <w:iCs/>
          <w:lang w:val="it-IT"/>
        </w:rPr>
        <w:t>I-IV,</w:t>
      </w:r>
      <w:r w:rsidRPr="00D9201D">
        <w:rPr>
          <w:i/>
          <w:iCs/>
          <w:lang w:val="it-IT"/>
        </w:rPr>
        <w:t xml:space="preserve"> </w:t>
      </w:r>
      <w:r w:rsidRPr="00D9201D">
        <w:rPr>
          <w:lang w:val="it-IT"/>
        </w:rPr>
        <w:t xml:space="preserve">1.1, 9, 44-47: </w:t>
      </w:r>
      <w:r>
        <w:rPr>
          <w:lang w:val="it-IT"/>
        </w:rPr>
        <w:t>“</w:t>
      </w:r>
      <w:r w:rsidRPr="00D9201D">
        <w:rPr>
          <w:lang w:val="it-IT"/>
        </w:rPr>
        <w:t xml:space="preserve">Potest insuper pluribus aliis fieri modis, sicut in tabula gypsea et cerea et cum penna in carta et in lapidibus et lateribus et generaliter cum omni eo in quo </w:t>
      </w:r>
      <w:r w:rsidRPr="00D9201D">
        <w:rPr>
          <w:i/>
          <w:iCs/>
          <w:lang w:val="it-IT"/>
        </w:rPr>
        <w:t>virtus estimativa</w:t>
      </w:r>
      <w:r w:rsidRPr="00D9201D">
        <w:rPr>
          <w:lang w:val="it-IT"/>
        </w:rPr>
        <w:t xml:space="preserve"> potest considerare paritatem et imparitatem punctorum et figurarum</w:t>
      </w:r>
      <w:r>
        <w:rPr>
          <w:lang w:val="it-IT"/>
        </w:rPr>
        <w:t>.”</w:t>
      </w:r>
    </w:p>
  </w:footnote>
  <w:footnote w:id="324">
    <w:p w14:paraId="6F159056" w14:textId="72442FB1" w:rsidR="00244FB6" w:rsidRDefault="00244FB6" w:rsidP="00244FB6">
      <w:pPr>
        <w:pStyle w:val="FootnoteText"/>
        <w:ind w:firstLine="0"/>
      </w:pPr>
      <w:r>
        <w:rPr>
          <w:rStyle w:val="FootnoteReference"/>
        </w:rPr>
        <w:footnoteRef/>
      </w:r>
      <w:r>
        <w:t xml:space="preserve"> Michael-Sebastian Noble, ‘The Avicennan </w:t>
      </w:r>
      <w:r w:rsidRPr="00D55635">
        <w:rPr>
          <w:i/>
          <w:iCs/>
        </w:rPr>
        <w:t>aestimatio</w:t>
      </w:r>
      <w:r>
        <w:t xml:space="preserve"> (al-wahm) in </w:t>
      </w:r>
      <w:r w:rsidR="000028D0">
        <w:t xml:space="preserve">Fakhr al-Dīn al-Rāzī’s </w:t>
      </w:r>
      <w:r>
        <w:t xml:space="preserve">Theory of Talismanic Action at </w:t>
      </w:r>
      <w:r w:rsidR="000028D0">
        <w:t>D</w:t>
      </w:r>
      <w:r>
        <w:t xml:space="preserve">istance’, in  </w:t>
      </w:r>
      <w:r w:rsidRPr="00D55635">
        <w:rPr>
          <w:i/>
          <w:iCs/>
        </w:rPr>
        <w:t>Bulletin de philosophie médiévale</w:t>
      </w:r>
      <w:r>
        <w:t>, 59 (2017), 79.</w:t>
      </w:r>
    </w:p>
  </w:footnote>
  <w:footnote w:id="325">
    <w:p w14:paraId="294F358B" w14:textId="1D57E6EC" w:rsidR="00244FB6" w:rsidRDefault="00244FB6" w:rsidP="00244FB6">
      <w:pPr>
        <w:pStyle w:val="FootnoteText"/>
        <w:ind w:firstLine="0"/>
      </w:pPr>
      <w:r>
        <w:rPr>
          <w:rStyle w:val="FootnoteReference"/>
        </w:rPr>
        <w:footnoteRef/>
      </w:r>
      <w:r>
        <w:t xml:space="preserve"> Ibn Sīnā, </w:t>
      </w:r>
      <w:r w:rsidRPr="005D3AFB">
        <w:t>al-Mabda’ wa-l-Ma‘ād</w:t>
      </w:r>
      <w:r>
        <w:t xml:space="preserve">, ed. by ‘A. Nūrānī (Tehran, 1984), 117, in </w:t>
      </w:r>
      <w:bookmarkStart w:id="96" w:name="_Hlk150521333"/>
      <w:r>
        <w:t xml:space="preserve">Dimitri Gutas, ‘Imagination and Transcendental Knowledge in Avicenna’, in </w:t>
      </w:r>
      <w:r w:rsidRPr="00EF2EE0">
        <w:rPr>
          <w:i/>
          <w:iCs/>
        </w:rPr>
        <w:t>Arabic Theology, Arabic Philosophy. From the Many to the One: Essays in Celebration of Richard M. Frank</w:t>
      </w:r>
      <w:r>
        <w:t xml:space="preserve">, ed. by J. Montgomery (Louvain: Peeters Publishers, 2006), </w:t>
      </w:r>
      <w:bookmarkEnd w:id="96"/>
      <w:r w:rsidR="006879B7" w:rsidRPr="006879B7">
        <w:t>337-354</w:t>
      </w:r>
      <w:r w:rsidR="006879B7">
        <w:t>:</w:t>
      </w:r>
      <w:r w:rsidR="006879B7" w:rsidRPr="006879B7">
        <w:t xml:space="preserve"> </w:t>
      </w:r>
      <w:r>
        <w:t>339.</w:t>
      </w:r>
    </w:p>
  </w:footnote>
  <w:footnote w:id="326">
    <w:p w14:paraId="5EC5EA8A" w14:textId="77777777" w:rsidR="00244FB6" w:rsidRDefault="00244FB6" w:rsidP="00244FB6">
      <w:pPr>
        <w:pStyle w:val="FootnoteText"/>
        <w:ind w:firstLine="0"/>
      </w:pPr>
      <w:r>
        <w:rPr>
          <w:rStyle w:val="FootnoteReference"/>
        </w:rPr>
        <w:footnoteRef/>
      </w:r>
      <w:r>
        <w:t xml:space="preserve"> The role of the practical intellect in establishing a noetic connection with the souls of the celestial spheres and its collaboration with the faculties of estimation is explained in Gutas, ‘Imagination and Transcendental Knowledge in Avicenna’, 337-354.</w:t>
      </w:r>
    </w:p>
  </w:footnote>
  <w:footnote w:id="327">
    <w:p w14:paraId="69C39030" w14:textId="18C5D0DD" w:rsidR="00244FB6" w:rsidRPr="00644953" w:rsidRDefault="00244FB6" w:rsidP="00244FB6">
      <w:pPr>
        <w:pStyle w:val="FootnoteText"/>
        <w:ind w:firstLine="0"/>
      </w:pPr>
      <w:r>
        <w:rPr>
          <w:rStyle w:val="FootnoteReference"/>
        </w:rPr>
        <w:footnoteRef/>
      </w:r>
      <w:r>
        <w:t xml:space="preserve"> </w:t>
      </w:r>
      <w:r w:rsidRPr="00644953">
        <w:t xml:space="preserve">Imagination and estimation also play a crucial role in the theory of action at a distance in the </w:t>
      </w:r>
      <w:r w:rsidRPr="00644953">
        <w:rPr>
          <w:i/>
          <w:iCs/>
        </w:rPr>
        <w:t>De radiis</w:t>
      </w:r>
      <w:r w:rsidRPr="00644953">
        <w:t xml:space="preserve"> of al-Kindi (c.801-873 AD), also known as </w:t>
      </w:r>
      <w:r w:rsidRPr="00644953">
        <w:rPr>
          <w:i/>
          <w:iCs/>
        </w:rPr>
        <w:t>Theorica artium magicarum</w:t>
      </w:r>
      <w:r w:rsidRPr="00644953">
        <w:t xml:space="preserve">. For the critical edition of the text see Marie-Thérèse d’Alverny and Françoise Hudry, ‘Al-Kindi, De Radiis’, in </w:t>
      </w:r>
      <w:r w:rsidRPr="00644953">
        <w:rPr>
          <w:i/>
          <w:iCs/>
        </w:rPr>
        <w:t>Archives d’histoire doctrinale et littéraire du Moyen Age</w:t>
      </w:r>
      <w:r w:rsidRPr="00644953">
        <w:t xml:space="preserve"> (Paris: Librairie Philosophique J. Vrin, 1975), 139-260; see also Pinella Travaglia, </w:t>
      </w:r>
      <w:r w:rsidRPr="00644953">
        <w:rPr>
          <w:i/>
          <w:iCs/>
        </w:rPr>
        <w:t xml:space="preserve">Magic, </w:t>
      </w:r>
      <w:r w:rsidR="000028D0">
        <w:rPr>
          <w:i/>
          <w:iCs/>
        </w:rPr>
        <w:t>C</w:t>
      </w:r>
      <w:r w:rsidRPr="00644953">
        <w:rPr>
          <w:i/>
          <w:iCs/>
        </w:rPr>
        <w:t xml:space="preserve">ausality and </w:t>
      </w:r>
      <w:r w:rsidR="000028D0">
        <w:rPr>
          <w:i/>
          <w:iCs/>
        </w:rPr>
        <w:t>I</w:t>
      </w:r>
      <w:r w:rsidRPr="00644953">
        <w:rPr>
          <w:i/>
          <w:iCs/>
        </w:rPr>
        <w:t xml:space="preserve">ntentionality. The </w:t>
      </w:r>
      <w:r w:rsidR="000028D0">
        <w:rPr>
          <w:i/>
          <w:iCs/>
        </w:rPr>
        <w:t>D</w:t>
      </w:r>
      <w:r w:rsidRPr="00644953">
        <w:rPr>
          <w:i/>
          <w:iCs/>
        </w:rPr>
        <w:t xml:space="preserve">octrine of </w:t>
      </w:r>
      <w:r w:rsidR="000028D0">
        <w:rPr>
          <w:i/>
          <w:iCs/>
        </w:rPr>
        <w:t>R</w:t>
      </w:r>
      <w:r w:rsidRPr="00644953">
        <w:rPr>
          <w:i/>
          <w:iCs/>
        </w:rPr>
        <w:t>ays in al-Kindī</w:t>
      </w:r>
      <w:r w:rsidRPr="00644953">
        <w:t xml:space="preserve"> (Florence: SISMEL – Edizioni del Galluzzo, 1999).</w:t>
      </w:r>
    </w:p>
  </w:footnote>
  <w:footnote w:id="328">
    <w:p w14:paraId="0E7F7C66" w14:textId="77777777" w:rsidR="00244FB6" w:rsidRDefault="00244FB6" w:rsidP="00244FB6">
      <w:pPr>
        <w:pStyle w:val="FootnoteText"/>
        <w:ind w:firstLine="0"/>
      </w:pPr>
      <w:r>
        <w:rPr>
          <w:rStyle w:val="FootnoteReference"/>
        </w:rPr>
        <w:footnoteRef/>
      </w:r>
      <w:r>
        <w:t xml:space="preserve"> Michael-Sebastian Noble</w:t>
      </w:r>
      <w:r w:rsidRPr="002915E6">
        <w:rPr>
          <w:i/>
          <w:iCs/>
        </w:rPr>
        <w:t xml:space="preserve">, Philosophising the Occult. Avicennan Psychology and ‘The Hidden Secret’ of Fakhr al-Dīn al-Rāzī </w:t>
      </w:r>
      <w:r>
        <w:t>(Berlin: De Gruyter, 2021).</w:t>
      </w:r>
    </w:p>
  </w:footnote>
  <w:footnote w:id="329">
    <w:p w14:paraId="4BD40B4D" w14:textId="60E870D8" w:rsidR="00244FB6" w:rsidRDefault="00244FB6" w:rsidP="00244FB6">
      <w:pPr>
        <w:pStyle w:val="FootnoteText"/>
        <w:ind w:firstLine="0"/>
      </w:pPr>
      <w:r>
        <w:rPr>
          <w:rStyle w:val="FootnoteReference"/>
        </w:rPr>
        <w:footnoteRef/>
      </w:r>
      <w:r>
        <w:t xml:space="preserve"> </w:t>
      </w:r>
      <w:r w:rsidRPr="000B5E56">
        <w:rPr>
          <w:i/>
          <w:iCs/>
        </w:rPr>
        <w:t>Thābit ibn Qurra: Science and Philosophy in Ninth-Century Baghdad</w:t>
      </w:r>
      <w:r>
        <w:t xml:space="preserve">, ed. by R. Rashed (Berlin: Walter de Gruyter, 2009); Charles Burnett, ‘Ṭābit ibn Qurra the Ḥarranian on Talismans and the Spirits of the Planets’, in </w:t>
      </w:r>
      <w:r w:rsidRPr="000B5E56">
        <w:rPr>
          <w:i/>
          <w:iCs/>
        </w:rPr>
        <w:t>La Corónica</w:t>
      </w:r>
      <w:r>
        <w:t>, 36 (2007)</w:t>
      </w:r>
      <w:r w:rsidR="00E8106D">
        <w:t>,</w:t>
      </w:r>
      <w:r>
        <w:t xml:space="preserve"> 13-40.</w:t>
      </w:r>
    </w:p>
  </w:footnote>
  <w:footnote w:id="330">
    <w:p w14:paraId="20C2764C" w14:textId="3370C55C" w:rsidR="00244FB6" w:rsidRPr="00BA2C27" w:rsidRDefault="00244FB6" w:rsidP="00244FB6">
      <w:pPr>
        <w:pStyle w:val="FootnoteText"/>
        <w:ind w:firstLine="0"/>
      </w:pPr>
      <w:r>
        <w:rPr>
          <w:rStyle w:val="FootnoteReference"/>
        </w:rPr>
        <w:footnoteRef/>
      </w:r>
      <w:r>
        <w:t xml:space="preserve"> Much of the extant information has been gathered in </w:t>
      </w:r>
      <w:r w:rsidRPr="00BA2C27">
        <w:t>Danīl Avraamovich</w:t>
      </w:r>
      <w:r>
        <w:t xml:space="preserve"> </w:t>
      </w:r>
      <w:r w:rsidRPr="00BA2C27">
        <w:t>Khvolʹson</w:t>
      </w:r>
      <w:r>
        <w:t xml:space="preserve"> (Chwolsohn)</w:t>
      </w:r>
      <w:r w:rsidRPr="00BA2C27">
        <w:t xml:space="preserve">, </w:t>
      </w:r>
      <w:r w:rsidRPr="00BA2C27">
        <w:rPr>
          <w:i/>
          <w:iCs/>
        </w:rPr>
        <w:t>Die Ssabier und der Ssabismus</w:t>
      </w:r>
      <w:r>
        <w:t xml:space="preserve"> (</w:t>
      </w:r>
      <w:r w:rsidRPr="00BA2C27">
        <w:t>St. Petersburg: Buchdruckerei der Kaiserlichen Akademie der Wissenschaften, 1856</w:t>
      </w:r>
      <w:r>
        <w:t>).</w:t>
      </w:r>
    </w:p>
  </w:footnote>
  <w:footnote w:id="331">
    <w:p w14:paraId="5F40F59C" w14:textId="184554AB" w:rsidR="00244FB6" w:rsidRDefault="00244FB6" w:rsidP="00244FB6">
      <w:pPr>
        <w:pStyle w:val="FootnoteText"/>
        <w:ind w:firstLine="0"/>
      </w:pPr>
      <w:r>
        <w:rPr>
          <w:rStyle w:val="FootnoteReference"/>
        </w:rPr>
        <w:footnoteRef/>
      </w:r>
      <w:r>
        <w:t xml:space="preserve">  For further biographical information see </w:t>
      </w:r>
      <w:r w:rsidRPr="00443476">
        <w:t xml:space="preserve">Georges C. Anawati, </w:t>
      </w:r>
      <w:r>
        <w:t>‘</w:t>
      </w:r>
      <w:r w:rsidRPr="00443476">
        <w:t>Fakhr al-Dīn al-Rāzī</w:t>
      </w:r>
      <w:r>
        <w:t xml:space="preserve">’, in </w:t>
      </w:r>
      <w:r w:rsidRPr="00443476">
        <w:rPr>
          <w:i/>
          <w:iCs/>
        </w:rPr>
        <w:t>Encyclopaedia of Islam, Second Edition</w:t>
      </w:r>
      <w:r w:rsidRPr="00443476">
        <w:t xml:space="preserve">, </w:t>
      </w:r>
      <w:r>
        <w:t>ed.</w:t>
      </w:r>
      <w:r w:rsidRPr="00443476">
        <w:t xml:space="preserve"> by</w:t>
      </w:r>
      <w:r>
        <w:t xml:space="preserve"> </w:t>
      </w:r>
      <w:r w:rsidRPr="00443476">
        <w:t xml:space="preserve">P. Bearman, Th. Bianquis, C.E. Bosworth, E. van Donzel, W.P. Heinrichs. Consulted online on 07 May 2022 </w:t>
      </w:r>
      <w:hyperlink r:id="rId4" w:history="1">
        <w:r w:rsidRPr="00555ECF">
          <w:rPr>
            <w:rStyle w:val="Hyperlink"/>
            <w:color w:val="auto"/>
          </w:rPr>
          <w:t>http://dx.doi.org/10.1163/1573-3912_islam_COM_0206</w:t>
        </w:r>
      </w:hyperlink>
      <w:r>
        <w:t xml:space="preserve">; </w:t>
      </w:r>
      <w:r w:rsidRPr="00CC2EEB">
        <w:t xml:space="preserve">Byron D. Cannon, </w:t>
      </w:r>
      <w:r>
        <w:t>‘</w:t>
      </w:r>
      <w:r w:rsidRPr="00CC2EEB">
        <w:t>Fakhr al-Din al-Razi</w:t>
      </w:r>
      <w:r>
        <w:t xml:space="preserve">’, in </w:t>
      </w:r>
      <w:r w:rsidRPr="00CC2EEB">
        <w:rPr>
          <w:i/>
          <w:iCs/>
        </w:rPr>
        <w:t>Dictionary of World Biography. Volume 2: The Middle Ages</w:t>
      </w:r>
      <w:r>
        <w:t>, ed. by</w:t>
      </w:r>
      <w:r w:rsidRPr="00CC2EEB">
        <w:t xml:space="preserve"> F</w:t>
      </w:r>
      <w:r>
        <w:t xml:space="preserve">. </w:t>
      </w:r>
      <w:r w:rsidRPr="00CC2EEB">
        <w:t xml:space="preserve">N. Magill </w:t>
      </w:r>
      <w:r>
        <w:t>(</w:t>
      </w:r>
      <w:r w:rsidRPr="00CC2EEB">
        <w:t>London</w:t>
      </w:r>
      <w:r>
        <w:t>-</w:t>
      </w:r>
      <w:r w:rsidRPr="00CC2EEB">
        <w:t>New York: Routledge</w:t>
      </w:r>
      <w:r>
        <w:t>, 1998) 347-349; Frank Griffel, ‘</w:t>
      </w:r>
      <w:r w:rsidRPr="00B32479">
        <w:t>On Fakhr al-Dīn al-Rāzī</w:t>
      </w:r>
      <w:r w:rsidR="00750A8B">
        <w:t>’</w:t>
      </w:r>
      <w:r w:rsidRPr="00B32479">
        <w:t>s Life and the Patronage He Received</w:t>
      </w:r>
      <w:r>
        <w:t>’, in</w:t>
      </w:r>
      <w:r w:rsidRPr="00B32479">
        <w:t xml:space="preserve"> </w:t>
      </w:r>
      <w:r w:rsidRPr="00B32479">
        <w:rPr>
          <w:i/>
          <w:iCs/>
        </w:rPr>
        <w:t>Journal of Islamic Studies</w:t>
      </w:r>
      <w:r>
        <w:t>,</w:t>
      </w:r>
      <w:r w:rsidRPr="00B32479">
        <w:t xml:space="preserve"> </w:t>
      </w:r>
      <w:r w:rsidRPr="00500206">
        <w:t>18, 3 (2007), 313–344.</w:t>
      </w:r>
      <w:r>
        <w:t xml:space="preserve"> </w:t>
      </w:r>
    </w:p>
  </w:footnote>
  <w:footnote w:id="332">
    <w:p w14:paraId="5A1B3DC2" w14:textId="301172AA" w:rsidR="00244FB6" w:rsidRPr="005B25D2" w:rsidRDefault="00244FB6" w:rsidP="00244FB6">
      <w:pPr>
        <w:pStyle w:val="FootnoteText"/>
        <w:ind w:firstLine="0"/>
      </w:pPr>
      <w:r>
        <w:rPr>
          <w:rStyle w:val="FootnoteReference"/>
        </w:rPr>
        <w:footnoteRef/>
      </w:r>
      <w:r>
        <w:t xml:space="preserve"> Noble</w:t>
      </w:r>
      <w:r w:rsidRPr="002915E6">
        <w:rPr>
          <w:i/>
          <w:iCs/>
        </w:rPr>
        <w:t>, Philosophising the Occult</w:t>
      </w:r>
      <w:r>
        <w:t>,</w:t>
      </w:r>
      <w:r>
        <w:rPr>
          <w:i/>
          <w:iCs/>
        </w:rPr>
        <w:t xml:space="preserve"> </w:t>
      </w:r>
      <w:r>
        <w:t>18-23.</w:t>
      </w:r>
    </w:p>
  </w:footnote>
  <w:footnote w:id="333">
    <w:p w14:paraId="621D1E61" w14:textId="0B878589" w:rsidR="00244FB6" w:rsidRDefault="00244FB6" w:rsidP="00244FB6">
      <w:pPr>
        <w:pStyle w:val="FootnoteText"/>
        <w:ind w:firstLine="0"/>
      </w:pPr>
      <w:r>
        <w:rPr>
          <w:rStyle w:val="FootnoteReference"/>
        </w:rPr>
        <w:footnoteRef/>
      </w:r>
      <w:r>
        <w:t xml:space="preserve"> Noble, ‘The Avicennan </w:t>
      </w:r>
      <w:r w:rsidRPr="00D55635">
        <w:rPr>
          <w:i/>
          <w:iCs/>
        </w:rPr>
        <w:t>aestimatio</w:t>
      </w:r>
      <w:r>
        <w:t xml:space="preserve"> (al-wahm) in Fakhr al-Din al-Razi’s Theory of Talismanic Action at distance,’80-81.</w:t>
      </w:r>
    </w:p>
  </w:footnote>
  <w:footnote w:id="334">
    <w:p w14:paraId="12236674" w14:textId="77777777" w:rsidR="00244FB6" w:rsidRPr="00154076" w:rsidRDefault="00244FB6" w:rsidP="00244FB6">
      <w:pPr>
        <w:pStyle w:val="FootnoteText"/>
        <w:ind w:firstLine="0"/>
      </w:pPr>
      <w:r>
        <w:rPr>
          <w:rStyle w:val="FootnoteReference"/>
        </w:rPr>
        <w:footnoteRef/>
      </w:r>
      <w:r>
        <w:t xml:space="preserve"> Noble</w:t>
      </w:r>
      <w:r w:rsidRPr="002915E6">
        <w:rPr>
          <w:i/>
          <w:iCs/>
        </w:rPr>
        <w:t>, Philosophising the Occult</w:t>
      </w:r>
      <w:r>
        <w:rPr>
          <w:i/>
          <w:iCs/>
        </w:rPr>
        <w:t xml:space="preserve">, </w:t>
      </w:r>
      <w:r>
        <w:t>159-168.</w:t>
      </w:r>
    </w:p>
  </w:footnote>
  <w:footnote w:id="335">
    <w:p w14:paraId="1A31A45F" w14:textId="77777777" w:rsidR="00345BD5" w:rsidRPr="00402A31" w:rsidRDefault="00345BD5" w:rsidP="00345BD5">
      <w:pPr>
        <w:pStyle w:val="FootnoteText"/>
        <w:ind w:firstLine="0"/>
      </w:pPr>
      <w:r w:rsidRPr="00402A31">
        <w:rPr>
          <w:rStyle w:val="FootnoteReference"/>
        </w:rPr>
        <w:footnoteRef/>
      </w:r>
      <w:r w:rsidRPr="00402A31">
        <w:t xml:space="preserve"> Paris, BNF, lat. 7354, ff. 2r-2v</w:t>
      </w:r>
      <w:r>
        <w:t>: “</w:t>
      </w:r>
      <w:r w:rsidRPr="00402A31">
        <w:t xml:space="preserve">Arenam limpidissimam a nemine conculcatam et de profundo ante solis ortum assumptam, et in eodem loco super </w:t>
      </w:r>
      <w:r>
        <w:t>/</w:t>
      </w:r>
      <w:r w:rsidRPr="00402A31">
        <w:t>2v</w:t>
      </w:r>
      <w:r>
        <w:t>/</w:t>
      </w:r>
      <w:r w:rsidRPr="00402A31">
        <w:t xml:space="preserve"> pannum mundissimum cribatam</w:t>
      </w:r>
      <w:r>
        <w:t xml:space="preserve"> (</w:t>
      </w:r>
      <w:r w:rsidRPr="00DD5706">
        <w:rPr>
          <w:i/>
          <w:iCs/>
        </w:rPr>
        <w:t>sic</w:t>
      </w:r>
      <w:r>
        <w:t>. cribratum?)</w:t>
      </w:r>
      <w:r w:rsidRPr="00402A31">
        <w:t xml:space="preserve"> uirgineum, desuper afferre iubetur</w:t>
      </w:r>
      <w:r>
        <w:t>.”</w:t>
      </w:r>
      <w:r w:rsidRPr="00402A31">
        <w:t xml:space="preserve"> </w:t>
      </w:r>
    </w:p>
  </w:footnote>
  <w:footnote w:id="336">
    <w:p w14:paraId="6A7BE3EF" w14:textId="06188597" w:rsidR="00925F50" w:rsidRDefault="00925F50" w:rsidP="00925F50">
      <w:pPr>
        <w:pStyle w:val="FootnoteText"/>
        <w:ind w:firstLine="0"/>
      </w:pPr>
      <w:r>
        <w:rPr>
          <w:rStyle w:val="FootnoteReference"/>
        </w:rPr>
        <w:footnoteRef/>
      </w:r>
      <w:r>
        <w:t xml:space="preserve"> </w:t>
      </w:r>
      <w:r w:rsidRPr="00925F50">
        <w:rPr>
          <w:i/>
          <w:iCs/>
        </w:rPr>
        <w:t>Liber arenalis scientiae</w:t>
      </w:r>
      <w:r w:rsidRPr="00925F50">
        <w:t>, Oxford, BL, Ms. Rawlinson D. 1277, f.38v</w:t>
      </w:r>
      <w:r>
        <w:t xml:space="preserve">: </w:t>
      </w:r>
      <w:r w:rsidRPr="00925F50">
        <w:t>“[38v] ... digitorum dextra manus extremitate eiusdem arene modicum accipe dicens ‘In dei nomine eius que summa ac inestimabili scientia confido’. De hinc digitos cum arena sumpta tibi circa labia tenes id quod scire desideras tecum mente revolve...”</w:t>
      </w:r>
      <w:r>
        <w:t xml:space="preserve"> This passage is absent in the other manuscripts.</w:t>
      </w:r>
    </w:p>
  </w:footnote>
  <w:footnote w:id="337">
    <w:p w14:paraId="663AD6B7" w14:textId="77777777" w:rsidR="00244FB6" w:rsidRDefault="00244FB6" w:rsidP="00244FB6">
      <w:pPr>
        <w:pStyle w:val="FootnoteText"/>
        <w:ind w:firstLine="0"/>
      </w:pPr>
      <w:r w:rsidRPr="007E4251">
        <w:rPr>
          <w:rStyle w:val="FootnoteReference"/>
        </w:rPr>
        <w:footnoteRef/>
      </w:r>
      <w:r w:rsidRPr="007E4251">
        <w:t xml:space="preserve"> </w:t>
      </w:r>
      <w:r>
        <w:t>“</w:t>
      </w:r>
      <w:r w:rsidRPr="007E4251">
        <w:t>A talisman is an object which is empowered by being made in a particular shape</w:t>
      </w:r>
      <w:r>
        <w:t xml:space="preserve"> o</w:t>
      </w:r>
      <w:r w:rsidRPr="007E4251">
        <w:t>r by being inscribed with particular words or images, or by having spiritual forces [...] enticed by prayer into it, or by being suffumigated or wrapped in specially prepared cloth, or by being blessed, addressed or commanded, or (usually) including a combination of several of these proceedings. An astrological or astral talisman is empowered specifically by the heavenly bodies, whether stars or planets, which are assumed to have a natural power to effect sublunar objects in multiple ways</w:t>
      </w:r>
      <w:r>
        <w:t>”.</w:t>
      </w:r>
      <w:r w:rsidRPr="007E4251">
        <w:t xml:space="preserve"> </w:t>
      </w:r>
      <w:r>
        <w:t>I</w:t>
      </w:r>
      <w:r w:rsidRPr="007E4251">
        <w:t xml:space="preserve">n </w:t>
      </w:r>
      <w:bookmarkStart w:id="97" w:name="_Hlk150522021"/>
      <w:r w:rsidRPr="007E4251">
        <w:t xml:space="preserve">Gideon Bohak and Charles Burnett, </w:t>
      </w:r>
      <w:r w:rsidRPr="007E4251">
        <w:rPr>
          <w:i/>
          <w:iCs/>
        </w:rPr>
        <w:t>Thābit ibn Qurra</w:t>
      </w:r>
      <w:r w:rsidRPr="007E4251">
        <w:t xml:space="preserve"> </w:t>
      </w:r>
      <w:r w:rsidRPr="007E4251">
        <w:rPr>
          <w:i/>
          <w:iCs/>
        </w:rPr>
        <w:t>On Talismans</w:t>
      </w:r>
      <w:r w:rsidRPr="007E4251">
        <w:t xml:space="preserve">, </w:t>
      </w:r>
      <w:r w:rsidRPr="007E4251">
        <w:rPr>
          <w:i/>
          <w:iCs/>
        </w:rPr>
        <w:t>Ps.-Ptolemy</w:t>
      </w:r>
      <w:r w:rsidRPr="007E4251">
        <w:t xml:space="preserve"> </w:t>
      </w:r>
      <w:r w:rsidRPr="007E4251">
        <w:rPr>
          <w:i/>
          <w:iCs/>
        </w:rPr>
        <w:t>On Images I-9, Liber prestigiorum Thebidis of Adelard of Bath</w:t>
      </w:r>
      <w:r w:rsidRPr="007E4251">
        <w:t xml:space="preserve">, Micrologus Library 106 (Florence: Sismel-Edizioni del Galluzzo, 2021), </w:t>
      </w:r>
      <w:bookmarkEnd w:id="97"/>
      <w:r w:rsidRPr="007E4251">
        <w:t>5.</w:t>
      </w:r>
      <w:r>
        <w:t xml:space="preserve"> </w:t>
      </w:r>
    </w:p>
  </w:footnote>
  <w:footnote w:id="338">
    <w:p w14:paraId="7A4C188C" w14:textId="6EB8B879" w:rsidR="00244FB6" w:rsidRPr="00D058D5" w:rsidRDefault="00244FB6" w:rsidP="00244FB6">
      <w:pPr>
        <w:pStyle w:val="FootnoteText"/>
        <w:ind w:firstLine="0"/>
      </w:pPr>
      <w:r>
        <w:rPr>
          <w:rStyle w:val="FootnoteReference"/>
        </w:rPr>
        <w:footnoteRef/>
      </w:r>
      <w:r>
        <w:t xml:space="preserve"> Noble</w:t>
      </w:r>
      <w:r w:rsidRPr="002915E6">
        <w:rPr>
          <w:i/>
          <w:iCs/>
        </w:rPr>
        <w:t>, Philosophising the Occul</w:t>
      </w:r>
      <w:r>
        <w:rPr>
          <w:i/>
          <w:iCs/>
        </w:rPr>
        <w:t>t</w:t>
      </w:r>
      <w:r>
        <w:t>, 23.</w:t>
      </w:r>
    </w:p>
  </w:footnote>
  <w:footnote w:id="339">
    <w:p w14:paraId="5456AC8B" w14:textId="7D45AEC7" w:rsidR="00244FB6" w:rsidRPr="006C1E13" w:rsidRDefault="00244FB6" w:rsidP="00244FB6">
      <w:pPr>
        <w:pStyle w:val="FootnoteText"/>
        <w:ind w:firstLine="0"/>
      </w:pPr>
      <w:r>
        <w:rPr>
          <w:rStyle w:val="FootnoteReference"/>
        </w:rPr>
        <w:footnoteRef/>
      </w:r>
      <w:r>
        <w:t xml:space="preserve"> Noble</w:t>
      </w:r>
      <w:r w:rsidRPr="002915E6">
        <w:rPr>
          <w:i/>
          <w:iCs/>
        </w:rPr>
        <w:t>, Philosophising the Oc</w:t>
      </w:r>
      <w:r>
        <w:rPr>
          <w:i/>
          <w:iCs/>
        </w:rPr>
        <w:t>cult</w:t>
      </w:r>
      <w:r>
        <w:t>,</w:t>
      </w:r>
      <w:r>
        <w:rPr>
          <w:i/>
          <w:iCs/>
        </w:rPr>
        <w:t xml:space="preserve"> </w:t>
      </w:r>
      <w:r>
        <w:t>35.</w:t>
      </w:r>
    </w:p>
  </w:footnote>
  <w:footnote w:id="340">
    <w:p w14:paraId="1C2629BD" w14:textId="35BC17B5" w:rsidR="00244FB6" w:rsidRPr="00AE220D" w:rsidRDefault="00244FB6" w:rsidP="00244FB6">
      <w:pPr>
        <w:pStyle w:val="FootnoteText"/>
        <w:ind w:firstLine="0"/>
      </w:pPr>
      <w:r>
        <w:rPr>
          <w:rStyle w:val="FootnoteReference"/>
        </w:rPr>
        <w:footnoteRef/>
      </w:r>
      <w:r w:rsidRPr="00D9201D">
        <w:rPr>
          <w:lang w:val="fr-FR"/>
        </w:rPr>
        <w:t xml:space="preserve"> </w:t>
      </w:r>
      <w:r w:rsidR="004F60CD" w:rsidRPr="005B6980">
        <w:rPr>
          <w:lang w:val="de-DE"/>
        </w:rPr>
        <w:t>Adelard of Bath,</w:t>
      </w:r>
      <w:r w:rsidR="004F60CD">
        <w:rPr>
          <w:lang w:val="de-DE"/>
        </w:rPr>
        <w:t xml:space="preserve"> </w:t>
      </w:r>
      <w:r w:rsidR="004F60CD" w:rsidRPr="006D623A">
        <w:rPr>
          <w:i/>
          <w:iCs/>
          <w:lang w:val="de-DE"/>
        </w:rPr>
        <w:t>De eodem et diverso</w:t>
      </w:r>
      <w:r w:rsidR="004F60CD">
        <w:rPr>
          <w:lang w:val="de-DE"/>
        </w:rPr>
        <w:t>, in</w:t>
      </w:r>
      <w:r w:rsidR="004F60CD" w:rsidRPr="005B6980">
        <w:rPr>
          <w:lang w:val="de-DE"/>
        </w:rPr>
        <w:t xml:space="preserve"> </w:t>
      </w:r>
      <w:r w:rsidR="004F60CD" w:rsidRPr="005B6980">
        <w:rPr>
          <w:i/>
          <w:iCs/>
          <w:lang w:val="de-DE"/>
        </w:rPr>
        <w:t>Conversations with His Nephew: on the Same and the Different, Questions on Natural Science, and on Birds,</w:t>
      </w:r>
      <w:r w:rsidR="004F60CD">
        <w:rPr>
          <w:lang w:val="de-DE"/>
        </w:rPr>
        <w:t xml:space="preserve"> </w:t>
      </w:r>
      <w:r w:rsidR="004F60CD" w:rsidRPr="00D9201D">
        <w:rPr>
          <w:lang w:val="de-DE"/>
        </w:rPr>
        <w:t xml:space="preserve">ed. </w:t>
      </w:r>
      <w:r w:rsidR="005D7086">
        <w:rPr>
          <w:lang w:val="de-DE"/>
        </w:rPr>
        <w:t xml:space="preserve">by </w:t>
      </w:r>
      <w:r w:rsidR="004F60CD">
        <w:rPr>
          <w:lang w:val="de-DE"/>
        </w:rPr>
        <w:t>C. Burnett (</w:t>
      </w:r>
      <w:r w:rsidR="004F60CD" w:rsidRPr="005B6980">
        <w:rPr>
          <w:lang w:val="de-DE"/>
        </w:rPr>
        <w:t>Cambridge: Cambridge University Press, 1998</w:t>
      </w:r>
      <w:r w:rsidR="004F60CD">
        <w:rPr>
          <w:lang w:val="de-DE"/>
        </w:rPr>
        <w:t xml:space="preserve">), 26-27: </w:t>
      </w:r>
      <w:r>
        <w:t>“</w:t>
      </w:r>
      <w:r>
        <w:rPr>
          <w:lang w:val="fr-FR"/>
        </w:rPr>
        <w:t>Hinc illud aliud quod in</w:t>
      </w:r>
      <w:r w:rsidRPr="00D9201D">
        <w:rPr>
          <w:lang w:val="fr-FR"/>
        </w:rPr>
        <w:t xml:space="preserve"> som</w:t>
      </w:r>
      <w:r>
        <w:rPr>
          <w:lang w:val="fr-FR"/>
        </w:rPr>
        <w:t>p</w:t>
      </w:r>
      <w:r w:rsidRPr="00D9201D">
        <w:rPr>
          <w:lang w:val="fr-FR"/>
        </w:rPr>
        <w:t>nis anima, quia quodammodo tunc liberior est a vexatione sensuum, aciem stringit et de futuris etiam aut verum aut verisimile quandoque deprehendit et sub aurora minus fallitur, utpote iam digestis cibis expeditior</w:t>
      </w:r>
      <w:r>
        <w:rPr>
          <w:lang w:val="fr-FR"/>
        </w:rPr>
        <w:t xml:space="preserve"> (This too is why in sleep the soul, because it is then in some way freer from the harassment of the senses, sharpens its wit and sometimes grasps the truth  or something like it even concerning future events. It makes fewer mistakes just before dawn, since it is less encumbered once the food has been digested)</w:t>
      </w:r>
      <w:r w:rsidR="004F60CD">
        <w:rPr>
          <w:lang w:val="fr-FR"/>
        </w:rPr>
        <w:t>.</w:t>
      </w:r>
      <w:r>
        <w:t>”</w:t>
      </w:r>
      <w:r w:rsidRPr="00D9201D">
        <w:rPr>
          <w:lang w:val="de-DE"/>
        </w:rPr>
        <w:t xml:space="preserve"> </w:t>
      </w:r>
      <w:r w:rsidRPr="00AE220D">
        <w:rPr>
          <w:lang w:val="de-DE"/>
        </w:rPr>
        <w:t>This also resembles the position of Ibn Khald</w:t>
      </w:r>
      <w:r>
        <w:rPr>
          <w:lang w:val="de-DE"/>
        </w:rPr>
        <w:t>ū</w:t>
      </w:r>
      <w:r w:rsidRPr="00AE220D">
        <w:rPr>
          <w:lang w:val="de-DE"/>
        </w:rPr>
        <w:t>n on geomancy: the only way in which ‘sand diviners’ can obtain superior knowledge is if their action of drawing in the sand has the purpose of distracting the senses so that the intellectual soul can momentarily leave the sensible world to join the superior one</w:t>
      </w:r>
      <w:r>
        <w:rPr>
          <w:lang w:val="de-DE"/>
        </w:rPr>
        <w:t xml:space="preserve">. See </w:t>
      </w:r>
      <w:r>
        <w:t xml:space="preserve">Ibn </w:t>
      </w:r>
      <w:r w:rsidR="00B95CDD" w:rsidRPr="00114A4E">
        <w:t>Khald</w:t>
      </w:r>
      <w:r w:rsidR="00B95CDD">
        <w:t>ū</w:t>
      </w:r>
      <w:r w:rsidR="00B95CDD" w:rsidRPr="00114A4E">
        <w:t>n</w:t>
      </w:r>
      <w:r>
        <w:t xml:space="preserve">, </w:t>
      </w:r>
      <w:r w:rsidRPr="007671DE">
        <w:rPr>
          <w:i/>
          <w:iCs/>
        </w:rPr>
        <w:t>Muqaddimah</w:t>
      </w:r>
      <w:r>
        <w:t>, v</w:t>
      </w:r>
      <w:r w:rsidRPr="00BC5A25">
        <w:t>ol.</w:t>
      </w:r>
      <w:r w:rsidR="00424E00">
        <w:t xml:space="preserve"> I</w:t>
      </w:r>
      <w:r>
        <w:t>, 234.</w:t>
      </w:r>
    </w:p>
  </w:footnote>
  <w:footnote w:id="341">
    <w:p w14:paraId="7F1BF7F2" w14:textId="76B983AD" w:rsidR="00244FB6" w:rsidRDefault="00244FB6" w:rsidP="00244FB6">
      <w:pPr>
        <w:pStyle w:val="FootnoteText"/>
        <w:ind w:firstLine="0"/>
      </w:pPr>
      <w:r>
        <w:rPr>
          <w:rStyle w:val="FootnoteReference"/>
        </w:rPr>
        <w:footnoteRef/>
      </w:r>
      <w:r>
        <w:t xml:space="preserve"> Ibn </w:t>
      </w:r>
      <w:r w:rsidR="00407654">
        <w:t>Khaldūn</w:t>
      </w:r>
      <w:r>
        <w:t xml:space="preserve">, </w:t>
      </w:r>
      <w:r w:rsidRPr="00AA7754">
        <w:rPr>
          <w:i/>
          <w:iCs/>
        </w:rPr>
        <w:t>Muqaddimah</w:t>
      </w:r>
      <w:r>
        <w:t>, Vol. I</w:t>
      </w:r>
      <w:r w:rsidR="006A5AFF">
        <w:t xml:space="preserve"> (1958)</w:t>
      </w:r>
      <w:r>
        <w:t>, 184-245.</w:t>
      </w:r>
    </w:p>
  </w:footnote>
  <w:footnote w:id="342">
    <w:p w14:paraId="6F03F945" w14:textId="26BA7B56" w:rsidR="00244FB6" w:rsidRDefault="00244FB6" w:rsidP="00244FB6">
      <w:pPr>
        <w:pStyle w:val="FootnoteText"/>
        <w:ind w:firstLine="0"/>
      </w:pPr>
      <w:r>
        <w:rPr>
          <w:rStyle w:val="FootnoteReference"/>
        </w:rPr>
        <w:footnoteRef/>
      </w:r>
      <w:r>
        <w:t xml:space="preserve">  Ibn </w:t>
      </w:r>
      <w:r w:rsidR="00407654">
        <w:t>Khaldūn</w:t>
      </w:r>
      <w:r>
        <w:t xml:space="preserve">, </w:t>
      </w:r>
      <w:r w:rsidRPr="00410943">
        <w:rPr>
          <w:i/>
          <w:iCs/>
        </w:rPr>
        <w:t>Muqaddi</w:t>
      </w:r>
      <w:r>
        <w:rPr>
          <w:i/>
          <w:iCs/>
        </w:rPr>
        <w:t>m</w:t>
      </w:r>
      <w:r w:rsidRPr="00410943">
        <w:rPr>
          <w:i/>
          <w:iCs/>
        </w:rPr>
        <w:t>ah</w:t>
      </w:r>
      <w:r>
        <w:t>, Vol I</w:t>
      </w:r>
      <w:r w:rsidR="006A5AFF">
        <w:t xml:space="preserve"> (1958)</w:t>
      </w:r>
      <w:r>
        <w:t>, 195.</w:t>
      </w:r>
    </w:p>
  </w:footnote>
  <w:footnote w:id="343">
    <w:p w14:paraId="067EBDBD" w14:textId="24E84D9F" w:rsidR="00244FB6" w:rsidRDefault="00244FB6" w:rsidP="00244FB6">
      <w:pPr>
        <w:pStyle w:val="FootnoteText"/>
        <w:ind w:firstLine="0"/>
      </w:pPr>
      <w:r>
        <w:rPr>
          <w:rStyle w:val="FootnoteReference"/>
        </w:rPr>
        <w:footnoteRef/>
      </w:r>
      <w:r>
        <w:t xml:space="preserve"> See Mushegh Asatrian, ‘</w:t>
      </w:r>
      <w:r w:rsidRPr="00ED0622">
        <w:t>Ibn Khaldūn on Magic and the Occult</w:t>
      </w:r>
      <w:r w:rsidR="00407654">
        <w:t>,</w:t>
      </w:r>
      <w:r>
        <w:t xml:space="preserve">’ in </w:t>
      </w:r>
      <w:r w:rsidRPr="00DF5F56">
        <w:rPr>
          <w:i/>
          <w:iCs/>
        </w:rPr>
        <w:t xml:space="preserve">Iran </w:t>
      </w:r>
      <w:r w:rsidR="00407654">
        <w:rPr>
          <w:i/>
          <w:iCs/>
        </w:rPr>
        <w:t>and</w:t>
      </w:r>
      <w:r w:rsidRPr="00DF5F56">
        <w:rPr>
          <w:i/>
          <w:iCs/>
        </w:rPr>
        <w:t xml:space="preserve"> the Caucasus</w:t>
      </w:r>
      <w:r>
        <w:t xml:space="preserve">, </w:t>
      </w:r>
      <w:r w:rsidRPr="00ED0622">
        <w:t>Vol. 7, No. 1/2 (2003), 73-123</w:t>
      </w:r>
      <w:r>
        <w:t>: 78-79.</w:t>
      </w:r>
    </w:p>
  </w:footnote>
  <w:footnote w:id="344">
    <w:p w14:paraId="47419DE7" w14:textId="66E7484A" w:rsidR="00244FB6" w:rsidRDefault="00244FB6" w:rsidP="00244FB6">
      <w:pPr>
        <w:pStyle w:val="FootnoteText"/>
        <w:ind w:firstLine="0"/>
      </w:pPr>
      <w:r>
        <w:rPr>
          <w:rStyle w:val="FootnoteReference"/>
        </w:rPr>
        <w:footnoteRef/>
      </w:r>
      <w:r>
        <w:t xml:space="preserve"> Asatrian, ‘</w:t>
      </w:r>
      <w:r w:rsidRPr="00ED0622">
        <w:t>Ibn Khaldūn on Magic and the Occult</w:t>
      </w:r>
      <w:r w:rsidR="00407654">
        <w:t>,</w:t>
      </w:r>
      <w:r>
        <w:t>’ 80.</w:t>
      </w:r>
    </w:p>
  </w:footnote>
  <w:footnote w:id="345">
    <w:p w14:paraId="3B538122" w14:textId="5ABDE628" w:rsidR="00244FB6" w:rsidRDefault="00244FB6" w:rsidP="00244FB6">
      <w:pPr>
        <w:pStyle w:val="FootnoteText"/>
        <w:ind w:firstLine="0"/>
      </w:pPr>
      <w:r>
        <w:rPr>
          <w:rStyle w:val="FootnoteReference"/>
        </w:rPr>
        <w:footnoteRef/>
      </w:r>
      <w:r>
        <w:t xml:space="preserve">  Ibn </w:t>
      </w:r>
      <w:r w:rsidR="00407654">
        <w:t>Khaldūn</w:t>
      </w:r>
      <w:r>
        <w:t xml:space="preserve">, </w:t>
      </w:r>
      <w:r w:rsidRPr="00410943">
        <w:rPr>
          <w:i/>
          <w:iCs/>
        </w:rPr>
        <w:t>Muqaddi</w:t>
      </w:r>
      <w:r>
        <w:rPr>
          <w:i/>
          <w:iCs/>
        </w:rPr>
        <w:t>m</w:t>
      </w:r>
      <w:r w:rsidRPr="00410943">
        <w:rPr>
          <w:i/>
          <w:iCs/>
        </w:rPr>
        <w:t>ah</w:t>
      </w:r>
      <w:r w:rsidR="006A5AFF">
        <w:t xml:space="preserve">, </w:t>
      </w:r>
      <w:r w:rsidR="00B75ABA">
        <w:t>v</w:t>
      </w:r>
      <w:r>
        <w:t>ol</w:t>
      </w:r>
      <w:r w:rsidR="00B75ABA">
        <w:t>.</w:t>
      </w:r>
      <w:r>
        <w:t xml:space="preserve"> I, 199.</w:t>
      </w:r>
    </w:p>
  </w:footnote>
  <w:footnote w:id="346">
    <w:p w14:paraId="0D8DC381" w14:textId="76081483" w:rsidR="00244FB6" w:rsidRDefault="00244FB6" w:rsidP="00244FB6">
      <w:pPr>
        <w:pStyle w:val="FootnoteText"/>
        <w:ind w:firstLine="0"/>
      </w:pPr>
      <w:r>
        <w:rPr>
          <w:rStyle w:val="FootnoteReference"/>
        </w:rPr>
        <w:footnoteRef/>
      </w:r>
      <w:r>
        <w:t xml:space="preserve"> </w:t>
      </w:r>
      <w:r w:rsidRPr="001D7F31">
        <w:t xml:space="preserve">Ibn </w:t>
      </w:r>
      <w:r w:rsidR="00407654">
        <w:t>Khaldūn</w:t>
      </w:r>
      <w:r w:rsidRPr="001D7F31">
        <w:t xml:space="preserve">, </w:t>
      </w:r>
      <w:r w:rsidRPr="001D7F31">
        <w:rPr>
          <w:i/>
          <w:iCs/>
        </w:rPr>
        <w:t xml:space="preserve">Muqaddimah, </w:t>
      </w:r>
      <w:r w:rsidR="00CC63A8">
        <w:t>v</w:t>
      </w:r>
      <w:r w:rsidRPr="00F80E54">
        <w:t>ol. 1</w:t>
      </w:r>
      <w:r w:rsidRPr="001D7F31">
        <w:t xml:space="preserve">, 229: “Some sand diviners attempt supernatural perception, in that they occupy their senses with study of the combinations of figures. They thus reach a state of preparedness, like those who are by nature fitted for preparedness.” </w:t>
      </w:r>
    </w:p>
  </w:footnote>
  <w:footnote w:id="347">
    <w:p w14:paraId="251FA7CF" w14:textId="53898BF0" w:rsidR="005F63F5" w:rsidRDefault="005F63F5" w:rsidP="005F63F5">
      <w:pPr>
        <w:pStyle w:val="FootnoteText"/>
        <w:ind w:firstLine="0"/>
      </w:pPr>
      <w:r>
        <w:rPr>
          <w:rStyle w:val="FootnoteReference"/>
        </w:rPr>
        <w:footnoteRef/>
      </w:r>
      <w:r>
        <w:t xml:space="preserve"> Ibn Khaldūn, </w:t>
      </w:r>
      <w:r w:rsidRPr="00410943">
        <w:rPr>
          <w:i/>
          <w:iCs/>
        </w:rPr>
        <w:t>Muqaddi</w:t>
      </w:r>
      <w:r>
        <w:rPr>
          <w:i/>
          <w:iCs/>
        </w:rPr>
        <w:t>m</w:t>
      </w:r>
      <w:r w:rsidRPr="00410943">
        <w:rPr>
          <w:i/>
          <w:iCs/>
        </w:rPr>
        <w:t>ah</w:t>
      </w:r>
      <w:r>
        <w:t xml:space="preserve">, vol. I, 74. </w:t>
      </w:r>
    </w:p>
  </w:footnote>
  <w:footnote w:id="348">
    <w:p w14:paraId="1291F0A7" w14:textId="005CAADD" w:rsidR="00244FB6" w:rsidRDefault="00244FB6" w:rsidP="00244FB6">
      <w:pPr>
        <w:pStyle w:val="FootnoteText"/>
        <w:ind w:firstLine="0"/>
      </w:pPr>
      <w:r>
        <w:rPr>
          <w:rStyle w:val="FootnoteReference"/>
        </w:rPr>
        <w:footnoteRef/>
      </w:r>
      <w:r>
        <w:t xml:space="preserve"> </w:t>
      </w:r>
      <w:r w:rsidR="00F055DE">
        <w:t xml:space="preserve">On the medieval reception of Galenic medical spirits </w:t>
      </w:r>
      <w:r w:rsidR="00F055DE" w:rsidRPr="00086C3E">
        <w:t xml:space="preserve">see </w:t>
      </w:r>
      <w:r w:rsidR="00A27A52" w:rsidRPr="00086C3E">
        <w:t xml:space="preserve">James J. Bono, ‘Medical Spirits and the Medieval language of Life,’ in </w:t>
      </w:r>
      <w:r w:rsidR="0064028F" w:rsidRPr="00086C3E">
        <w:rPr>
          <w:i/>
          <w:iCs/>
        </w:rPr>
        <w:t>Traditio: Studies in Ancient and Medieval History, Thought and Religion</w:t>
      </w:r>
      <w:r w:rsidR="0064028F" w:rsidRPr="00086C3E">
        <w:t>, vol. 40 (1984), 91-130.</w:t>
      </w:r>
    </w:p>
  </w:footnote>
  <w:footnote w:id="349">
    <w:p w14:paraId="03C9E068" w14:textId="77777777" w:rsidR="00244FB6" w:rsidRPr="00D9201D" w:rsidRDefault="00244FB6" w:rsidP="00244FB6">
      <w:pPr>
        <w:pStyle w:val="FootnoteText"/>
        <w:ind w:firstLine="0"/>
        <w:rPr>
          <w:lang w:val="it-IT"/>
        </w:rPr>
      </w:pPr>
      <w:r>
        <w:rPr>
          <w:rStyle w:val="FootnoteReference"/>
        </w:rPr>
        <w:footnoteRef/>
      </w:r>
      <w:r>
        <w:t xml:space="preserve"> See </w:t>
      </w:r>
      <w:r w:rsidRPr="00852AD0">
        <w:t xml:space="preserve">Geoffrey Chaucer, </w:t>
      </w:r>
      <w:r w:rsidRPr="00852AD0">
        <w:rPr>
          <w:i/>
          <w:iCs/>
        </w:rPr>
        <w:t>The Knight’s Tale</w:t>
      </w:r>
      <w:r w:rsidRPr="00852AD0">
        <w:t xml:space="preserve">, 2041-6; </w:t>
      </w:r>
      <w:r w:rsidRPr="00852AD0">
        <w:rPr>
          <w:i/>
          <w:iCs/>
        </w:rPr>
        <w:t>Troilus and Criseyde</w:t>
      </w:r>
      <w:r w:rsidRPr="00852AD0">
        <w:t>, III. 1415-21, 1429-31</w:t>
      </w:r>
      <w:r>
        <w:t xml:space="preserve">. </w:t>
      </w:r>
      <w:r w:rsidRPr="00D9201D">
        <w:rPr>
          <w:lang w:val="it-IT"/>
        </w:rPr>
        <w:t xml:space="preserve">For geomantic works written in poetry see Gianfranco Contini, </w:t>
      </w:r>
      <w:r w:rsidRPr="00D9201D">
        <w:rPr>
          <w:i/>
          <w:iCs/>
          <w:lang w:val="it-IT"/>
        </w:rPr>
        <w:t>Un poemetto provenzale di argomento geomantico</w:t>
      </w:r>
      <w:r w:rsidRPr="00D9201D">
        <w:rPr>
          <w:lang w:val="it-IT"/>
        </w:rPr>
        <w:t>. Collectanea Friburgensia Fasciculus 36 N. S. 27 (Freiburg: Libraire de l’Université, 1940); and Paul Meyer, ‘</w:t>
      </w:r>
      <w:r w:rsidRPr="00875FE6">
        <w:rPr>
          <w:lang w:val="fr-FR"/>
        </w:rPr>
        <w:t>Traités en vers provençaux sur l’astrologie et la géomancie’</w:t>
      </w:r>
      <w:r w:rsidRPr="00D9201D">
        <w:rPr>
          <w:lang w:val="it-IT"/>
        </w:rPr>
        <w:t xml:space="preserve">, in </w:t>
      </w:r>
      <w:r w:rsidRPr="00D9201D">
        <w:rPr>
          <w:i/>
          <w:iCs/>
          <w:lang w:val="it-IT"/>
        </w:rPr>
        <w:t xml:space="preserve">Romania, </w:t>
      </w:r>
      <w:r w:rsidRPr="00D9201D">
        <w:rPr>
          <w:lang w:val="it-IT"/>
        </w:rPr>
        <w:t>26 (1897),  225-275.</w:t>
      </w:r>
    </w:p>
  </w:footnote>
  <w:footnote w:id="350">
    <w:p w14:paraId="72B2AFEC"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sidRPr="00E55A54">
        <w:t>Dreams are invested with an important prophetic role also in earlier works of Dante, see</w:t>
      </w:r>
      <w:r w:rsidRPr="00D9201D">
        <w:rPr>
          <w:lang w:val="it-IT"/>
        </w:rPr>
        <w:t xml:space="preserve"> Ignazio Bertelli, ‘Visione, immaginazione e fantasia nella Vita Nuova’, in </w:t>
      </w:r>
      <w:r w:rsidRPr="00D9201D">
        <w:rPr>
          <w:i/>
          <w:iCs/>
          <w:lang w:val="it-IT"/>
        </w:rPr>
        <w:t>I sogni nel Medioevo. Seminario internazionale, Roma, 2-4 ottoble 1983</w:t>
      </w:r>
      <w:r w:rsidRPr="00D9201D">
        <w:rPr>
          <w:lang w:val="it-IT"/>
        </w:rPr>
        <w:t>, ed. by T. Gregory (Rome: Edizioni dell’Ateneo, 1985), 1-10.</w:t>
      </w:r>
    </w:p>
  </w:footnote>
  <w:footnote w:id="351">
    <w:p w14:paraId="4C13EF23" w14:textId="77777777" w:rsidR="00244FB6" w:rsidRDefault="00244FB6" w:rsidP="00244FB6">
      <w:pPr>
        <w:pStyle w:val="FootnoteText"/>
        <w:ind w:firstLine="0"/>
      </w:pPr>
      <w:r>
        <w:rPr>
          <w:rStyle w:val="FootnoteReference"/>
        </w:rPr>
        <w:footnoteRef/>
      </w:r>
      <w:r>
        <w:t xml:space="preserve"> For further information on the first dream see Warren Ginsberg, ‘Dante’s Dream of the Eagle and Jacob’s Ladder’, in  </w:t>
      </w:r>
      <w:r w:rsidRPr="008D2FA5">
        <w:rPr>
          <w:i/>
          <w:iCs/>
        </w:rPr>
        <w:t>Dante Studies, with the Annual Report of the Dante Society</w:t>
      </w:r>
      <w:r>
        <w:t>, n. 100 (1982), 41-69.</w:t>
      </w:r>
    </w:p>
  </w:footnote>
  <w:footnote w:id="352">
    <w:p w14:paraId="66D6DBCE" w14:textId="74C45D10" w:rsidR="00244FB6" w:rsidRPr="00D9201D" w:rsidRDefault="00244FB6" w:rsidP="00244FB6">
      <w:pPr>
        <w:pStyle w:val="FootnoteText"/>
        <w:ind w:firstLine="0"/>
        <w:rPr>
          <w:lang w:val="it-IT"/>
        </w:rPr>
      </w:pPr>
      <w:r>
        <w:rPr>
          <w:rStyle w:val="FootnoteReference"/>
        </w:rPr>
        <w:footnoteRef/>
      </w:r>
      <w:r w:rsidR="005C3AF0">
        <w:rPr>
          <w:lang w:val="it-IT"/>
        </w:rPr>
        <w:t xml:space="preserve"> </w:t>
      </w:r>
      <w:r w:rsidR="005C3AF0" w:rsidRPr="005C3AF0">
        <w:rPr>
          <w:lang w:val="it-IT"/>
        </w:rPr>
        <w:t xml:space="preserve">Valerio Cappozzo, ‘Libri dei sogni e geomanzia: la loro applicazione letteraria tra Islam, medioevo romanzo e Dante’, in </w:t>
      </w:r>
      <w:r w:rsidR="005C3AF0" w:rsidRPr="005C3AF0">
        <w:rPr>
          <w:i/>
          <w:iCs/>
          <w:lang w:val="it-IT"/>
        </w:rPr>
        <w:t>Dreams and Visions in the Indo-Mediterranean World, Quaderni di Studi Indo-Mediterranei,</w:t>
      </w:r>
      <w:r w:rsidR="005C3AF0" w:rsidRPr="005C3AF0">
        <w:rPr>
          <w:lang w:val="it-IT"/>
        </w:rPr>
        <w:t xml:space="preserve"> 2 (2009), 206-227</w:t>
      </w:r>
      <w:r w:rsidR="005C3AF0">
        <w:rPr>
          <w:lang w:val="it-IT"/>
        </w:rPr>
        <w:t xml:space="preserve">: </w:t>
      </w:r>
      <w:r w:rsidRPr="00D9201D">
        <w:rPr>
          <w:lang w:val="it-IT"/>
        </w:rPr>
        <w:t>217-222.</w:t>
      </w:r>
    </w:p>
  </w:footnote>
  <w:footnote w:id="353">
    <w:p w14:paraId="5BBB554F" w14:textId="6F6BCBF5"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sidR="00BC3B70">
        <w:rPr>
          <w:lang w:val="it-IT"/>
        </w:rPr>
        <w:t>Cappozzo</w:t>
      </w:r>
      <w:r w:rsidRPr="00D9201D">
        <w:rPr>
          <w:lang w:val="it-IT"/>
        </w:rPr>
        <w:t>, ‘Libri dei sogni e geomanzia</w:t>
      </w:r>
      <w:r w:rsidR="00306C0C">
        <w:rPr>
          <w:lang w:val="it-IT"/>
        </w:rPr>
        <w:t>,</w:t>
      </w:r>
      <w:r w:rsidRPr="00D9201D">
        <w:rPr>
          <w:lang w:val="it-IT"/>
        </w:rPr>
        <w:t>’</w:t>
      </w:r>
      <w:r w:rsidR="00306C0C">
        <w:rPr>
          <w:lang w:val="it-IT"/>
        </w:rPr>
        <w:t xml:space="preserve"> </w:t>
      </w:r>
      <w:r w:rsidRPr="00D9201D">
        <w:rPr>
          <w:lang w:val="it-IT"/>
        </w:rPr>
        <w:t>217.</w:t>
      </w:r>
    </w:p>
  </w:footnote>
  <w:footnote w:id="354">
    <w:p w14:paraId="3CC4B1FC"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Martino Semerano, </w:t>
      </w:r>
      <w:r w:rsidRPr="00D9201D">
        <w:rPr>
          <w:i/>
          <w:iCs/>
          <w:lang w:val="it-IT"/>
        </w:rPr>
        <w:t>Il ‘Libro dei sogni di Daniele’. Storia di un testo “proibito” nel Medioevo</w:t>
      </w:r>
      <w:r w:rsidRPr="00D9201D">
        <w:rPr>
          <w:lang w:val="it-IT"/>
        </w:rPr>
        <w:t xml:space="preserve"> (Rome: Viella, 2002).</w:t>
      </w:r>
    </w:p>
  </w:footnote>
  <w:footnote w:id="355">
    <w:p w14:paraId="60ECD4CE" w14:textId="77777777" w:rsidR="00244FB6" w:rsidRDefault="00244FB6" w:rsidP="00244FB6">
      <w:pPr>
        <w:pStyle w:val="FootnoteText"/>
        <w:ind w:firstLine="0"/>
      </w:pPr>
      <w:r>
        <w:rPr>
          <w:rStyle w:val="FootnoteReference"/>
        </w:rPr>
        <w:footnoteRef/>
      </w:r>
      <w:r>
        <w:t xml:space="preserve"> See Lorenzo Ditommaso, </w:t>
      </w:r>
      <w:r w:rsidRPr="001566D9">
        <w:rPr>
          <w:i/>
          <w:iCs/>
        </w:rPr>
        <w:t>The Book of Daniel and the Apocryphal Daniel Literature</w:t>
      </w:r>
      <w:r>
        <w:t xml:space="preserve"> (Leiden-Boston: Brill, 2005), 468-469.</w:t>
      </w:r>
    </w:p>
  </w:footnote>
  <w:footnote w:id="356">
    <w:p w14:paraId="78ACCEE1" w14:textId="0B3C1948"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sidRPr="00C46CB0">
        <w:t>Deuteronomy</w:t>
      </w:r>
      <w:r w:rsidRPr="00D9201D">
        <w:rPr>
          <w:lang w:val="it-IT"/>
        </w:rPr>
        <w:t xml:space="preserve"> 18:9-12: </w:t>
      </w:r>
      <w:r>
        <w:rPr>
          <w:lang w:val="it-IT"/>
        </w:rPr>
        <w:t>“</w:t>
      </w:r>
      <w:r w:rsidRPr="00D9201D">
        <w:rPr>
          <w:lang w:val="it-IT"/>
        </w:rPr>
        <w:t>Quando ingressus fueris terram quam Dominus Deus tuus dabit tibi cave ne imitari velis abominationes illarum gentium / nec inveniatur in te ... qui arioles sciscitetur et observet somnia atque auguria ne sit maleficus / ne incantator ne pythones consulat ne divinos et quaerat a mortuis veritatem / omnia enim haec abominatur Dominus</w:t>
      </w:r>
      <w:r w:rsidR="001F5738">
        <w:rPr>
          <w:lang w:val="it-IT"/>
        </w:rPr>
        <w:t>.</w:t>
      </w:r>
      <w:r>
        <w:rPr>
          <w:lang w:val="it-IT"/>
        </w:rPr>
        <w:t>”</w:t>
      </w:r>
    </w:p>
  </w:footnote>
  <w:footnote w:id="357">
    <w:p w14:paraId="18898B19"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Semerano, </w:t>
      </w:r>
      <w:r w:rsidRPr="00D9201D">
        <w:rPr>
          <w:i/>
          <w:iCs/>
          <w:lang w:val="it-IT"/>
        </w:rPr>
        <w:t>Il ‘Libro dei sogni di Daniele’</w:t>
      </w:r>
      <w:r w:rsidRPr="00D9201D">
        <w:rPr>
          <w:lang w:val="it-IT"/>
        </w:rPr>
        <w:t>, 12-13.</w:t>
      </w:r>
    </w:p>
  </w:footnote>
  <w:footnote w:id="358">
    <w:p w14:paraId="6FA9ED36"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Pr>
          <w:lang w:val="it-IT"/>
        </w:rPr>
        <w:t>Artemidorus Daldianus</w:t>
      </w:r>
      <w:r w:rsidRPr="00D9201D">
        <w:rPr>
          <w:lang w:val="it-IT"/>
        </w:rPr>
        <w:t xml:space="preserve">, </w:t>
      </w:r>
      <w:r w:rsidRPr="00D9201D">
        <w:rPr>
          <w:i/>
          <w:iCs/>
          <w:lang w:val="it-IT"/>
        </w:rPr>
        <w:t>Libro dei sogni</w:t>
      </w:r>
      <w:r w:rsidRPr="00D9201D">
        <w:rPr>
          <w:lang w:val="it-IT"/>
        </w:rPr>
        <w:t>, ed. by D. Del Corno (Milan: Adelphi Edizioni, 1975), I 2, 7.</w:t>
      </w:r>
    </w:p>
  </w:footnote>
  <w:footnote w:id="359">
    <w:p w14:paraId="64FE141F"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Artemidor</w:t>
      </w:r>
      <w:r>
        <w:rPr>
          <w:lang w:val="it-IT"/>
        </w:rPr>
        <w:t>us</w:t>
      </w:r>
      <w:r w:rsidRPr="00D9201D">
        <w:rPr>
          <w:lang w:val="it-IT"/>
        </w:rPr>
        <w:t xml:space="preserve">, </w:t>
      </w:r>
      <w:r w:rsidRPr="00D9201D">
        <w:rPr>
          <w:i/>
          <w:iCs/>
          <w:lang w:val="it-IT"/>
        </w:rPr>
        <w:t>Libro dei sogni</w:t>
      </w:r>
      <w:r w:rsidRPr="00D9201D">
        <w:rPr>
          <w:lang w:val="it-IT"/>
        </w:rPr>
        <w:t xml:space="preserve">, XXXII. </w:t>
      </w:r>
    </w:p>
  </w:footnote>
  <w:footnote w:id="360">
    <w:p w14:paraId="0256CB7F" w14:textId="77777777" w:rsidR="00244FB6" w:rsidRDefault="00244FB6" w:rsidP="00244FB6">
      <w:pPr>
        <w:pStyle w:val="FootnoteText"/>
        <w:ind w:firstLine="0"/>
      </w:pPr>
      <w:r>
        <w:rPr>
          <w:rStyle w:val="FootnoteReference"/>
        </w:rPr>
        <w:footnoteRef/>
      </w:r>
      <w:r>
        <w:t xml:space="preserve"> Aristotle, </w:t>
      </w:r>
      <w:r w:rsidRPr="00BE6AA0">
        <w:rPr>
          <w:i/>
          <w:iCs/>
        </w:rPr>
        <w:t>De insomniis et De divinatione per somnum</w:t>
      </w:r>
      <w:r>
        <w:t xml:space="preserve">, ed. by </w:t>
      </w:r>
      <w:r w:rsidRPr="003B40E5">
        <w:t>D</w:t>
      </w:r>
      <w:r>
        <w:t xml:space="preserve">. </w:t>
      </w:r>
      <w:r w:rsidRPr="003B40E5">
        <w:t>Lulofs</w:t>
      </w:r>
      <w:r>
        <w:t xml:space="preserve"> (Leiden: Brill, 1947); Filip Radovic, ‘Aristotle on Signs in Sleep: Natural Signification and Dream Interpretation’, </w:t>
      </w:r>
      <w:r w:rsidRPr="00B903FB">
        <w:t>in</w:t>
      </w:r>
      <w:r w:rsidRPr="003B40E5">
        <w:rPr>
          <w:i/>
          <w:iCs/>
        </w:rPr>
        <w:t xml:space="preserve"> Forms of Representation in the Aristotelian Tradition. </w:t>
      </w:r>
      <w:r w:rsidRPr="003B40E5">
        <w:t>Vol</w:t>
      </w:r>
      <w:r>
        <w:t xml:space="preserve">. II, ed. by </w:t>
      </w:r>
      <w:r w:rsidRPr="003B40E5">
        <w:t>C</w:t>
      </w:r>
      <w:r>
        <w:t>.</w:t>
      </w:r>
      <w:r w:rsidRPr="003B40E5">
        <w:t xml:space="preserve"> Thomsen Thörnqvist and J</w:t>
      </w:r>
      <w:r>
        <w:t>.</w:t>
      </w:r>
      <w:r w:rsidRPr="003B40E5">
        <w:t xml:space="preserve"> Toivanen</w:t>
      </w:r>
      <w:r>
        <w:t xml:space="preserve"> (Leiden: Brill, 2022), 61-87.</w:t>
      </w:r>
    </w:p>
  </w:footnote>
  <w:footnote w:id="361">
    <w:p w14:paraId="56C97FA2" w14:textId="5A7B0A04" w:rsidR="00244FB6" w:rsidRPr="00D9201D" w:rsidRDefault="00244FB6" w:rsidP="00244FB6">
      <w:pPr>
        <w:pStyle w:val="FootnoteText"/>
        <w:ind w:firstLine="0"/>
        <w:rPr>
          <w:lang w:val="it-IT"/>
        </w:rPr>
      </w:pPr>
      <w:r>
        <w:rPr>
          <w:rStyle w:val="FootnoteReference"/>
        </w:rPr>
        <w:footnoteRef/>
      </w:r>
      <w:r w:rsidRPr="00D9201D">
        <w:rPr>
          <w:lang w:val="it-IT"/>
        </w:rPr>
        <w:t xml:space="preserve"> Marta Fattori, ‘Sogni e Temperamenti’, in </w:t>
      </w:r>
      <w:r w:rsidRPr="00D9201D">
        <w:rPr>
          <w:i/>
          <w:iCs/>
          <w:lang w:val="it-IT"/>
        </w:rPr>
        <w:t>I sogni nel Medioevo. Seminario internazionale, Roma, 2-4 ottob</w:t>
      </w:r>
      <w:r>
        <w:rPr>
          <w:i/>
          <w:iCs/>
          <w:lang w:val="it-IT"/>
        </w:rPr>
        <w:t>r</w:t>
      </w:r>
      <w:r w:rsidRPr="00D9201D">
        <w:rPr>
          <w:i/>
          <w:iCs/>
          <w:lang w:val="it-IT"/>
        </w:rPr>
        <w:t>e 1983</w:t>
      </w:r>
      <w:r w:rsidRPr="00D9201D">
        <w:rPr>
          <w:lang w:val="it-IT"/>
        </w:rPr>
        <w:t>, ed. by T. Gregory (Rome: Edizioni dell’Ateneo, 1985),</w:t>
      </w:r>
      <w:r w:rsidR="00DE7FF6">
        <w:rPr>
          <w:lang w:val="it-IT"/>
        </w:rPr>
        <w:t xml:space="preserve"> </w:t>
      </w:r>
      <w:r w:rsidRPr="00D9201D">
        <w:rPr>
          <w:lang w:val="it-IT"/>
        </w:rPr>
        <w:t>87-109:88-90.</w:t>
      </w:r>
    </w:p>
  </w:footnote>
  <w:footnote w:id="362">
    <w:p w14:paraId="0B32420C" w14:textId="77777777" w:rsidR="00244FB6" w:rsidRDefault="00244FB6" w:rsidP="00244FB6">
      <w:pPr>
        <w:pStyle w:val="FootnoteText"/>
        <w:ind w:firstLine="0"/>
      </w:pPr>
      <w:r>
        <w:rPr>
          <w:rStyle w:val="FootnoteReference"/>
        </w:rPr>
        <w:footnoteRef/>
      </w:r>
      <w:r>
        <w:t xml:space="preserve"> Steven K. Kruger, </w:t>
      </w:r>
      <w:r w:rsidRPr="00B33769">
        <w:rPr>
          <w:i/>
          <w:iCs/>
        </w:rPr>
        <w:t>Dreaming in the Middle Ages</w:t>
      </w:r>
      <w:r>
        <w:t xml:space="preserve"> (Cambridge: Cambridge University Press, 1992), 81. </w:t>
      </w:r>
    </w:p>
  </w:footnote>
  <w:footnote w:id="363">
    <w:p w14:paraId="221C88D3" w14:textId="258598E0" w:rsidR="00244FB6" w:rsidRPr="00D9201D" w:rsidRDefault="00244FB6" w:rsidP="00244FB6">
      <w:pPr>
        <w:pStyle w:val="FootnoteText"/>
        <w:ind w:firstLine="0"/>
        <w:rPr>
          <w:lang w:val="it-IT"/>
        </w:rPr>
      </w:pPr>
      <w:r>
        <w:rPr>
          <w:rStyle w:val="FootnoteReference"/>
        </w:rPr>
        <w:footnoteRef/>
      </w:r>
      <w:r w:rsidRPr="00D9201D">
        <w:rPr>
          <w:lang w:val="it-IT"/>
        </w:rPr>
        <w:t xml:space="preserve"> Fattori, ‘Sogni e Temperamenti</w:t>
      </w:r>
      <w:r w:rsidR="002F042E">
        <w:rPr>
          <w:lang w:val="it-IT"/>
        </w:rPr>
        <w:t>,</w:t>
      </w:r>
      <w:r w:rsidRPr="00D9201D">
        <w:rPr>
          <w:lang w:val="it-IT"/>
        </w:rPr>
        <w:t>’ 91.</w:t>
      </w:r>
    </w:p>
  </w:footnote>
  <w:footnote w:id="364">
    <w:p w14:paraId="3BB9BE8D" w14:textId="57D32734" w:rsidR="00244FB6" w:rsidRPr="00D9201D" w:rsidRDefault="00244FB6" w:rsidP="00244FB6">
      <w:pPr>
        <w:pStyle w:val="FootnoteText"/>
        <w:ind w:firstLine="0"/>
        <w:rPr>
          <w:lang w:val="it-IT"/>
        </w:rPr>
      </w:pPr>
      <w:r>
        <w:rPr>
          <w:rStyle w:val="FootnoteReference"/>
        </w:rPr>
        <w:footnoteRef/>
      </w:r>
      <w:r w:rsidRPr="00D9201D">
        <w:rPr>
          <w:lang w:val="it-IT"/>
        </w:rPr>
        <w:t xml:space="preserve"> See Tullio Gregory, ‘I cieli, il tempo, la storia</w:t>
      </w:r>
      <w:r w:rsidR="00C9553E">
        <w:rPr>
          <w:lang w:val="it-IT"/>
        </w:rPr>
        <w:t>,</w:t>
      </w:r>
      <w:r w:rsidRPr="00D9201D">
        <w:rPr>
          <w:lang w:val="it-IT"/>
        </w:rPr>
        <w:t xml:space="preserve">’ in </w:t>
      </w:r>
      <w:r w:rsidRPr="00CE059F">
        <w:rPr>
          <w:i/>
          <w:iCs/>
          <w:lang w:val="it-IT"/>
        </w:rPr>
        <w:t>Speculum Naturale</w:t>
      </w:r>
      <w:r w:rsidRPr="00D9201D">
        <w:rPr>
          <w:lang w:val="it-IT"/>
        </w:rPr>
        <w:t xml:space="preserve">. </w:t>
      </w:r>
      <w:r w:rsidRPr="00C9553E">
        <w:rPr>
          <w:i/>
          <w:iCs/>
          <w:lang w:val="it-IT"/>
        </w:rPr>
        <w:t>Percorsi del pensiero medievale</w:t>
      </w:r>
      <w:r w:rsidRPr="00D9201D">
        <w:rPr>
          <w:lang w:val="it-IT"/>
        </w:rPr>
        <w:t xml:space="preserve"> (Rome: Edizioni di Storia e Letteratura, 2007) 69-91. In the same volume, see ‘Riscoperta della natura e nuove scienze nel secolo XII’, 15-33; and ‘Natura e </w:t>
      </w:r>
      <w:r w:rsidRPr="00D9201D">
        <w:rPr>
          <w:i/>
          <w:iCs/>
          <w:lang w:val="it-IT"/>
        </w:rPr>
        <w:t>qualitas planetarum</w:t>
      </w:r>
      <w:r w:rsidRPr="00D9201D">
        <w:rPr>
          <w:lang w:val="it-IT"/>
        </w:rPr>
        <w:t>’, 47-68.</w:t>
      </w:r>
    </w:p>
  </w:footnote>
  <w:footnote w:id="365">
    <w:p w14:paraId="5FCFEE07" w14:textId="4B57CC43" w:rsidR="00244FB6" w:rsidRPr="00D9201D" w:rsidRDefault="00244FB6" w:rsidP="00244FB6">
      <w:pPr>
        <w:pStyle w:val="FootnoteText"/>
        <w:ind w:firstLine="0"/>
        <w:rPr>
          <w:lang w:val="it-IT"/>
        </w:rPr>
      </w:pPr>
      <w:r>
        <w:rPr>
          <w:rStyle w:val="FootnoteReference"/>
        </w:rPr>
        <w:footnoteRef/>
      </w:r>
      <w:r w:rsidRPr="00D9201D">
        <w:rPr>
          <w:lang w:val="it-IT"/>
        </w:rPr>
        <w:t xml:space="preserve"> Tullio Gregory, ‘I sogni e gli astri’, in </w:t>
      </w:r>
      <w:r w:rsidRPr="00D9201D">
        <w:rPr>
          <w:i/>
          <w:iCs/>
          <w:lang w:val="it-IT"/>
        </w:rPr>
        <w:t xml:space="preserve">Mundana Sapientia </w:t>
      </w:r>
      <w:r w:rsidRPr="00D9201D">
        <w:rPr>
          <w:lang w:val="it-IT"/>
        </w:rPr>
        <w:t>(1992), 352-353.</w:t>
      </w:r>
    </w:p>
  </w:footnote>
  <w:footnote w:id="366">
    <w:p w14:paraId="46EB7555" w14:textId="59A5C3DC"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sidR="00BC3B70">
        <w:rPr>
          <w:lang w:val="it-IT"/>
        </w:rPr>
        <w:t>Cappozzo</w:t>
      </w:r>
      <w:r w:rsidRPr="00D9201D">
        <w:rPr>
          <w:lang w:val="it-IT"/>
        </w:rPr>
        <w:t>, ‘Libri dei sogni e geomanzia</w:t>
      </w:r>
      <w:r w:rsidR="00C9553E">
        <w:rPr>
          <w:lang w:val="it-IT"/>
        </w:rPr>
        <w:t>,</w:t>
      </w:r>
      <w:r w:rsidRPr="00D9201D">
        <w:rPr>
          <w:lang w:val="it-IT"/>
        </w:rPr>
        <w:t>’209.</w:t>
      </w:r>
    </w:p>
  </w:footnote>
  <w:footnote w:id="367">
    <w:p w14:paraId="52012235" w14:textId="77777777" w:rsidR="00244FB6" w:rsidRPr="00D9201D" w:rsidRDefault="00244FB6" w:rsidP="00244FB6">
      <w:pPr>
        <w:pStyle w:val="FootnoteText"/>
        <w:ind w:firstLine="0"/>
        <w:rPr>
          <w:lang w:val="it-IT"/>
        </w:rPr>
      </w:pPr>
      <w:r>
        <w:rPr>
          <w:rStyle w:val="FootnoteReference"/>
        </w:rPr>
        <w:footnoteRef/>
      </w:r>
      <w:r w:rsidRPr="00D9201D">
        <w:rPr>
          <w:lang w:val="it-IT"/>
        </w:rPr>
        <w:t xml:space="preserve"> Gregory, ‘I sogni e gli astri’</w:t>
      </w:r>
      <w:r>
        <w:rPr>
          <w:lang w:val="it-IT"/>
        </w:rPr>
        <w:t>(1992)</w:t>
      </w:r>
      <w:r w:rsidRPr="00D9201D">
        <w:rPr>
          <w:lang w:val="it-IT"/>
        </w:rPr>
        <w:t>, 353.</w:t>
      </w:r>
    </w:p>
  </w:footnote>
  <w:footnote w:id="368">
    <w:p w14:paraId="108A2D6A" w14:textId="172444D4" w:rsidR="00244FB6" w:rsidRPr="00D9201D" w:rsidRDefault="00244FB6" w:rsidP="00244FB6">
      <w:pPr>
        <w:pStyle w:val="FootnoteText"/>
        <w:ind w:firstLine="0"/>
        <w:rPr>
          <w:lang w:val="it-IT"/>
        </w:rPr>
      </w:pPr>
      <w:r>
        <w:rPr>
          <w:rStyle w:val="FootnoteReference"/>
        </w:rPr>
        <w:footnoteRef/>
      </w:r>
      <w:r w:rsidRPr="00D9201D">
        <w:rPr>
          <w:lang w:val="it-IT"/>
        </w:rPr>
        <w:t xml:space="preserve"> </w:t>
      </w:r>
      <w:r w:rsidR="00533D10">
        <w:rPr>
          <w:lang w:val="it-IT"/>
        </w:rPr>
        <w:t xml:space="preserve">Marta </w:t>
      </w:r>
      <w:r w:rsidRPr="00D9201D">
        <w:rPr>
          <w:lang w:val="it-IT"/>
        </w:rPr>
        <w:t xml:space="preserve">Fattori, ‘Sogni e </w:t>
      </w:r>
      <w:r w:rsidR="00EC39B9">
        <w:rPr>
          <w:lang w:val="it-IT"/>
        </w:rPr>
        <w:t>t</w:t>
      </w:r>
      <w:r w:rsidRPr="00D9201D">
        <w:rPr>
          <w:lang w:val="it-IT"/>
        </w:rPr>
        <w:t>emperamenti’</w:t>
      </w:r>
      <w:r w:rsidR="00533D10">
        <w:rPr>
          <w:lang w:val="it-IT"/>
        </w:rPr>
        <w:t xml:space="preserve"> </w:t>
      </w:r>
      <w:r w:rsidR="00EC39B9">
        <w:rPr>
          <w:lang w:val="it-IT"/>
        </w:rPr>
        <w:t>(</w:t>
      </w:r>
      <w:r>
        <w:rPr>
          <w:lang w:val="it-IT"/>
        </w:rPr>
        <w:t>1985)</w:t>
      </w:r>
      <w:r w:rsidRPr="00D9201D">
        <w:rPr>
          <w:lang w:val="it-IT"/>
        </w:rPr>
        <w:t>,</w:t>
      </w:r>
      <w:r w:rsidR="00EC39B9">
        <w:rPr>
          <w:lang w:val="it-IT"/>
        </w:rPr>
        <w:t xml:space="preserve"> </w:t>
      </w:r>
      <w:r w:rsidRPr="00D9201D">
        <w:rPr>
          <w:lang w:val="it-IT"/>
        </w:rPr>
        <w:t xml:space="preserve">93-99; For the critical edition of Pascalis Romanus’s text see  Simone Collin-Roset, ‘Le “Liber thesauri occulti” de Pascalis Romanus (un traité d’interprétation des songes du xii e siècle)’, in </w:t>
      </w:r>
      <w:r w:rsidRPr="00D9201D">
        <w:rPr>
          <w:i/>
          <w:iCs/>
          <w:lang w:val="it-IT"/>
        </w:rPr>
        <w:t>Archives d'histoire doctrinale et littéraire du Moyen Age</w:t>
      </w:r>
      <w:r w:rsidRPr="00D9201D">
        <w:rPr>
          <w:lang w:val="it-IT"/>
        </w:rPr>
        <w:t>, Vol. 30 (Paris: Librairie Philosophique J. Vrin, 1963), 111-198.</w:t>
      </w:r>
    </w:p>
  </w:footnote>
  <w:footnote w:id="369">
    <w:p w14:paraId="1FFCED0A" w14:textId="77777777" w:rsidR="00244FB6" w:rsidRDefault="00244FB6" w:rsidP="00244FB6">
      <w:pPr>
        <w:pStyle w:val="FootnoteText"/>
        <w:ind w:firstLine="0"/>
      </w:pPr>
      <w:r>
        <w:rPr>
          <w:rStyle w:val="FootnoteReference"/>
        </w:rPr>
        <w:footnoteRef/>
      </w:r>
      <w:r>
        <w:t xml:space="preserve"> For additional information on the thirteenth-century theories of oneirocritic see Kruger, </w:t>
      </w:r>
      <w:r w:rsidRPr="0066255B">
        <w:rPr>
          <w:i/>
          <w:iCs/>
        </w:rPr>
        <w:t xml:space="preserve">Dreaming in the Middle Ages </w:t>
      </w:r>
      <w:r>
        <w:t>(1992), esp. 83-122.</w:t>
      </w:r>
    </w:p>
  </w:footnote>
  <w:footnote w:id="370">
    <w:p w14:paraId="451E4E95" w14:textId="4785FF45" w:rsidR="00244FB6" w:rsidRDefault="00244FB6" w:rsidP="00244FB6">
      <w:pPr>
        <w:pStyle w:val="FootnoteText"/>
        <w:ind w:firstLine="0"/>
      </w:pPr>
      <w:r>
        <w:rPr>
          <w:rStyle w:val="FootnoteReference"/>
        </w:rPr>
        <w:footnoteRef/>
      </w:r>
      <w:r>
        <w:t xml:space="preserve"> “Diviners (</w:t>
      </w:r>
      <w:r w:rsidRPr="008F5122">
        <w:rPr>
          <w:i/>
          <w:iCs/>
        </w:rPr>
        <w:t>divinus</w:t>
      </w:r>
      <w:r>
        <w:t>) are so named, as if the term were ‘filled with god’ (</w:t>
      </w:r>
      <w:r w:rsidRPr="008F5122">
        <w:rPr>
          <w:i/>
          <w:iCs/>
        </w:rPr>
        <w:t>deo plenus</w:t>
      </w:r>
      <w:r>
        <w:t>), for they pretend to be filled with divine inspiration, and with a certain deceitful cunning they forecast what is to come for people</w:t>
      </w:r>
      <w:r w:rsidR="00A31A95">
        <w:t>.</w:t>
      </w:r>
      <w:r>
        <w:t xml:space="preserve">” In </w:t>
      </w:r>
      <w:r w:rsidRPr="00ED017B">
        <w:rPr>
          <w:i/>
          <w:iCs/>
        </w:rPr>
        <w:t>The Etymologies of Isidore of Seville</w:t>
      </w:r>
      <w:r>
        <w:t>, ed by. S. A.</w:t>
      </w:r>
      <w:r w:rsidRPr="008F5122">
        <w:t xml:space="preserve"> </w:t>
      </w:r>
      <w:r>
        <w:t xml:space="preserve">Barney, W.J. Lewis, J. A. Beach, O. Berghof (Cambridge: Cambridge University Press, 2006), </w:t>
      </w:r>
      <w:r w:rsidRPr="008F5122">
        <w:t>VIII.ix.7–ix.24</w:t>
      </w:r>
      <w:r>
        <w:t xml:space="preserve">, </w:t>
      </w:r>
      <w:r w:rsidRPr="008F5122">
        <w:t>182</w:t>
      </w:r>
      <w:r>
        <w:t xml:space="preserve">. </w:t>
      </w:r>
    </w:p>
  </w:footnote>
  <w:footnote w:id="371">
    <w:p w14:paraId="36B97B94" w14:textId="45756605" w:rsidR="00244FB6" w:rsidRPr="00AF5652" w:rsidRDefault="00244FB6" w:rsidP="00244FB6">
      <w:pPr>
        <w:pStyle w:val="FootnoteText"/>
        <w:ind w:firstLine="0"/>
      </w:pPr>
      <w:r>
        <w:rPr>
          <w:rStyle w:val="FootnoteReference"/>
        </w:rPr>
        <w:footnoteRef/>
      </w:r>
      <w:r>
        <w:t xml:space="preserve"> “Consequently, this foolery of the magic arts held sway over the entire world for many centuries through the instruction of the evil angels. By a certain knowledge of things to come and of things below, and by invoking them, divinations (</w:t>
      </w:r>
      <w:r w:rsidRPr="00AF5652">
        <w:rPr>
          <w:i/>
          <w:iCs/>
        </w:rPr>
        <w:t>aruspicium</w:t>
      </w:r>
      <w:r>
        <w:t>) were invented, and auguries (</w:t>
      </w:r>
      <w:r w:rsidRPr="00AF5652">
        <w:rPr>
          <w:i/>
          <w:iCs/>
        </w:rPr>
        <w:t>auguratio</w:t>
      </w:r>
      <w:r>
        <w:t>), and those things that are called oracles (</w:t>
      </w:r>
      <w:r w:rsidRPr="00AF5652">
        <w:rPr>
          <w:i/>
          <w:iCs/>
        </w:rPr>
        <w:t>oraculum</w:t>
      </w:r>
      <w:r>
        <w:t>) and necromancy (</w:t>
      </w:r>
      <w:r w:rsidRPr="00AF5652">
        <w:rPr>
          <w:i/>
          <w:iCs/>
        </w:rPr>
        <w:t>necromanti</w:t>
      </w:r>
      <w:r w:rsidR="00787D18">
        <w:rPr>
          <w:i/>
          <w:iCs/>
        </w:rPr>
        <w:t>a</w:t>
      </w:r>
      <w:r>
        <w:t xml:space="preserve">).” In </w:t>
      </w:r>
      <w:r w:rsidRPr="00ED017B">
        <w:rPr>
          <w:i/>
          <w:iCs/>
        </w:rPr>
        <w:t>The Etymologies of Isidore of Seville</w:t>
      </w:r>
      <w:r>
        <w:rPr>
          <w:i/>
          <w:iCs/>
        </w:rPr>
        <w:t xml:space="preserve">, </w:t>
      </w:r>
      <w:r w:rsidRPr="00AF5652">
        <w:t>VIII.vii.9–ix.6</w:t>
      </w:r>
      <w:r>
        <w:t>,</w:t>
      </w:r>
      <w:r w:rsidRPr="00AF5652">
        <w:t xml:space="preserve"> 181</w:t>
      </w:r>
      <w:r>
        <w:t>.</w:t>
      </w:r>
    </w:p>
  </w:footnote>
  <w:footnote w:id="372">
    <w:p w14:paraId="04C6A141" w14:textId="77777777" w:rsidR="00244FB6" w:rsidRDefault="00244FB6" w:rsidP="00244FB6">
      <w:pPr>
        <w:pStyle w:val="FootnoteText"/>
        <w:ind w:firstLine="0"/>
      </w:pPr>
      <w:r>
        <w:rPr>
          <w:rStyle w:val="FootnoteReference"/>
        </w:rPr>
        <w:footnoteRef/>
      </w:r>
      <w:r>
        <w:t xml:space="preserve"> Alexander Fidora, ‘Divination and Scientific Prediction. The Epistemology of Prognostic Sciences in Medieval Europe’, in </w:t>
      </w:r>
      <w:r w:rsidRPr="000D4BD5">
        <w:rPr>
          <w:i/>
          <w:iCs/>
        </w:rPr>
        <w:t>Early Science and Medicine</w:t>
      </w:r>
      <w:r>
        <w:t xml:space="preserve">, Vol. 18, no. 6 (2013), 517-535. </w:t>
      </w:r>
    </w:p>
  </w:footnote>
  <w:footnote w:id="373">
    <w:p w14:paraId="5324EED6" w14:textId="79E6B0E5" w:rsidR="00244FB6" w:rsidRDefault="00244FB6" w:rsidP="00D72F5A">
      <w:pPr>
        <w:pStyle w:val="FootnoteText"/>
        <w:ind w:firstLine="0"/>
      </w:pPr>
      <w:r>
        <w:rPr>
          <w:rStyle w:val="FootnoteReference"/>
        </w:rPr>
        <w:footnoteRef/>
      </w:r>
      <w:r>
        <w:t xml:space="preserve">  Dominicus Gundissalinus, </w:t>
      </w:r>
      <w:r w:rsidRPr="005F66D2">
        <w:rPr>
          <w:i/>
          <w:iCs/>
        </w:rPr>
        <w:t>De divisione philosophie</w:t>
      </w:r>
      <w:r w:rsidR="00D72F5A">
        <w:rPr>
          <w:i/>
          <w:iCs/>
        </w:rPr>
        <w:t xml:space="preserve">, </w:t>
      </w:r>
      <w:r w:rsidR="00D72F5A" w:rsidRPr="00D72F5A">
        <w:t>ed.</w:t>
      </w:r>
      <w:r w:rsidR="00D72F5A">
        <w:rPr>
          <w:i/>
          <w:iCs/>
        </w:rPr>
        <w:t xml:space="preserve"> </w:t>
      </w:r>
      <w:r>
        <w:t>by A. Fidora and D. Werner (2007), 228: “Quid autem ipsa sit, sic definitur: Astronomia est scientia, quae cursus et positionem stellarum secundum hominum opinionem describit ad temporum notitiam</w:t>
      </w:r>
      <w:r w:rsidR="000B3172">
        <w:t>.</w:t>
      </w:r>
      <w:r>
        <w:t>”</w:t>
      </w:r>
    </w:p>
  </w:footnote>
  <w:footnote w:id="374">
    <w:p w14:paraId="4AEB78BC" w14:textId="2A309F1D" w:rsidR="00244FB6" w:rsidRDefault="00244FB6" w:rsidP="00244FB6">
      <w:pPr>
        <w:pStyle w:val="FootnoteText"/>
        <w:ind w:firstLine="0"/>
      </w:pPr>
      <w:r>
        <w:rPr>
          <w:rStyle w:val="FootnoteReference"/>
        </w:rPr>
        <w:footnoteRef/>
      </w:r>
      <w:r>
        <w:t xml:space="preserve"> Fidora, ‘Divination and Scientific Prediction</w:t>
      </w:r>
      <w:r w:rsidR="00D624DF">
        <w:t>,</w:t>
      </w:r>
      <w:r>
        <w:t>’ 523.</w:t>
      </w:r>
    </w:p>
  </w:footnote>
  <w:footnote w:id="375">
    <w:p w14:paraId="46839AD7" w14:textId="47DAB0F2" w:rsidR="00244FB6" w:rsidRDefault="00244FB6" w:rsidP="00244FB6">
      <w:pPr>
        <w:pStyle w:val="FootnoteText"/>
        <w:ind w:firstLine="0"/>
      </w:pPr>
      <w:r>
        <w:rPr>
          <w:rStyle w:val="FootnoteReference"/>
        </w:rPr>
        <w:footnoteRef/>
      </w:r>
      <w:r>
        <w:t xml:space="preserve"> Fidora, ‘Divination and Scientific Prediction</w:t>
      </w:r>
      <w:r w:rsidR="00D624DF">
        <w:t>,</w:t>
      </w:r>
      <w:r>
        <w:t>’ 525.</w:t>
      </w:r>
    </w:p>
  </w:footnote>
  <w:footnote w:id="376">
    <w:p w14:paraId="41D7FC14" w14:textId="22292E3A" w:rsidR="00244FB6" w:rsidRDefault="00244FB6" w:rsidP="00244FB6">
      <w:pPr>
        <w:pStyle w:val="FootnoteText"/>
        <w:ind w:firstLine="0"/>
      </w:pPr>
      <w:r>
        <w:rPr>
          <w:rStyle w:val="FootnoteReference"/>
        </w:rPr>
        <w:footnoteRef/>
      </w:r>
      <w:r>
        <w:t xml:space="preserve"> Guillelmus de Morbeca, </w:t>
      </w:r>
      <w:r w:rsidRPr="00ED4AFA">
        <w:rPr>
          <w:i/>
          <w:iCs/>
        </w:rPr>
        <w:t>Geomantia</w:t>
      </w:r>
      <w:r>
        <w:t xml:space="preserve">, </w:t>
      </w:r>
      <w:r w:rsidR="00121487" w:rsidRPr="00121487">
        <w:rPr>
          <w:i/>
          <w:iCs/>
        </w:rPr>
        <w:t>I-IV, 4,</w:t>
      </w:r>
      <w:r w:rsidR="00121487">
        <w:t xml:space="preserve"> </w:t>
      </w:r>
      <w:r>
        <w:t xml:space="preserve">5.2, K f. 31ra: “Unde cum anima sit ignee nature et ex angelica natura causata sine forma sine materia intellectus et sapientie ex subtilitate creationis sue et nobilitate ascendit ad superiora, cui celestia influunt sapientiam et intellectum, ut mediante inferiore motu per vestigium arene comprehendat et det in intelligere corpori, per dispositionem impressionis quod fuit occultum apparet.” The fact that in the </w:t>
      </w:r>
      <w:r w:rsidRPr="00ED4AFA">
        <w:rPr>
          <w:i/>
          <w:iCs/>
        </w:rPr>
        <w:t>Geomantia</w:t>
      </w:r>
      <w:r>
        <w:t xml:space="preserve"> divine inspiration plays an important role, which differentiates this text from other Latin geomantic sources has already been pointed out by Alessandra Beccarisi in her introduction to the edition of the </w:t>
      </w:r>
      <w:r w:rsidRPr="00ED4AFA">
        <w:rPr>
          <w:i/>
          <w:iCs/>
        </w:rPr>
        <w:t>Geomantia</w:t>
      </w:r>
      <w:r>
        <w:t>,</w:t>
      </w:r>
      <w:r w:rsidR="00121487" w:rsidRPr="00121487">
        <w:rPr>
          <w:i/>
          <w:iCs/>
        </w:rPr>
        <w:t xml:space="preserve"> I-IV, 4</w:t>
      </w:r>
      <w:r>
        <w:t xml:space="preserve"> see pages XIX-XXII.</w:t>
      </w:r>
    </w:p>
  </w:footnote>
  <w:footnote w:id="377">
    <w:p w14:paraId="7D36DEC7" w14:textId="6F0A97C5" w:rsidR="00244FB6" w:rsidRDefault="00244FB6" w:rsidP="00244FB6">
      <w:pPr>
        <w:pStyle w:val="FootnoteText"/>
        <w:ind w:firstLine="0"/>
      </w:pPr>
      <w:r>
        <w:rPr>
          <w:rStyle w:val="FootnoteReference"/>
        </w:rPr>
        <w:footnoteRef/>
      </w:r>
      <w:r>
        <w:t xml:space="preserve">  </w:t>
      </w:r>
      <w:r w:rsidRPr="00AB350D">
        <w:rPr>
          <w:i/>
          <w:iCs/>
        </w:rPr>
        <w:t>Fasciculus geomanticus: in quo varia variorum opera geomantica continentur. Opus maxim</w:t>
      </w:r>
      <w:r>
        <w:rPr>
          <w:i/>
          <w:iCs/>
        </w:rPr>
        <w:t>e</w:t>
      </w:r>
      <w:r w:rsidRPr="00AB350D">
        <w:rPr>
          <w:i/>
          <w:iCs/>
        </w:rPr>
        <w:t xml:space="preserve"> curiosum, à multis hactenus desideratum / nunc verò magno studio correctum &amp; ex parte iam prima vice editum</w:t>
      </w:r>
      <w:r>
        <w:t xml:space="preserve"> (G</w:t>
      </w:r>
      <w:r w:rsidRPr="001A1D9B">
        <w:t>eomantic file: in which are contained various geomantic works. A most curious work, hitherto longed for by many / now corrected with great diligence and partly published for the first time</w:t>
      </w:r>
      <w:r>
        <w:t>) (Verona, 1687).</w:t>
      </w:r>
    </w:p>
  </w:footnote>
  <w:footnote w:id="378">
    <w:p w14:paraId="3D0D80BD" w14:textId="72280F15" w:rsidR="00244FB6" w:rsidRDefault="00244FB6" w:rsidP="00244FB6">
      <w:pPr>
        <w:pStyle w:val="FootnoteText"/>
        <w:ind w:firstLine="0"/>
      </w:pPr>
      <w:r>
        <w:rPr>
          <w:rStyle w:val="FootnoteReference"/>
        </w:rPr>
        <w:footnoteRef/>
      </w:r>
      <w:r>
        <w:t xml:space="preserve"> Hannah Schlimpen,</w:t>
      </w:r>
      <w:r w:rsidRPr="00DD518F">
        <w:t xml:space="preserve"> </w:t>
      </w:r>
      <w:r w:rsidRPr="00DD518F">
        <w:rPr>
          <w:i/>
          <w:iCs/>
        </w:rPr>
        <w:t xml:space="preserve">Artes manticae y geomancia en las literaturas francesa y española altomodernas. </w:t>
      </w:r>
      <w:r w:rsidRPr="00DD518F">
        <w:rPr>
          <w:i/>
          <w:iCs/>
          <w:lang w:val="fr-FR"/>
        </w:rPr>
        <w:t>François</w:t>
      </w:r>
      <w:r w:rsidRPr="00DD518F">
        <w:rPr>
          <w:i/>
          <w:iCs/>
        </w:rPr>
        <w:t xml:space="preserve"> Rabelais y Francisco de Quevedo</w:t>
      </w:r>
      <w:r>
        <w:t xml:space="preserve"> (Berlin:</w:t>
      </w:r>
      <w:r w:rsidR="00280F20">
        <w:t xml:space="preserve"> </w:t>
      </w:r>
      <w:r>
        <w:t xml:space="preserve">Peter Lang, 2020). </w:t>
      </w:r>
    </w:p>
  </w:footnote>
  <w:footnote w:id="379">
    <w:p w14:paraId="4A10A3A8" w14:textId="77777777" w:rsidR="00244FB6" w:rsidRDefault="00244FB6" w:rsidP="00244FB6">
      <w:pPr>
        <w:pStyle w:val="FootnoteText"/>
        <w:ind w:firstLine="0"/>
      </w:pPr>
      <w:r>
        <w:rPr>
          <w:rStyle w:val="FootnoteReference"/>
        </w:rPr>
        <w:footnoteRef/>
      </w:r>
      <w:r>
        <w:t xml:space="preserve"> This text included in the </w:t>
      </w:r>
      <w:r w:rsidRPr="00E3553C">
        <w:rPr>
          <w:i/>
          <w:iCs/>
        </w:rPr>
        <w:t>Fasciculus Geomanticus</w:t>
      </w:r>
      <w:r>
        <w:t xml:space="preserve"> is also found on its own in a previous edition published in Lyon by Ioan. Ant. Hugvetan in 1638. </w:t>
      </w:r>
    </w:p>
  </w:footnote>
  <w:footnote w:id="380">
    <w:p w14:paraId="7B634B6E" w14:textId="5CAD8BF1" w:rsidR="00244FB6" w:rsidRDefault="00244FB6" w:rsidP="00244FB6">
      <w:pPr>
        <w:pStyle w:val="FootnoteText"/>
        <w:ind w:firstLine="0"/>
      </w:pPr>
      <w:r>
        <w:rPr>
          <w:rStyle w:val="FootnoteReference"/>
        </w:rPr>
        <w:footnoteRef/>
      </w:r>
      <w:r>
        <w:t xml:space="preserve"> </w:t>
      </w:r>
      <w:r w:rsidRPr="00B901CD">
        <w:t xml:space="preserve">Charmasson, </w:t>
      </w:r>
      <w:r w:rsidRPr="00053098">
        <w:rPr>
          <w:i/>
          <w:iCs/>
        </w:rPr>
        <w:t>Recherches sur une technique divinatoire</w:t>
      </w:r>
      <w:r w:rsidRPr="00B901CD">
        <w:t>, 129-131.</w:t>
      </w:r>
    </w:p>
  </w:footnote>
  <w:footnote w:id="381">
    <w:p w14:paraId="2B51AE47" w14:textId="502D3583" w:rsidR="00244FB6" w:rsidRDefault="00244FB6" w:rsidP="00244FB6">
      <w:pPr>
        <w:pStyle w:val="FootnoteText"/>
        <w:ind w:firstLine="0"/>
      </w:pPr>
      <w:r>
        <w:rPr>
          <w:rStyle w:val="FootnoteReference"/>
        </w:rPr>
        <w:footnoteRef/>
      </w:r>
      <w:r>
        <w:t xml:space="preserve"> The relationship of Agrippa von Nettesheim with geomancy and the other divinatory practices has been discussed in Schlimpen, </w:t>
      </w:r>
      <w:r w:rsidRPr="0020296E">
        <w:rPr>
          <w:i/>
          <w:iCs/>
        </w:rPr>
        <w:t>Artes manticae y geomancia</w:t>
      </w:r>
      <w:r>
        <w:t>, 173-183.</w:t>
      </w:r>
    </w:p>
  </w:footnote>
  <w:footnote w:id="382">
    <w:p w14:paraId="7797A23F" w14:textId="77777777" w:rsidR="00244FB6" w:rsidRPr="00B617BA" w:rsidRDefault="00244FB6" w:rsidP="00244FB6">
      <w:pPr>
        <w:pStyle w:val="FootnoteText"/>
        <w:ind w:firstLine="0"/>
      </w:pPr>
      <w:r>
        <w:rPr>
          <w:rStyle w:val="FootnoteReference"/>
        </w:rPr>
        <w:footnoteRef/>
      </w:r>
      <w:r>
        <w:t xml:space="preserve"> </w:t>
      </w:r>
      <w:r w:rsidRPr="00B617BA">
        <w:rPr>
          <w:i/>
          <w:iCs/>
        </w:rPr>
        <w:t>Gerardi Cremonensis geomantiae astronomicae libellus</w:t>
      </w:r>
      <w:r>
        <w:t xml:space="preserve">, in </w:t>
      </w:r>
      <w:r w:rsidRPr="00B617BA">
        <w:rPr>
          <w:i/>
          <w:iCs/>
        </w:rPr>
        <w:t>Henricii Cornelii Agrippae ab Nettesheym, Armatae militiae equitis aurati, et iuris utriusque ac Medicinae Doctoris, Opera</w:t>
      </w:r>
      <w:r>
        <w:rPr>
          <w:i/>
          <w:iCs/>
        </w:rPr>
        <w:t xml:space="preserve">. </w:t>
      </w:r>
      <w:r>
        <w:t>(Lugduni, Per Beringos Fratres, 1630?), vol. I, 559-573.</w:t>
      </w:r>
    </w:p>
  </w:footnote>
  <w:footnote w:id="383">
    <w:p w14:paraId="0F383D88" w14:textId="77777777" w:rsidR="00244FB6" w:rsidRDefault="00244FB6" w:rsidP="00244FB6">
      <w:pPr>
        <w:pStyle w:val="FootnoteText"/>
        <w:ind w:firstLine="0"/>
      </w:pPr>
      <w:r>
        <w:rPr>
          <w:rStyle w:val="FootnoteReference"/>
        </w:rPr>
        <w:footnoteRef/>
      </w:r>
      <w:r>
        <w:t xml:space="preserve"> </w:t>
      </w:r>
      <w:r w:rsidRPr="00025F7F">
        <w:rPr>
          <w:i/>
          <w:iCs/>
          <w:lang w:val="fr-FR"/>
        </w:rPr>
        <w:t>Geomancie astronomique de Gerard de Cremone pour savoir les choses passée, les presentes, &amp; les futures. Avec des Observations necessaires pour les Medecis, les Chirurgiens, Chimistes, Architectes, Chasseurs, Pescheurs, Oiseleurs, Bergers, Iardiniers, Floristes, Vagnerons, laboureurs, &amp; autres personnes; Avec un secret pour multiplier le bled, &amp; toutes fortes de sementes dans la terre; Traduite par le Sieur de Salerne. Et augmentée en cette dernier impression de plusieurs questions, &amp; d’autres curiositez</w:t>
      </w:r>
      <w:r>
        <w:t xml:space="preserve"> (Paris: Laurent d’Houry, 1691).  </w:t>
      </w:r>
    </w:p>
  </w:footnote>
  <w:footnote w:id="384">
    <w:p w14:paraId="7B9D3A95" w14:textId="77777777" w:rsidR="00244FB6" w:rsidRDefault="00244FB6" w:rsidP="00244FB6">
      <w:pPr>
        <w:pStyle w:val="FootnoteText"/>
        <w:ind w:firstLine="0"/>
      </w:pPr>
      <w:r>
        <w:rPr>
          <w:rStyle w:val="FootnoteReference"/>
        </w:rPr>
        <w:footnoteRef/>
      </w:r>
      <w:r>
        <w:t xml:space="preserve"> </w:t>
      </w:r>
      <w:r w:rsidRPr="00B617BA">
        <w:rPr>
          <w:i/>
          <w:iCs/>
        </w:rPr>
        <w:t>Gerard Cremonensis o</w:t>
      </w:r>
      <w:r>
        <w:rPr>
          <w:i/>
          <w:iCs/>
        </w:rPr>
        <w:t>f</w:t>
      </w:r>
      <w:r w:rsidRPr="00B617BA">
        <w:rPr>
          <w:i/>
          <w:iCs/>
        </w:rPr>
        <w:t xml:space="preserve"> Astrological Geomancy</w:t>
      </w:r>
      <w:r>
        <w:t xml:space="preserve">, in Henry Cornelius Agrippa, </w:t>
      </w:r>
      <w:r w:rsidRPr="00233932">
        <w:rPr>
          <w:i/>
          <w:iCs/>
        </w:rPr>
        <w:t xml:space="preserve">His Fourth Book of Occult Philosophy. Of Geomancy. Magical Elements of Peter de Abano. The Nature of Spirits. Arbatel of Magick. </w:t>
      </w:r>
      <w:r>
        <w:t>Translated into English by Robert Turner (London:</w:t>
      </w:r>
      <w:r w:rsidRPr="00DC4DA4">
        <w:t xml:space="preserve"> Printed by J.C. for John Harrison, at the Lamb at the East-end of Pauls, 1655</w:t>
      </w:r>
      <w:r>
        <w:t xml:space="preserve">), 155-175. </w:t>
      </w:r>
    </w:p>
  </w:footnote>
  <w:footnote w:id="385">
    <w:p w14:paraId="59DD5E76" w14:textId="77777777" w:rsidR="00244FB6" w:rsidRDefault="00244FB6" w:rsidP="00244FB6">
      <w:pPr>
        <w:pStyle w:val="FootnoteText"/>
        <w:ind w:firstLine="0"/>
      </w:pPr>
      <w:r>
        <w:rPr>
          <w:rStyle w:val="FootnoteReference"/>
        </w:rPr>
        <w:footnoteRef/>
      </w:r>
      <w:r>
        <w:t xml:space="preserve"> </w:t>
      </w:r>
      <w:r w:rsidRPr="000A7536">
        <w:t>Lyon, Bibliothèque municipale,</w:t>
      </w:r>
      <w:r>
        <w:t xml:space="preserve"> ms.</w:t>
      </w:r>
      <w:r w:rsidRPr="000A7536">
        <w:t xml:space="preserve"> 1364 (c. XVI-XVII), ff.1-80.</w:t>
      </w:r>
      <w:r>
        <w:t xml:space="preserve"> </w:t>
      </w:r>
    </w:p>
  </w:footnote>
  <w:footnote w:id="386">
    <w:p w14:paraId="1C7DCA48" w14:textId="6BD7CB4B" w:rsidR="00244FB6" w:rsidRDefault="00244FB6" w:rsidP="00244FB6">
      <w:pPr>
        <w:pStyle w:val="FootnoteText"/>
        <w:ind w:firstLine="0"/>
      </w:pPr>
      <w:r>
        <w:rPr>
          <w:rStyle w:val="FootnoteReference"/>
        </w:rPr>
        <w:footnoteRef/>
      </w:r>
      <w:r>
        <w:t xml:space="preserve"> The text has been edited in Charmasson, </w:t>
      </w:r>
      <w:r w:rsidRPr="00692733">
        <w:rPr>
          <w:i/>
          <w:iCs/>
        </w:rPr>
        <w:t>Recherches sur une technique divinatoire</w:t>
      </w:r>
      <w:r>
        <w:t>, 274-282. On its attribution to Pietro d’Abano (also known as Pietro from Padua) see in the same volume pages 121-127.</w:t>
      </w:r>
    </w:p>
  </w:footnote>
  <w:footnote w:id="387">
    <w:p w14:paraId="20C5F7D6" w14:textId="77777777" w:rsidR="00244FB6" w:rsidRDefault="00244FB6" w:rsidP="00244FB6">
      <w:pPr>
        <w:pStyle w:val="FootnoteText"/>
        <w:ind w:firstLine="0"/>
      </w:pPr>
      <w:r>
        <w:rPr>
          <w:rStyle w:val="FootnoteReference"/>
        </w:rPr>
        <w:footnoteRef/>
      </w:r>
      <w:r>
        <w:t xml:space="preserve"> Graziella Federici Vescovini, </w:t>
      </w:r>
      <w:r w:rsidRPr="00405CC5">
        <w:rPr>
          <w:i/>
          <w:iCs/>
        </w:rPr>
        <w:t>Il ‘</w:t>
      </w:r>
      <w:r w:rsidRPr="00405CC5">
        <w:t>Lucidatur dubitabilium astronomiae’</w:t>
      </w:r>
      <w:r w:rsidRPr="00405CC5">
        <w:rPr>
          <w:i/>
          <w:iCs/>
        </w:rPr>
        <w:t xml:space="preserve"> di Pietro d’Abano. Opere scientifiche inedite </w:t>
      </w:r>
      <w:r>
        <w:t>(Padua: Programma e 1+1 Editori, 1988), 118-119: “Est autem geomantia terrena divinatio, dicta a ‘gea’ terra grece, et ‘mantia’, divinatio. Fiunt namque puncta in terram, facienda absque deliberatione, vel cum encausto taxillis aut aliis, quibus quatuor primis possint errigi figure ‘matres’ dicte, ex quibus quidem producuntur ‘filie’, ‘neptes’ et deinde ‘testes’, cum ‘iudice’ principali et secundario, ita ut figure in se 16 extent et similiter in questionis figuratione […]. Licet conentur ipsam geomantici ad omnes quatuor partes exercitative reducere, cuius quidem fulcimentum, difficile sit assignare ipsamque defendere. In figuras tamen potest reduci superiores vel imagines et planetas, cum totus hic mundus superioribus subiciatur lationibus, ut virtus eius gubernetur omnis […]. Figure similiter geomantice proportionantur imaginum effusionibus astrologicarum suscipientium virtutem a celo. Manus enim petentis, ut erigantur figure, non electione, sed magis casu, vigore agitatur celesti, ut puncta imparia vel paria consurgunt: impari enim et pari maxime congaudet numero. Quam utique, ut alias scientias que circa materiam extant fere contingentem, verificari non  rarissime perpendi, difficilis tamen est iudicii propter varios et infinitos quasi /322</w:t>
      </w:r>
      <w:r w:rsidRPr="00332987">
        <w:rPr>
          <w:vertAlign w:val="superscript"/>
        </w:rPr>
        <w:t>ra</w:t>
      </w:r>
      <w:r>
        <w:t>V/ modos compositionis figurarum concurrentes, longa egens experientia et plurimo exercitio: a paucissimis quidem perfecte scita et a multis, propter facilem eius constructionem, temptata.”</w:t>
      </w:r>
    </w:p>
  </w:footnote>
  <w:footnote w:id="388">
    <w:p w14:paraId="65C191C0" w14:textId="2F03986B" w:rsidR="00244FB6" w:rsidRDefault="00244FB6" w:rsidP="00244FB6">
      <w:pPr>
        <w:pStyle w:val="FootnoteText"/>
        <w:ind w:firstLine="0"/>
      </w:pPr>
      <w:r>
        <w:rPr>
          <w:rStyle w:val="FootnoteReference"/>
        </w:rPr>
        <w:footnoteRef/>
      </w:r>
      <w:r>
        <w:t xml:space="preserve"> </w:t>
      </w:r>
      <w:r w:rsidRPr="009C0D99">
        <w:rPr>
          <w:i/>
          <w:iCs/>
        </w:rPr>
        <w:t xml:space="preserve">Geomantia di Pietro d’Abano, nuovamen&lt;t&gt;e </w:t>
      </w:r>
      <w:r w:rsidR="009A0A93">
        <w:rPr>
          <w:i/>
          <w:iCs/>
        </w:rPr>
        <w:t>tradotta</w:t>
      </w:r>
      <w:r w:rsidRPr="009C0D99">
        <w:rPr>
          <w:i/>
          <w:iCs/>
        </w:rPr>
        <w:t xml:space="preserve"> di Latino in volgare per il Tricasso Mantuano</w:t>
      </w:r>
      <w:r>
        <w:t xml:space="preserve"> (Venice: per Curtio Troiano dei Navo, 1542); In a later edition the first and second book of this treatises were published in separate volumes: </w:t>
      </w:r>
      <w:r w:rsidRPr="00B76586">
        <w:rPr>
          <w:i/>
          <w:iCs/>
        </w:rPr>
        <w:t xml:space="preserve">Comincia la Geomantia di Pietro d’Abano, </w:t>
      </w:r>
      <w:r w:rsidR="009A0A93">
        <w:rPr>
          <w:i/>
          <w:iCs/>
        </w:rPr>
        <w:t>tradotta</w:t>
      </w:r>
      <w:r w:rsidRPr="00B76586">
        <w:rPr>
          <w:i/>
          <w:iCs/>
        </w:rPr>
        <w:t xml:space="preserve"> di latina lingua nel volgare</w:t>
      </w:r>
      <w:r>
        <w:rPr>
          <w:i/>
          <w:iCs/>
        </w:rPr>
        <w:t xml:space="preserve"> idioma</w:t>
      </w:r>
      <w:r w:rsidRPr="00B76586">
        <w:rPr>
          <w:i/>
          <w:iCs/>
        </w:rPr>
        <w:t xml:space="preserve"> </w:t>
      </w:r>
      <w:r w:rsidRPr="00A8011F">
        <w:t>(Venice: per Curtio Troiano dei Navo,</w:t>
      </w:r>
      <w:r>
        <w:t xml:space="preserve"> 1556);</w:t>
      </w:r>
      <w:r w:rsidRPr="004C363B">
        <w:rPr>
          <w:i/>
          <w:iCs/>
        </w:rPr>
        <w:t xml:space="preserve"> </w:t>
      </w:r>
      <w:r w:rsidRPr="00B76586">
        <w:rPr>
          <w:i/>
          <w:iCs/>
        </w:rPr>
        <w:t>La seconda parte della Geomantia di Pietro d’Abano</w:t>
      </w:r>
      <w:r>
        <w:t xml:space="preserve"> (Venice: per Curtio Troiano dei Navo, 1552). According to the 1542 edition, the text would have been originally written in Latin and the Italian translator is indicated as Tricasso Mantuano, identified as Ceresara Paride, born in Mantua in 1466 and known for his writings on Chiromancy. See  </w:t>
      </w:r>
      <w:r w:rsidRPr="00C771E0">
        <w:t>G</w:t>
      </w:r>
      <w:r>
        <w:t>ino</w:t>
      </w:r>
      <w:r w:rsidRPr="00C771E0">
        <w:t xml:space="preserve"> Sabattini, </w:t>
      </w:r>
      <w:r w:rsidRPr="00C771E0">
        <w:rPr>
          <w:i/>
          <w:iCs/>
        </w:rPr>
        <w:t>Bibliografia di opere antiche e moderne di chiromanzia e sulla chiromanzia con notizie biogr</w:t>
      </w:r>
      <w:r>
        <w:rPr>
          <w:i/>
          <w:iCs/>
        </w:rPr>
        <w:t>afiche</w:t>
      </w:r>
      <w:r w:rsidRPr="00C771E0">
        <w:rPr>
          <w:i/>
          <w:iCs/>
        </w:rPr>
        <w:t xml:space="preserve"> sui principali autori</w:t>
      </w:r>
      <w:r w:rsidRPr="00C771E0">
        <w:t xml:space="preserve"> </w:t>
      </w:r>
      <w:r>
        <w:t>(</w:t>
      </w:r>
      <w:r w:rsidRPr="00C771E0">
        <w:t>Reggio Emilia</w:t>
      </w:r>
      <w:r>
        <w:t>:</w:t>
      </w:r>
      <w:r w:rsidRPr="00C771E0">
        <w:t xml:space="preserve"> </w:t>
      </w:r>
      <w:r>
        <w:t xml:space="preserve">Nironi&amp;Prandi, </w:t>
      </w:r>
      <w:r w:rsidRPr="00C771E0">
        <w:t>1946</w:t>
      </w:r>
      <w:r>
        <w:t>),</w:t>
      </w:r>
      <w:r w:rsidRPr="00C771E0">
        <w:t xml:space="preserve"> 95-97.</w:t>
      </w:r>
    </w:p>
  </w:footnote>
  <w:footnote w:id="389">
    <w:p w14:paraId="4E0157C1" w14:textId="77777777"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Cristofe de Cattan, gentilhomme Geneuoys</w:t>
      </w:r>
      <w:r>
        <w:rPr>
          <w:i/>
          <w:iCs/>
        </w:rPr>
        <w:t>,</w:t>
      </w:r>
      <w:r w:rsidRPr="00BD63B2">
        <w:t xml:space="preserve"> </w:t>
      </w:r>
      <w:r>
        <w:t xml:space="preserve">ed. by </w:t>
      </w:r>
      <w:r w:rsidRPr="00BD63B2">
        <w:t>Gabriel Duprėau</w:t>
      </w:r>
      <w:r>
        <w:t xml:space="preserve"> (Paris: par Gilles Gilles, Libraire demeurant à la rue S. Iaques, à la Concorde, 1558). Of this text exists an English translation: </w:t>
      </w:r>
      <w:r w:rsidRPr="00AB18BC">
        <w:rPr>
          <w:i/>
          <w:iCs/>
        </w:rPr>
        <w:t>The Geomancie of Maister Christopher Cattan, Gentleman. A book no lesse pleasant and recreatiue, then of a wittie inuention, to knowe all things, past, present, and to come. Translated out of French into our English tongue</w:t>
      </w:r>
      <w:r>
        <w:t xml:space="preserve"> (London: Printed by John Wolfe, 1591). Other less known French geomantic texts from the late sixteenth century are </w:t>
      </w:r>
      <w:r w:rsidRPr="007C716B">
        <w:rPr>
          <w:i/>
          <w:iCs/>
        </w:rPr>
        <w:t>La Geomance abregee de Iean de la Taille de Bondaroy, Gentil homme de Beauce</w:t>
      </w:r>
      <w:r>
        <w:t xml:space="preserve"> (Paris: Lucas Breyer, 1574); and </w:t>
      </w:r>
      <w:r w:rsidRPr="00473932">
        <w:rPr>
          <w:i/>
          <w:iCs/>
        </w:rPr>
        <w:t>La Geomance par laquelle on peut prevoir, deuiner &amp; predire de toutes choses doubteuses &amp; incertaines, par G. de la Tayssonniere, Gentilhomme Dombois</w:t>
      </w:r>
      <w:r>
        <w:t xml:space="preserve"> (Lyon: Benois Rigaud, 1575). While from the eighteenth century </w:t>
      </w:r>
      <w:r w:rsidRPr="00595B53">
        <w:rPr>
          <w:i/>
          <w:iCs/>
        </w:rPr>
        <w:t>Le Nouveau Miroir de la Fortuneou Abregé de la Geomance, pour la recréation des Personnes curieuses de cette Science. par Monsieur Colonne</w:t>
      </w:r>
      <w:r>
        <w:t xml:space="preserve"> (Paris: Andre’ Cailleau, 1726).</w:t>
      </w:r>
    </w:p>
  </w:footnote>
  <w:footnote w:id="390">
    <w:p w14:paraId="24905B42" w14:textId="2714FA23" w:rsidR="00244FB6" w:rsidRDefault="00244FB6" w:rsidP="00244FB6">
      <w:pPr>
        <w:pStyle w:val="FootnoteText"/>
        <w:ind w:firstLine="0"/>
      </w:pPr>
      <w:r>
        <w:rPr>
          <w:rStyle w:val="FootnoteReference"/>
        </w:rPr>
        <w:footnoteRef/>
      </w:r>
      <w:r>
        <w:t xml:space="preserve"> Bartholomew Cocles, </w:t>
      </w:r>
      <w:r w:rsidRPr="001E448E">
        <w:rPr>
          <w:i/>
          <w:iCs/>
        </w:rPr>
        <w:t xml:space="preserve">La Geomantia di Bartholomeo Cocle, filosofo integerrimo; nuovissimamente </w:t>
      </w:r>
      <w:r w:rsidR="009A0A93">
        <w:rPr>
          <w:i/>
          <w:iCs/>
        </w:rPr>
        <w:t>tradotta</w:t>
      </w:r>
      <w:r w:rsidRPr="001E448E">
        <w:rPr>
          <w:i/>
          <w:iCs/>
        </w:rPr>
        <w:t>, et ancho data in luce</w:t>
      </w:r>
      <w:r>
        <w:t xml:space="preserve"> (Venice: Giouita Rapirio, 1550); Giovanni Geber, </w:t>
      </w:r>
      <w:r w:rsidRPr="005F6C9E">
        <w:rPr>
          <w:i/>
          <w:iCs/>
        </w:rPr>
        <w:t>De la Geomantia dell’eccel. Filosofo Gioanni Geber: Parte prima. Con una brevissima Chiromantica Phisionomia. Nouamente, dal nobil huomo M. Gnosio Piceno, Ascolano, tra</w:t>
      </w:r>
      <w:r w:rsidR="00F622DC">
        <w:rPr>
          <w:i/>
          <w:iCs/>
        </w:rPr>
        <w:t>point</w:t>
      </w:r>
      <w:r w:rsidRPr="005F6C9E">
        <w:rPr>
          <w:i/>
          <w:iCs/>
        </w:rPr>
        <w:t xml:space="preserve">ti: e pur hora dati in luce </w:t>
      </w:r>
      <w:r>
        <w:t>(Venice: Giouita Rapirio, 1552).</w:t>
      </w:r>
    </w:p>
  </w:footnote>
  <w:footnote w:id="391">
    <w:p w14:paraId="5109CC24" w14:textId="77777777" w:rsidR="00244FB6" w:rsidRDefault="00244FB6" w:rsidP="00244FB6">
      <w:pPr>
        <w:pStyle w:val="FootnoteText"/>
        <w:ind w:firstLine="0"/>
      </w:pPr>
      <w:r>
        <w:rPr>
          <w:rStyle w:val="FootnoteReference"/>
        </w:rPr>
        <w:footnoteRef/>
      </w:r>
      <w:r>
        <w:t xml:space="preserve"> </w:t>
      </w:r>
      <w:r w:rsidRPr="00160015">
        <w:rPr>
          <w:i/>
          <w:iCs/>
        </w:rPr>
        <w:t>Henrici Cornelii Agrippa geomanticam disciplinam lectura</w:t>
      </w:r>
      <w:r>
        <w:t xml:space="preserve">, in </w:t>
      </w:r>
      <w:r w:rsidRPr="00160015">
        <w:rPr>
          <w:i/>
          <w:iCs/>
        </w:rPr>
        <w:t>Opera</w:t>
      </w:r>
      <w:r>
        <w:t xml:space="preserve"> (Lyon: Beringos Fratres, 1630?), v. I, 405-425.</w:t>
      </w:r>
    </w:p>
  </w:footnote>
  <w:footnote w:id="392">
    <w:p w14:paraId="7FE960C2" w14:textId="77777777" w:rsidR="00244FB6" w:rsidRDefault="00244FB6" w:rsidP="00244FB6">
      <w:pPr>
        <w:pStyle w:val="FootnoteText"/>
        <w:ind w:firstLine="0"/>
      </w:pPr>
      <w:r>
        <w:rPr>
          <w:rStyle w:val="FootnoteReference"/>
        </w:rPr>
        <w:footnoteRef/>
      </w:r>
      <w:r>
        <w:t xml:space="preserve"> Robert Fludd, </w:t>
      </w:r>
      <w:r w:rsidRPr="004F73C1">
        <w:rPr>
          <w:i/>
          <w:iCs/>
        </w:rPr>
        <w:t>Tractatus de Geomantia in quatuor libros diuisus</w:t>
      </w:r>
      <w:r>
        <w:t xml:space="preserve">, in </w:t>
      </w:r>
      <w:r w:rsidRPr="00AB350D">
        <w:rPr>
          <w:i/>
          <w:iCs/>
        </w:rPr>
        <w:t xml:space="preserve">Fasciculus geomanticus </w:t>
      </w:r>
      <w:r>
        <w:t>(1687), 19-170.</w:t>
      </w:r>
    </w:p>
    <w:p w14:paraId="3731F0F5" w14:textId="77777777" w:rsidR="00244FB6" w:rsidRDefault="00244FB6" w:rsidP="00244FB6">
      <w:pPr>
        <w:pStyle w:val="FootnoteText"/>
        <w:ind w:firstLine="0"/>
      </w:pPr>
    </w:p>
  </w:footnote>
  <w:footnote w:id="393">
    <w:p w14:paraId="11F5B1DC" w14:textId="13F4DE09" w:rsidR="00244FB6" w:rsidRDefault="00244FB6" w:rsidP="00244FB6">
      <w:pPr>
        <w:pStyle w:val="FootnoteText"/>
        <w:tabs>
          <w:tab w:val="left" w:pos="619"/>
        </w:tabs>
        <w:ind w:firstLine="0"/>
      </w:pPr>
      <w:r>
        <w:rPr>
          <w:rStyle w:val="FootnoteReference"/>
        </w:rPr>
        <w:footnoteRef/>
      </w:r>
      <w:r>
        <w:t xml:space="preserve"> Charmasson, </w:t>
      </w:r>
      <w:r w:rsidRPr="0006087F">
        <w:rPr>
          <w:i/>
          <w:iCs/>
        </w:rPr>
        <w:t>Recherches sur une technique divinatoire</w:t>
      </w:r>
      <w:r>
        <w:t>, 217-222.</w:t>
      </w:r>
    </w:p>
  </w:footnote>
  <w:footnote w:id="394">
    <w:p w14:paraId="19B50A02" w14:textId="77777777" w:rsidR="00244FB6" w:rsidRDefault="00244FB6" w:rsidP="00244FB6">
      <w:pPr>
        <w:pStyle w:val="FootnoteText"/>
        <w:ind w:firstLine="0"/>
      </w:pPr>
      <w:r>
        <w:rPr>
          <w:rStyle w:val="FootnoteReference"/>
        </w:rPr>
        <w:footnoteRef/>
      </w:r>
      <w:r>
        <w:t xml:space="preserve"> </w:t>
      </w:r>
      <w:r w:rsidRPr="00B617BA">
        <w:rPr>
          <w:i/>
          <w:iCs/>
        </w:rPr>
        <w:t>Gerard Cremonensis o</w:t>
      </w:r>
      <w:r>
        <w:rPr>
          <w:i/>
          <w:iCs/>
        </w:rPr>
        <w:t>f</w:t>
      </w:r>
      <w:r w:rsidRPr="00B617BA">
        <w:rPr>
          <w:i/>
          <w:iCs/>
        </w:rPr>
        <w:t xml:space="preserve"> Astrological Geomancy</w:t>
      </w:r>
      <w:r>
        <w:t xml:space="preserve">, in Henry Cornelius Agrippa, </w:t>
      </w:r>
      <w:r w:rsidRPr="00233932">
        <w:rPr>
          <w:i/>
          <w:iCs/>
        </w:rPr>
        <w:t>His Fourth Book of Occult Philosophy. Of Geomancy. Magical Elements of Peter de Abano. The Nature of Spirits. Arbatel of Magick.</w:t>
      </w:r>
      <w:r w:rsidRPr="00DC4DA4">
        <w:t xml:space="preserve"> </w:t>
      </w:r>
      <w:r>
        <w:t>(</w:t>
      </w:r>
      <w:r w:rsidRPr="00DC4DA4">
        <w:t>1655</w:t>
      </w:r>
      <w:r>
        <w:t xml:space="preserve">), 155-156: “Because Astronomy is so transcendent and subtil an Art in itself, that therein a man ought to have respect unto so many things before he can attaine to true judgement […]. Therefore I have composed this work, which I will have to be named, </w:t>
      </w:r>
      <w:r w:rsidRPr="00385150">
        <w:rPr>
          <w:i/>
          <w:iCs/>
        </w:rPr>
        <w:t>Astronomical Geomancy</w:t>
      </w:r>
      <w:r>
        <w:t xml:space="preserve">: wherein, I will sufficiently teach how to judge with less labour and study. For in this present science it is not requisite to be hold neither the Ascendant, nor the hour in a Table, as it is in Astrology. […] It is expedient before, to make four unequal lines, by the points casually set down […]. Extract one figure, and the signe of the Zodiacke that answereth to that figure, put for the Ascendant, for the words sake. If </w:t>
      </w:r>
      <w:r w:rsidRPr="00D43436">
        <w:rPr>
          <w:i/>
          <w:iCs/>
        </w:rPr>
        <w:t>Acquisitio</w:t>
      </w:r>
      <w:r>
        <w:t xml:space="preserve"> arise from the heads of the whole four Lines, let </w:t>
      </w:r>
      <w:r w:rsidRPr="00D43436">
        <w:rPr>
          <w:i/>
          <w:iCs/>
        </w:rPr>
        <w:t>Aries</w:t>
      </w:r>
      <w:r>
        <w:t xml:space="preserve"> be placed in the Ascendant; if </w:t>
      </w:r>
      <w:r w:rsidRPr="00D43436">
        <w:rPr>
          <w:i/>
          <w:iCs/>
        </w:rPr>
        <w:t>Laetitia</w:t>
      </w:r>
      <w:r>
        <w:t xml:space="preserve">, or the lesser Fortune, put </w:t>
      </w:r>
      <w:r w:rsidRPr="00D43436">
        <w:rPr>
          <w:i/>
          <w:iCs/>
        </w:rPr>
        <w:t>Taurus</w:t>
      </w:r>
      <w:r>
        <w:t xml:space="preserve"> in the Ascendant […].”</w:t>
      </w:r>
    </w:p>
  </w:footnote>
  <w:footnote w:id="395">
    <w:p w14:paraId="514DB456" w14:textId="77777777" w:rsidR="00244FB6" w:rsidRDefault="00244FB6" w:rsidP="00244FB6">
      <w:pPr>
        <w:pStyle w:val="FootnoteText"/>
        <w:ind w:firstLine="0"/>
      </w:pPr>
      <w:r>
        <w:rPr>
          <w:rStyle w:val="FootnoteReference"/>
        </w:rPr>
        <w:footnoteRef/>
      </w:r>
      <w:r>
        <w:t xml:space="preserve"> Robert Fludd, </w:t>
      </w:r>
      <w:bookmarkStart w:id="103" w:name="_Hlk132617730"/>
      <w:r w:rsidRPr="004F73C1">
        <w:rPr>
          <w:i/>
          <w:iCs/>
        </w:rPr>
        <w:t>Tractatus de Geomantia in quatuor libros diuisus</w:t>
      </w:r>
      <w:bookmarkEnd w:id="103"/>
      <w:r>
        <w:t xml:space="preserve">, in </w:t>
      </w:r>
      <w:r w:rsidRPr="00AB350D">
        <w:rPr>
          <w:i/>
          <w:iCs/>
        </w:rPr>
        <w:t xml:space="preserve">Fasciculus geomanticus </w:t>
      </w:r>
      <w:r>
        <w:t>(1687), 21.</w:t>
      </w:r>
    </w:p>
  </w:footnote>
  <w:footnote w:id="396">
    <w:p w14:paraId="2D0C1744" w14:textId="56C36874" w:rsidR="00244FB6" w:rsidRDefault="00244FB6" w:rsidP="00244FB6">
      <w:pPr>
        <w:pStyle w:val="FootnoteText"/>
        <w:ind w:firstLine="0"/>
      </w:pPr>
      <w:r>
        <w:rPr>
          <w:rStyle w:val="FootnoteReference"/>
        </w:rPr>
        <w:footnoteRef/>
      </w:r>
      <w:r>
        <w:t xml:space="preserve"> Charmasson, </w:t>
      </w:r>
      <w:r w:rsidRPr="0006087F">
        <w:rPr>
          <w:i/>
          <w:iCs/>
        </w:rPr>
        <w:t>Recherches sur une technique divinatoire</w:t>
      </w:r>
      <w:r>
        <w:t xml:space="preserve">, 217-220. The text has survived in eight manuscripts: </w:t>
      </w:r>
      <w:r w:rsidRPr="008C069C">
        <w:t>Cambridge, M</w:t>
      </w:r>
      <w:r w:rsidR="008C069C" w:rsidRPr="008C069C">
        <w:t xml:space="preserve">agdalene </w:t>
      </w:r>
      <w:r w:rsidRPr="008C069C">
        <w:t>C</w:t>
      </w:r>
      <w:r w:rsidR="008C069C" w:rsidRPr="008C069C">
        <w:t>ollege</w:t>
      </w:r>
      <w:r w:rsidRPr="008C069C">
        <w:t>, F.4.27, s. XIV, f. 166ra-173vb, Florence</w:t>
      </w:r>
      <w:r>
        <w:t>, BML, Plut. 89 sup. 34, c. XV, f. 19r-28v, London, BL, Harley 2404, c. XV, pp. 33-59, Mühlhausen, SA, 60/2, c. XV, f. 191ra-210rb, Munich, BSB, Clm 458, c. XV, f. 105r-116r, Paris, BnF, lat. 7349, c. XV, f. 138v-141r, Paris, BnF, lat. 7457, c. XV, f. 83r-96r, Paris, BnF, lat. 15353, c. XIII-XIV, f. 87ra-92vb. Paris, BnF, lat. 15353, c. XIII-XIV, f.92vb: “</w:t>
      </w:r>
      <w:r w:rsidRPr="007C38AE">
        <w:t>Honor virtus est gloria potestas… Translatio magistri Bernardi de Gordonio phisici regnante Bonifacio papa et Adulpho electo in imperatorem et Philippo rege Francie filio quondam Philippi regis Francie et Iacobo rege Maioricarum et Berengario episcopo Magalonensi et Audoardo rege Anglorum et anno XIIIo lecture nostre in phisica in Montepessulano et anno domini MoCCo nonag&lt;inta&gt; quinto die Iovis ante Natale.</w:t>
      </w:r>
      <w:r>
        <w:t>”</w:t>
      </w:r>
    </w:p>
  </w:footnote>
  <w:footnote w:id="397">
    <w:p w14:paraId="43E5653E" w14:textId="77777777" w:rsidR="00244FB6" w:rsidRDefault="00244FB6" w:rsidP="00244FB6">
      <w:pPr>
        <w:pStyle w:val="FootnoteText"/>
        <w:ind w:firstLine="0"/>
      </w:pPr>
      <w:r>
        <w:rPr>
          <w:rStyle w:val="FootnoteReference"/>
        </w:rPr>
        <w:footnoteRef/>
      </w:r>
      <w:r>
        <w:t xml:space="preserve"> Paris, BnF, lat. 15353, c. XIII-XIV, f. 87ra: “I</w:t>
      </w:r>
      <w:r w:rsidRPr="007C38AE">
        <w:t xml:space="preserve">ncipit archanum magni Dei revelatum Tholomeo regi Arabum de reductione geomancie. Et </w:t>
      </w:r>
      <w:r>
        <w:t xml:space="preserve">per </w:t>
      </w:r>
      <w:r w:rsidRPr="007C38AE">
        <w:t xml:space="preserve">hoc presens opus possunt ad orbem cognosci </w:t>
      </w:r>
      <w:r>
        <w:t>exquisite presencia preterita, et futura in omni eo quod vult homo(?) in tantum quantum se potest extendere virtus orbis.  Modus autem operandi in hac sacra scientia est huiusmodi: fabricentur in primis X domus, et in qualibet domu sintquattuor linee punctorum, et puncta sint proiecta a casu et a fortuna sicut fit in geomancia.”</w:t>
      </w:r>
    </w:p>
  </w:footnote>
  <w:footnote w:id="398">
    <w:p w14:paraId="3D4E087C" w14:textId="77777777" w:rsidR="00030C27" w:rsidRDefault="00030C27" w:rsidP="00030C27">
      <w:pPr>
        <w:pStyle w:val="FootnoteText"/>
        <w:ind w:firstLine="0"/>
      </w:pPr>
      <w:r>
        <w:rPr>
          <w:rStyle w:val="FootnoteReference"/>
        </w:rPr>
        <w:footnoteRef/>
      </w:r>
      <w:r>
        <w:t xml:space="preserve"> </w:t>
      </w:r>
      <w:bookmarkStart w:id="104" w:name="_Hlk150526486"/>
      <w:r>
        <w:t>Paris, BnF, lat. 15353, c. XIII-XIV</w:t>
      </w:r>
      <w:bookmarkEnd w:id="104"/>
      <w:r>
        <w:t>, 87ra.</w:t>
      </w:r>
    </w:p>
  </w:footnote>
  <w:footnote w:id="399">
    <w:p w14:paraId="41843E73" w14:textId="57DD0B60" w:rsidR="00244FB6" w:rsidRDefault="00244FB6" w:rsidP="00244FB6">
      <w:pPr>
        <w:pStyle w:val="FootnoteText"/>
        <w:ind w:firstLine="0"/>
      </w:pPr>
      <w:r>
        <w:rPr>
          <w:rStyle w:val="FootnoteReference"/>
        </w:rPr>
        <w:footnoteRef/>
      </w:r>
      <w:r>
        <w:t xml:space="preserve"> Charmasson, </w:t>
      </w:r>
      <w:r w:rsidRPr="0006087F">
        <w:rPr>
          <w:i/>
          <w:iCs/>
        </w:rPr>
        <w:t>Recherches sur une technique divinatoire</w:t>
      </w:r>
      <w:r>
        <w:t>, 219.</w:t>
      </w:r>
    </w:p>
  </w:footnote>
  <w:footnote w:id="400">
    <w:p w14:paraId="095C8E82" w14:textId="77777777" w:rsidR="00244FB6" w:rsidRDefault="00244FB6" w:rsidP="00244FB6">
      <w:pPr>
        <w:pStyle w:val="FootnoteText"/>
        <w:ind w:firstLine="0"/>
      </w:pPr>
      <w:r>
        <w:rPr>
          <w:rStyle w:val="FootnoteReference"/>
        </w:rPr>
        <w:footnoteRef/>
      </w:r>
      <w:r>
        <w:t xml:space="preserve"> </w:t>
      </w:r>
      <w:r w:rsidRPr="00CB0A60">
        <w:t xml:space="preserve">Paris, </w:t>
      </w:r>
      <w:r w:rsidRPr="00E83B66">
        <w:t>Bibliothèque nationale de France</w:t>
      </w:r>
      <w:r w:rsidRPr="00CB0A60">
        <w:t xml:space="preserve">, lat. 15353, </w:t>
      </w:r>
      <w:r>
        <w:t>(</w:t>
      </w:r>
      <w:r w:rsidRPr="00CB0A60">
        <w:t>XIII-XIV</w:t>
      </w:r>
      <w:r>
        <w:t xml:space="preserve"> c.)</w:t>
      </w:r>
      <w:r w:rsidRPr="00CB0A60">
        <w:t xml:space="preserve">, f. </w:t>
      </w:r>
      <w:r>
        <w:t>87v-89r.</w:t>
      </w:r>
    </w:p>
  </w:footnote>
  <w:footnote w:id="401">
    <w:p w14:paraId="3ED3C4B4" w14:textId="77777777" w:rsidR="00244FB6" w:rsidRDefault="00244FB6" w:rsidP="00244FB6">
      <w:pPr>
        <w:pStyle w:val="FootnoteText"/>
        <w:ind w:firstLine="0"/>
      </w:pPr>
      <w:r>
        <w:rPr>
          <w:rStyle w:val="FootnoteReference"/>
        </w:rPr>
        <w:footnoteRef/>
      </w:r>
      <w:r>
        <w:t xml:space="preserve"> </w:t>
      </w:r>
      <w:bookmarkStart w:id="106" w:name="_Hlk150526530"/>
      <w:r>
        <w:t>Wien, Österreichische Nationalbibliothek, lat. 5327 (XV c.), f.142r, Florence, Biblioteca Medicea Laurenziana, Plut. 89 sup. 34 (XV c.), f. 20v, Wien, Österreichische Nationalbibliothek, lat. 5327 (XV c.), f. 185r.</w:t>
      </w:r>
      <w:bookmarkEnd w:id="106"/>
    </w:p>
  </w:footnote>
  <w:footnote w:id="402">
    <w:p w14:paraId="5D2DFF10" w14:textId="1AB17FCD" w:rsidR="00244FB6" w:rsidRDefault="00244FB6" w:rsidP="00244FB6">
      <w:pPr>
        <w:pStyle w:val="FootnoteText"/>
        <w:ind w:firstLine="0"/>
      </w:pPr>
      <w:r>
        <w:rPr>
          <w:rStyle w:val="FootnoteReference"/>
        </w:rPr>
        <w:footnoteRef/>
      </w:r>
      <w:r>
        <w:t xml:space="preserve"> </w:t>
      </w:r>
      <w:bookmarkStart w:id="107" w:name="_Hlk150526558"/>
      <w:r>
        <w:t xml:space="preserve">Henricus de Pisis, </w:t>
      </w:r>
      <w:r w:rsidRPr="00437580">
        <w:rPr>
          <w:i/>
          <w:iCs/>
        </w:rPr>
        <w:t xml:space="preserve">Opus Geomantiae </w:t>
      </w:r>
      <w:r>
        <w:rPr>
          <w:i/>
          <w:iCs/>
        </w:rPr>
        <w:t>c</w:t>
      </w:r>
      <w:r w:rsidRPr="00437580">
        <w:rPr>
          <w:i/>
          <w:iCs/>
        </w:rPr>
        <w:t xml:space="preserve">ompletum in </w:t>
      </w:r>
      <w:r>
        <w:rPr>
          <w:i/>
          <w:iCs/>
        </w:rPr>
        <w:t>l</w:t>
      </w:r>
      <w:r w:rsidRPr="00437580">
        <w:rPr>
          <w:i/>
          <w:iCs/>
        </w:rPr>
        <w:t xml:space="preserve">ibros </w:t>
      </w:r>
      <w:r>
        <w:rPr>
          <w:i/>
          <w:iCs/>
        </w:rPr>
        <w:t>t</w:t>
      </w:r>
      <w:r w:rsidRPr="00437580">
        <w:rPr>
          <w:i/>
          <w:iCs/>
        </w:rPr>
        <w:t>res</w:t>
      </w:r>
      <w:r>
        <w:rPr>
          <w:i/>
          <w:iCs/>
        </w:rPr>
        <w:t xml:space="preserve"> </w:t>
      </w:r>
      <w:r w:rsidRPr="00437580">
        <w:rPr>
          <w:i/>
          <w:iCs/>
        </w:rPr>
        <w:t>divisum</w:t>
      </w:r>
      <w:r w:rsidRPr="00437580">
        <w:t xml:space="preserve"> </w:t>
      </w:r>
      <w:r>
        <w:t>(Lyon</w:t>
      </w:r>
      <w:r w:rsidR="0079102B">
        <w:t>:</w:t>
      </w:r>
      <w:r w:rsidR="0079102B" w:rsidRPr="0079102B">
        <w:t xml:space="preserve"> Apud Ioan. Ant. Huguetan</w:t>
      </w:r>
      <w:r>
        <w:t xml:space="preserve"> 1638), </w:t>
      </w:r>
      <w:bookmarkEnd w:id="107"/>
      <w:r>
        <w:t>39.</w:t>
      </w:r>
    </w:p>
  </w:footnote>
  <w:footnote w:id="403">
    <w:p w14:paraId="489EE234" w14:textId="77777777"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 xml:space="preserve"> (1558), 42r. In the English translation the same diagram is found on page 61.</w:t>
      </w:r>
    </w:p>
  </w:footnote>
  <w:footnote w:id="404">
    <w:p w14:paraId="1258B31E" w14:textId="0535C2EA" w:rsidR="00244FB6" w:rsidRDefault="00244FB6" w:rsidP="00244FB6">
      <w:pPr>
        <w:pStyle w:val="FootnoteText"/>
        <w:ind w:firstLine="0"/>
      </w:pPr>
      <w:r>
        <w:rPr>
          <w:rStyle w:val="FootnoteReference"/>
        </w:rPr>
        <w:footnoteRef/>
      </w:r>
      <w:r>
        <w:t xml:space="preserve"> </w:t>
      </w:r>
      <w:bookmarkStart w:id="108" w:name="_Hlk149731254"/>
      <w:r>
        <w:t xml:space="preserve">Henricus de Pisis, </w:t>
      </w:r>
      <w:r w:rsidRPr="00437580">
        <w:rPr>
          <w:i/>
          <w:iCs/>
        </w:rPr>
        <w:t>Opus Geomantiae Completum</w:t>
      </w:r>
      <w:bookmarkEnd w:id="108"/>
      <w:r>
        <w:t>, 3.</w:t>
      </w:r>
    </w:p>
  </w:footnote>
  <w:footnote w:id="405">
    <w:p w14:paraId="6FDC51A6" w14:textId="0F46C352" w:rsidR="00244FB6" w:rsidRDefault="00244FB6" w:rsidP="00244FB6">
      <w:pPr>
        <w:pStyle w:val="FootnoteText"/>
        <w:ind w:firstLine="0"/>
      </w:pPr>
      <w:r>
        <w:rPr>
          <w:rStyle w:val="FootnoteReference"/>
        </w:rPr>
        <w:footnoteRef/>
      </w:r>
      <w:r>
        <w:t xml:space="preserve"> </w:t>
      </w:r>
      <w:r w:rsidR="00FE6956" w:rsidRPr="00FE6956">
        <w:rPr>
          <w:i/>
          <w:iCs/>
        </w:rPr>
        <w:t>Ibid</w:t>
      </w:r>
      <w:r w:rsidR="00FE6956">
        <w:t>.</w:t>
      </w:r>
      <w:r>
        <w:t xml:space="preserve">, 15. </w:t>
      </w:r>
    </w:p>
  </w:footnote>
  <w:footnote w:id="406">
    <w:p w14:paraId="72353FA4" w14:textId="1AE8C42B" w:rsidR="00244FB6" w:rsidRDefault="00244FB6" w:rsidP="00244FB6">
      <w:pPr>
        <w:pStyle w:val="FootnoteText"/>
        <w:ind w:firstLine="0"/>
      </w:pPr>
      <w:r>
        <w:rPr>
          <w:rStyle w:val="FootnoteReference"/>
        </w:rPr>
        <w:footnoteRef/>
      </w:r>
      <w:r>
        <w:t xml:space="preserve"> </w:t>
      </w:r>
      <w:r w:rsidR="00FE6956" w:rsidRPr="00FE6956">
        <w:rPr>
          <w:i/>
          <w:iCs/>
        </w:rPr>
        <w:t>Ibid</w:t>
      </w:r>
      <w:r w:rsidR="00FE6956">
        <w:t>.</w:t>
      </w:r>
      <w:r>
        <w:t>, 26-27.</w:t>
      </w:r>
    </w:p>
  </w:footnote>
  <w:footnote w:id="407">
    <w:p w14:paraId="7FD77DF8" w14:textId="7F33986A" w:rsidR="00244FB6" w:rsidRDefault="00244FB6" w:rsidP="00244FB6">
      <w:pPr>
        <w:pStyle w:val="FootnoteText"/>
        <w:ind w:firstLine="0"/>
      </w:pPr>
      <w:r>
        <w:rPr>
          <w:rStyle w:val="FootnoteReference"/>
        </w:rPr>
        <w:footnoteRef/>
      </w:r>
      <w:r>
        <w:t xml:space="preserve"> </w:t>
      </w:r>
      <w:r w:rsidR="00FE6956" w:rsidRPr="00FE6956">
        <w:rPr>
          <w:i/>
          <w:iCs/>
        </w:rPr>
        <w:t>Ibid</w:t>
      </w:r>
      <w:r w:rsidR="00FE6956">
        <w:t>.</w:t>
      </w:r>
      <w:r>
        <w:t>, 24-25: “</w:t>
      </w:r>
      <w:r w:rsidRPr="00A0185B">
        <w:t>Minùs etenim sunt acceptandi illi qui rotulâ unicâ, magna, dentata, et solida, exiguo innixa acumini, ut scilicet vol</w:t>
      </w:r>
      <w:r>
        <w:t>v</w:t>
      </w:r>
      <w:r w:rsidRPr="00A0185B">
        <w:t>i et rotari facillimè possit, utuntur, ad matrum quatuor productionem quam quidem rotulam hîc infra depictam variis numeris in singulis dentium intervallis mediis insignitam et notatam, rotandum in mediocre cursu quatuor digitis sistendo, numerum intervallo illi cui pollex inseritur dum sistitur respondentem colligentes, à parte scribunt, ut resultantem extrahant paritatem aut imparitatem. Numerus enim se habet vice numerorum punctorum, et possunt inscribi tot numero quot erunt dentes in totâ rotulâ (quae disci ferè instar octo ad minus digitos habet diametri cum pollicis crassitie) sícque vol</w:t>
      </w:r>
      <w:r>
        <w:t>v</w:t>
      </w:r>
      <w:r w:rsidRPr="00A0185B">
        <w:t>itur illa quarter ut singulae formentur ex paritate aut imparitate matres ut diximus de tesseris, ecce schema.</w:t>
      </w:r>
      <w:r>
        <w:t>”</w:t>
      </w:r>
    </w:p>
  </w:footnote>
  <w:footnote w:id="408">
    <w:p w14:paraId="09089BFE" w14:textId="2CB5A594" w:rsidR="00244FB6" w:rsidRDefault="00244FB6" w:rsidP="00244FB6">
      <w:pPr>
        <w:pStyle w:val="FootnoteText"/>
        <w:ind w:firstLine="0"/>
      </w:pPr>
      <w:r>
        <w:rPr>
          <w:rStyle w:val="FootnoteReference"/>
        </w:rPr>
        <w:footnoteRef/>
      </w:r>
      <w:r>
        <w:t xml:space="preserve"> Henricus de Pisis, </w:t>
      </w:r>
      <w:r w:rsidRPr="00437580">
        <w:rPr>
          <w:i/>
          <w:iCs/>
        </w:rPr>
        <w:t>Opus Geomantiae Completum</w:t>
      </w:r>
      <w:r>
        <w:t>, 63.</w:t>
      </w:r>
    </w:p>
  </w:footnote>
  <w:footnote w:id="409">
    <w:p w14:paraId="2A550D5B" w14:textId="2FFD90FB" w:rsidR="00244FB6" w:rsidRDefault="00244FB6" w:rsidP="00244FB6">
      <w:pPr>
        <w:pStyle w:val="FootnoteText"/>
        <w:ind w:firstLine="0"/>
      </w:pPr>
      <w:r>
        <w:rPr>
          <w:rStyle w:val="FootnoteReference"/>
        </w:rPr>
        <w:footnoteRef/>
      </w:r>
      <w:r>
        <w:t xml:space="preserve"> Henricus de Pisis, </w:t>
      </w:r>
      <w:r w:rsidRPr="00437580">
        <w:rPr>
          <w:i/>
          <w:iCs/>
        </w:rPr>
        <w:t>Opus Geomantiae Completum</w:t>
      </w:r>
      <w:r>
        <w:t xml:space="preserve">, 48. </w:t>
      </w:r>
    </w:p>
  </w:footnote>
  <w:footnote w:id="410">
    <w:p w14:paraId="1BEE2ABC" w14:textId="6BD01D8B"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 3r-3v: “[…] d’autant que par l’Astrologie les choses ne se puuent s</w:t>
      </w:r>
      <w:r w:rsidRPr="000F3A59">
        <w:t>ç</w:t>
      </w:r>
      <w:r>
        <w:t>auoir et cognoistre, sinon qu’auec grand’peine et difficulté, et longue espace de temps. Tant pour les instrumens qui à icelle sons requis, comme l’Astrolabe, le Quadran, &amp; grand nombre de liures: que pour la carence et defectuosité du soleil souuent obscurcy, et ne iectant ses rayons sur terre, à cause des exhalations et vapeurs d icelle, qui empeschent sa lueur. Sans la difficulté et labeur qu’il y a à compter les heures, minutes, et poincts. Mais quant à ceste science (i.e. geomancy) , il n’y a point tant de peine, ne tant de choses à chercher: de forte qu’à quelque temps et heure qu’on veult, elle se peult practiquer, à cause de quoy elle est aussi appellée fille d’Astrologie.”</w:t>
      </w:r>
    </w:p>
  </w:footnote>
  <w:footnote w:id="411">
    <w:p w14:paraId="1AEA3D80" w14:textId="0892516E"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 14v-15r: “Nous avons dict cy deuant le monde estre diuisé en deux parties, vne elementaire don’t auons parlé, et l’autre celeste, delaquelle fault traicter maintenant: à fin qu’estans instruicts non seulement es choses naturelles, come sont les quatre elemens et ce qui depend d’eux […]. Or combien qu’il ne soit pas requis, que le Geomancien entende et s</w:t>
      </w:r>
      <w:r w:rsidRPr="0094667A">
        <w:t>ç</w:t>
      </w:r>
      <w:r>
        <w:t>ache perfaitement l’Astrologie, ains seulement qu’il y soit instruict, et y ait versé mediocrements: si est ce neantmoins qu’vn bon Astrologue iugera beaucoup mieux, d’vne figure de cest art, que ne fera le Geomancien qui peu y sera exercité, à l’occasion que ceste science[…] est vne partie d’Astrologie […].”</w:t>
      </w:r>
    </w:p>
  </w:footnote>
  <w:footnote w:id="412">
    <w:p w14:paraId="27460AC1" w14:textId="45ED66D6"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,15r.</w:t>
      </w:r>
    </w:p>
  </w:footnote>
  <w:footnote w:id="413">
    <w:p w14:paraId="45174AE1" w14:textId="53E108FD"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 30v.</w:t>
      </w:r>
    </w:p>
  </w:footnote>
  <w:footnote w:id="414">
    <w:p w14:paraId="29A07F7E" w14:textId="77777777" w:rsidR="00244FB6" w:rsidRDefault="00244FB6" w:rsidP="00244FB6">
      <w:pPr>
        <w:pStyle w:val="FootnoteText"/>
        <w:ind w:firstLine="0"/>
      </w:pPr>
      <w:r>
        <w:rPr>
          <w:rStyle w:val="FootnoteReference"/>
        </w:rPr>
        <w:footnoteRef/>
      </w:r>
      <w:r>
        <w:t xml:space="preserve"> </w:t>
      </w:r>
      <w:r w:rsidRPr="00A1493C">
        <w:rPr>
          <w:i/>
          <w:iCs/>
        </w:rPr>
        <w:t>Ibid</w:t>
      </w:r>
      <w:r>
        <w:t>., 31r.</w:t>
      </w:r>
    </w:p>
  </w:footnote>
  <w:footnote w:id="415">
    <w:p w14:paraId="0D47D1E1" w14:textId="77777777" w:rsidR="00244FB6" w:rsidRDefault="00244FB6" w:rsidP="00244FB6">
      <w:pPr>
        <w:pStyle w:val="FootnoteText"/>
        <w:ind w:firstLine="0"/>
      </w:pPr>
      <w:r>
        <w:rPr>
          <w:rStyle w:val="FootnoteReference"/>
        </w:rPr>
        <w:footnoteRef/>
      </w:r>
      <w:r>
        <w:t xml:space="preserve"> </w:t>
      </w:r>
      <w:r w:rsidRPr="00A1493C">
        <w:rPr>
          <w:i/>
          <w:iCs/>
        </w:rPr>
        <w:t>Ibid</w:t>
      </w:r>
      <w:r>
        <w:t>., 34r-35v.</w:t>
      </w:r>
    </w:p>
  </w:footnote>
  <w:footnote w:id="416">
    <w:p w14:paraId="174B54B2" w14:textId="77777777" w:rsidR="00244FB6" w:rsidRDefault="00244FB6" w:rsidP="00244FB6">
      <w:pPr>
        <w:pStyle w:val="FootnoteText"/>
        <w:ind w:firstLine="0"/>
      </w:pPr>
      <w:r>
        <w:rPr>
          <w:rStyle w:val="FootnoteReference"/>
        </w:rPr>
        <w:footnoteRef/>
      </w:r>
      <w:r>
        <w:t xml:space="preserve"> </w:t>
      </w:r>
      <w:r w:rsidRPr="00A1493C">
        <w:rPr>
          <w:i/>
          <w:iCs/>
        </w:rPr>
        <w:t>Ibid</w:t>
      </w:r>
      <w:r>
        <w:t>., 36r: “Ie vous ay bien voulu dire ce mot des Zones, à fin que quand vous viédrez aux chapistres des figures de Geomacye, vous en s</w:t>
      </w:r>
      <w:r w:rsidRPr="0094667A">
        <w:t>ç</w:t>
      </w:r>
      <w:r>
        <w:t>achiez plus perfaictement la nature et proprieté, pour la qualité que les vnes tiennent de la terre, les autres de l’eau, les autres de l’air, et les autres du feu […].”</w:t>
      </w:r>
    </w:p>
  </w:footnote>
  <w:footnote w:id="417">
    <w:p w14:paraId="3FFCEDBB" w14:textId="77777777" w:rsidR="00244FB6" w:rsidRDefault="00244FB6" w:rsidP="00244FB6">
      <w:pPr>
        <w:pStyle w:val="FootnoteText"/>
        <w:ind w:firstLine="0"/>
      </w:pPr>
      <w:r>
        <w:rPr>
          <w:rStyle w:val="FootnoteReference"/>
        </w:rPr>
        <w:footnoteRef/>
      </w:r>
      <w:r>
        <w:t xml:space="preserve"> On Fludd’s life and work see Joscelyn Godwin, </w:t>
      </w:r>
      <w:r w:rsidRPr="007C4F1F">
        <w:rPr>
          <w:i/>
          <w:iCs/>
        </w:rPr>
        <w:t xml:space="preserve">Robert Fludd: </w:t>
      </w:r>
      <w:r>
        <w:rPr>
          <w:i/>
          <w:iCs/>
        </w:rPr>
        <w:t>H</w:t>
      </w:r>
      <w:r w:rsidRPr="007C4F1F">
        <w:rPr>
          <w:i/>
          <w:iCs/>
        </w:rPr>
        <w:t xml:space="preserve">ermetic </w:t>
      </w:r>
      <w:r>
        <w:rPr>
          <w:i/>
          <w:iCs/>
        </w:rPr>
        <w:t>P</w:t>
      </w:r>
      <w:r w:rsidRPr="007C4F1F">
        <w:rPr>
          <w:i/>
          <w:iCs/>
        </w:rPr>
        <w:t xml:space="preserve">hilosopher and </w:t>
      </w:r>
      <w:r>
        <w:rPr>
          <w:i/>
          <w:iCs/>
        </w:rPr>
        <w:t>S</w:t>
      </w:r>
      <w:r w:rsidRPr="007C4F1F">
        <w:rPr>
          <w:i/>
          <w:iCs/>
        </w:rPr>
        <w:t xml:space="preserve">urveyor of </w:t>
      </w:r>
      <w:r>
        <w:rPr>
          <w:i/>
          <w:iCs/>
        </w:rPr>
        <w:t>T</w:t>
      </w:r>
      <w:r w:rsidRPr="007C4F1F">
        <w:rPr>
          <w:i/>
          <w:iCs/>
        </w:rPr>
        <w:t xml:space="preserve">wo </w:t>
      </w:r>
      <w:r>
        <w:rPr>
          <w:i/>
          <w:iCs/>
        </w:rPr>
        <w:t>W</w:t>
      </w:r>
      <w:r w:rsidRPr="007C4F1F">
        <w:rPr>
          <w:i/>
          <w:iCs/>
        </w:rPr>
        <w:t>orlds</w:t>
      </w:r>
      <w:r>
        <w:t xml:space="preserve"> (</w:t>
      </w:r>
      <w:r w:rsidRPr="007C4F1F">
        <w:t>London: Thames and Hudson, 1979</w:t>
      </w:r>
      <w:r>
        <w:t xml:space="preserve">), and Joscelyn Godwin, </w:t>
      </w:r>
      <w:r w:rsidRPr="0051352B">
        <w:rPr>
          <w:i/>
          <w:iCs/>
        </w:rPr>
        <w:t>The Greater &amp; Lesser Worlds of Robert Fludd: Macrocosm, Microcosm &amp; Medicine</w:t>
      </w:r>
      <w:r>
        <w:t xml:space="preserve"> (</w:t>
      </w:r>
      <w:r w:rsidRPr="0051352B">
        <w:t>Rochester, Vermont: Inner Traditions, 2019</w:t>
      </w:r>
      <w:r>
        <w:t>).</w:t>
      </w:r>
    </w:p>
  </w:footnote>
  <w:footnote w:id="418">
    <w:p w14:paraId="6538FA32" w14:textId="77777777" w:rsidR="00244FB6" w:rsidRDefault="00244FB6" w:rsidP="00244FB6">
      <w:pPr>
        <w:pStyle w:val="FootnoteText"/>
        <w:ind w:firstLine="0"/>
      </w:pPr>
      <w:r>
        <w:rPr>
          <w:rStyle w:val="FootnoteReference"/>
        </w:rPr>
        <w:footnoteRef/>
      </w:r>
      <w:r>
        <w:t xml:space="preserve"> Godwin, </w:t>
      </w:r>
      <w:r w:rsidRPr="0051352B">
        <w:rPr>
          <w:i/>
          <w:iCs/>
        </w:rPr>
        <w:t>The Greater &amp; Lesser Worlds of Robert Fludd</w:t>
      </w:r>
      <w:r>
        <w:rPr>
          <w:i/>
          <w:iCs/>
        </w:rPr>
        <w:t xml:space="preserve"> </w:t>
      </w:r>
      <w:r>
        <w:t>(</w:t>
      </w:r>
      <w:r w:rsidRPr="0051352B">
        <w:t>2019</w:t>
      </w:r>
      <w:r>
        <w:t>), 252.</w:t>
      </w:r>
    </w:p>
  </w:footnote>
  <w:footnote w:id="419">
    <w:p w14:paraId="55E33325" w14:textId="4F4F6166" w:rsidR="00244FB6" w:rsidRDefault="00244FB6" w:rsidP="00244FB6">
      <w:pPr>
        <w:pStyle w:val="FootnoteText"/>
        <w:ind w:firstLine="0"/>
      </w:pPr>
      <w:r>
        <w:rPr>
          <w:rStyle w:val="FootnoteReference"/>
        </w:rPr>
        <w:footnoteRef/>
      </w:r>
      <w:r>
        <w:t xml:space="preserve"> In the early seventeenth century a number of exceptional engravings were produced in Germany by </w:t>
      </w:r>
      <w:r w:rsidRPr="00A40FD6">
        <w:t>Matthäus Merian</w:t>
      </w:r>
      <w:r>
        <w:t xml:space="preserve"> the Elder, who worked for the publisher Theodor de Bry in Hoppenheim. Merian is the author of the engravings in the works of Heinrich Khunrath, Daniel Mögling, Stephan Michelspacher and of course, Robert Fludd. See </w:t>
      </w:r>
      <w:r w:rsidRPr="00A40FD6">
        <w:rPr>
          <w:i/>
          <w:iCs/>
        </w:rPr>
        <w:t>Divine Wisdom and Divine Nature. The Message of the Rosicrucian Manifestoes in the Visual Language of the Seventeenth Century</w:t>
      </w:r>
      <w:r>
        <w:t>, ed. by J</w:t>
      </w:r>
      <w:r w:rsidR="00E364C7">
        <w:t>.</w:t>
      </w:r>
      <w:r>
        <w:t xml:space="preserve"> Bouman and C</w:t>
      </w:r>
      <w:r w:rsidR="00E364C7">
        <w:t>.</w:t>
      </w:r>
      <w:r>
        <w:t xml:space="preserve"> van Heertum (Amsterdam: In de Pelikaan, 2016), 72, 127; and Frances A. Yates, </w:t>
      </w:r>
      <w:r w:rsidRPr="00A40FD6">
        <w:rPr>
          <w:i/>
          <w:iCs/>
        </w:rPr>
        <w:t>The Rosicrucian Enlightenment</w:t>
      </w:r>
      <w:r>
        <w:t xml:space="preserve"> (London: Routledge &amp; Kegan Paul, 1972), 70-90.</w:t>
      </w:r>
    </w:p>
  </w:footnote>
  <w:footnote w:id="420">
    <w:p w14:paraId="082DEA43" w14:textId="77777777" w:rsidR="00244FB6" w:rsidRPr="00122960" w:rsidRDefault="00244FB6" w:rsidP="00244FB6">
      <w:pPr>
        <w:pStyle w:val="FootnoteText"/>
        <w:ind w:firstLine="0"/>
      </w:pPr>
      <w:r>
        <w:rPr>
          <w:rStyle w:val="FootnoteReference"/>
        </w:rPr>
        <w:footnoteRef/>
      </w:r>
      <w:r>
        <w:t xml:space="preserve"> C. H. Josten, ‘Robert Fludd’s Theory of Geomancy and His Experiences at Avignon in the Winter of 1601 to 1602’, in </w:t>
      </w:r>
      <w:r w:rsidRPr="006E38AD">
        <w:rPr>
          <w:i/>
          <w:iCs/>
        </w:rPr>
        <w:t>Journal of the Warburg and Courtauld Institutes</w:t>
      </w:r>
      <w:r>
        <w:t xml:space="preserve"> (1964), 327-335. More recently, Robert Fludd’s theory of geomancy has been discussed in the article Alessandro Palazzo, ‘Origins, Development and Decline of the Western Geomantic Tradition’, in </w:t>
      </w:r>
      <w:r w:rsidRPr="00122960">
        <w:rPr>
          <w:i/>
          <w:iCs/>
        </w:rPr>
        <w:t>Documenti e studi sulla tradizione filosofica medievale</w:t>
      </w:r>
      <w:r>
        <w:rPr>
          <w:i/>
          <w:iCs/>
        </w:rPr>
        <w:t xml:space="preserve">, </w:t>
      </w:r>
      <w:r w:rsidRPr="00122960">
        <w:t>XXXI (2020), 417-441</w:t>
      </w:r>
      <w:r>
        <w:t>.</w:t>
      </w:r>
    </w:p>
  </w:footnote>
  <w:footnote w:id="421">
    <w:p w14:paraId="6480BB51" w14:textId="2DA23B81" w:rsidR="00244FB6" w:rsidRPr="00633E38" w:rsidRDefault="00244FB6" w:rsidP="00244FB6">
      <w:pPr>
        <w:pStyle w:val="FootnoteText"/>
        <w:ind w:firstLine="0"/>
      </w:pPr>
      <w:r>
        <w:rPr>
          <w:rStyle w:val="FootnoteReference"/>
        </w:rPr>
        <w:footnoteRef/>
      </w:r>
      <w:r>
        <w:t xml:space="preserve"> See Godwin, </w:t>
      </w:r>
      <w:r w:rsidRPr="0051352B">
        <w:rPr>
          <w:i/>
          <w:iCs/>
        </w:rPr>
        <w:t>The Greater &amp; Lesser Worlds of Robert Fludd: Macrocosm, Microcosm &amp; Medicine</w:t>
      </w:r>
      <w:r>
        <w:t>, 73.</w:t>
      </w:r>
    </w:p>
  </w:footnote>
  <w:footnote w:id="422">
    <w:p w14:paraId="399F0E5C" w14:textId="77777777" w:rsidR="00244FB6" w:rsidRPr="00E250B6" w:rsidRDefault="00244FB6" w:rsidP="00244FB6">
      <w:pPr>
        <w:pStyle w:val="FootnoteText"/>
        <w:ind w:firstLine="0"/>
      </w:pPr>
      <w:r>
        <w:rPr>
          <w:rStyle w:val="FootnoteReference"/>
        </w:rPr>
        <w:footnoteRef/>
      </w:r>
      <w:r>
        <w:t xml:space="preserve"> Robert Fludd, </w:t>
      </w:r>
      <w:r w:rsidRPr="00E250B6">
        <w:rPr>
          <w:i/>
          <w:iCs/>
        </w:rPr>
        <w:t>De Naturae Simia seu technica macrocosmi historia</w:t>
      </w:r>
      <w:r>
        <w:rPr>
          <w:i/>
          <w:iCs/>
        </w:rPr>
        <w:t xml:space="preserve"> in partes undecim divisa</w:t>
      </w:r>
      <w:r>
        <w:t xml:space="preserve">, in </w:t>
      </w:r>
      <w:r w:rsidRPr="00E250B6">
        <w:rPr>
          <w:i/>
          <w:iCs/>
        </w:rPr>
        <w:t>Utriusque Cosmi Maioris scilicet Minoris Metaphysica, Physica atque Technica Historia, Tomus primus</w:t>
      </w:r>
      <w:r>
        <w:rPr>
          <w:i/>
          <w:iCs/>
        </w:rPr>
        <w:t xml:space="preserve"> </w:t>
      </w:r>
      <w:r>
        <w:t>(Frankfurt: Johann Theodor de Bry, 1624), tract. II, part. I, lib. I, 35.</w:t>
      </w:r>
    </w:p>
  </w:footnote>
  <w:footnote w:id="423">
    <w:p w14:paraId="25F6A389" w14:textId="77777777" w:rsidR="00244FB6" w:rsidRPr="00E9381B" w:rsidRDefault="00244FB6" w:rsidP="00244FB6">
      <w:pPr>
        <w:pStyle w:val="FootnoteText"/>
        <w:ind w:firstLine="0"/>
      </w:pPr>
      <w:r>
        <w:rPr>
          <w:rStyle w:val="FootnoteReference"/>
        </w:rPr>
        <w:footnoteRef/>
      </w:r>
      <w:r>
        <w:t xml:space="preserve"> Fludd, </w:t>
      </w:r>
      <w:r w:rsidRPr="00E250B6">
        <w:rPr>
          <w:i/>
          <w:iCs/>
        </w:rPr>
        <w:t>De Naturae Simia</w:t>
      </w:r>
      <w:r>
        <w:rPr>
          <w:i/>
          <w:iCs/>
        </w:rPr>
        <w:t xml:space="preserve"> </w:t>
      </w:r>
      <w:r>
        <w:t>(1624), tract. II, part. I, lib. VIII, 143-146.</w:t>
      </w:r>
    </w:p>
  </w:footnote>
  <w:footnote w:id="424">
    <w:p w14:paraId="01EC7685" w14:textId="22CFC9FE" w:rsidR="00244FB6" w:rsidRDefault="00244FB6" w:rsidP="00244FB6">
      <w:pPr>
        <w:pStyle w:val="FootnoteText"/>
        <w:ind w:firstLine="0"/>
      </w:pPr>
      <w:r>
        <w:rPr>
          <w:rStyle w:val="FootnoteReference"/>
        </w:rPr>
        <w:footnoteRef/>
      </w:r>
      <w:r>
        <w:t xml:space="preserve"> </w:t>
      </w:r>
      <w:r w:rsidR="0078272D" w:rsidRPr="0078272D">
        <w:rPr>
          <w:i/>
          <w:iCs/>
        </w:rPr>
        <w:t>Ibid</w:t>
      </w:r>
      <w:r w:rsidR="0078272D">
        <w:t>.</w:t>
      </w:r>
      <w:r>
        <w:t>, part. XI, 715.</w:t>
      </w:r>
    </w:p>
  </w:footnote>
  <w:footnote w:id="425">
    <w:p w14:paraId="678B852F" w14:textId="2055945A" w:rsidR="00244FB6" w:rsidRDefault="00244FB6" w:rsidP="00244FB6">
      <w:pPr>
        <w:pStyle w:val="FootnoteText"/>
        <w:ind w:firstLine="0"/>
      </w:pPr>
      <w:r>
        <w:rPr>
          <w:rStyle w:val="FootnoteReference"/>
        </w:rPr>
        <w:footnoteRef/>
      </w:r>
      <w:r>
        <w:t xml:space="preserve"> </w:t>
      </w:r>
      <w:r w:rsidR="0078272D" w:rsidRPr="0078272D">
        <w:rPr>
          <w:i/>
          <w:iCs/>
        </w:rPr>
        <w:t>Ibid</w:t>
      </w:r>
      <w:r w:rsidR="0078272D">
        <w:t>.</w:t>
      </w:r>
      <w:r>
        <w:t>, part. XI, 716.</w:t>
      </w:r>
    </w:p>
  </w:footnote>
  <w:footnote w:id="426">
    <w:p w14:paraId="6E81571B" w14:textId="08254BE6" w:rsidR="00244FB6" w:rsidRDefault="00244FB6" w:rsidP="00244FB6">
      <w:pPr>
        <w:pStyle w:val="FootnoteText"/>
        <w:ind w:firstLine="0"/>
      </w:pPr>
      <w:r>
        <w:rPr>
          <w:rStyle w:val="FootnoteReference"/>
        </w:rPr>
        <w:footnoteRef/>
      </w:r>
      <w:r>
        <w:t xml:space="preserve"> For the English translation of this episode see Josten, </w:t>
      </w:r>
      <w:r w:rsidR="00DF3C9A">
        <w:t>‘</w:t>
      </w:r>
      <w:r>
        <w:t>Robert Fludd’s Theory of Geomancy</w:t>
      </w:r>
      <w:r w:rsidR="00DF3C9A">
        <w:t>,’</w:t>
      </w:r>
      <w:r>
        <w:t xml:space="preserve"> 332-335. </w:t>
      </w:r>
    </w:p>
  </w:footnote>
  <w:footnote w:id="427">
    <w:p w14:paraId="72F7A163" w14:textId="7E7C31A3"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717.</w:t>
      </w:r>
    </w:p>
  </w:footnote>
  <w:footnote w:id="428">
    <w:p w14:paraId="20F75977" w14:textId="15707AC4" w:rsidR="00244FB6" w:rsidRDefault="00244FB6" w:rsidP="00244FB6">
      <w:pPr>
        <w:pStyle w:val="FootnoteText"/>
        <w:ind w:firstLine="0"/>
      </w:pPr>
      <w:r>
        <w:rPr>
          <w:rStyle w:val="FootnoteReference"/>
        </w:rPr>
        <w:footnoteRef/>
      </w:r>
      <w:r>
        <w:t xml:space="preserve"> Josten, ‘Robert Fludd’s Theory of Geomancy</w:t>
      </w:r>
      <w:r w:rsidR="00BB6015">
        <w:t>,</w:t>
      </w:r>
      <w:r>
        <w:t>’ 333: “Truly […] this is not as serious an offence as you are trying to make out. Is there indeed a single Cardinal in Italy who does not possess an interpretation of his nativity after the astrological or the geomantic method?”</w:t>
      </w:r>
    </w:p>
  </w:footnote>
  <w:footnote w:id="429">
    <w:p w14:paraId="4C2FDF81" w14:textId="22FE6224" w:rsidR="00244FB6" w:rsidRDefault="00244FB6" w:rsidP="00244FB6">
      <w:pPr>
        <w:pStyle w:val="FootnoteText"/>
        <w:ind w:firstLine="0"/>
      </w:pPr>
      <w:r>
        <w:rPr>
          <w:rStyle w:val="FootnoteReference"/>
        </w:rPr>
        <w:footnoteRef/>
      </w:r>
      <w:r>
        <w:t xml:space="preserve"> Josten, ‘Robert Fludd’s Theory of Geomancy</w:t>
      </w:r>
      <w:r w:rsidR="00BB6015">
        <w:t>,</w:t>
      </w:r>
      <w:r>
        <w:t>’ 334: “Having listened to this speech, the Vice-Legate, [standing] among some bishops and deans, called me to a table nearby, where he took quill and ink, drew a geomantic figure, and discoursed about it in a most learned way, so that I saw clearly he was far more learned and skilled than I in that science for which the Jesuits had denounced me to him. So, when the meal was over, I went away enjoying his favour, and afterwards I paid several visits to him; for I had noticed he was a very ingenious prince, well versed in the sciences, friendly towards foreigners, and in no way given to tyranny.”</w:t>
      </w:r>
    </w:p>
  </w:footnote>
  <w:footnote w:id="430">
    <w:p w14:paraId="639E3752" w14:textId="26E86716"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720: “</w:t>
      </w:r>
      <w:r w:rsidRPr="0025150E">
        <w:t>C</w:t>
      </w:r>
      <w:r>
        <w:t>u</w:t>
      </w:r>
      <w:r w:rsidRPr="0025150E">
        <w:t>m haec scientia fundata sit super animam, certum atque manifestum est, nihil in ea praestari posse, nisi in quantum anima illud concedit. Quare requiritur, ut ille, qui in hac arte versari voluerit, priusquam exordium suae prosectionis faciat, bonam &amp; illaesam habeat conscientiam, ac ut corpus &amp; spiritus sine perturbatione gubernetur</w:t>
      </w:r>
      <w:r>
        <w:t xml:space="preserve"> […]. </w:t>
      </w:r>
      <w:r w:rsidRPr="0054505E">
        <w:t>Denique in Deo potentissimo debet confidere, qui autor est omnis scientiae &amp; veritatis, &amp; orare ipsum, ut per hanc scientiam sibi concedatur veritatem invenire, quam desiderat cor ejus cognoscere</w:t>
      </w:r>
      <w:r>
        <w:t>.”</w:t>
      </w:r>
    </w:p>
  </w:footnote>
  <w:footnote w:id="431">
    <w:p w14:paraId="47BD2E5D" w14:textId="43E8A728"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720: “</w:t>
      </w:r>
      <w:r w:rsidRPr="006B11AB">
        <w:t>Hinc igitur est, quod tanta fallacia atque incertitudo in hac arte oritur. Hinc etiam est, quod eadem istaec ars pro nihilo habetur, videlicet, quoniam quidam Artistarum nomina falso sibi tribuentes neglecto Deo, animaeque suae pacificatione, ac corporis voluptatibus minimè submotis, falsò de rebus propositis judicant, atque hac ratione reddunt artem hanc occultam, valdeque profundam, ita contemptam, ut etiam pro omnium falsissima communiter reputetur</w:t>
      </w:r>
      <w:r>
        <w:t>.”</w:t>
      </w:r>
    </w:p>
  </w:footnote>
  <w:footnote w:id="432">
    <w:p w14:paraId="3FA87D01" w14:textId="7860C1EB"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724-766.</w:t>
      </w:r>
    </w:p>
  </w:footnote>
  <w:footnote w:id="433">
    <w:p w14:paraId="3DD05353" w14:textId="235465C5"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769: “</w:t>
      </w:r>
      <w:r w:rsidRPr="00801AD6">
        <w:t>C</w:t>
      </w:r>
      <w:r>
        <w:t>u</w:t>
      </w:r>
      <w:r w:rsidRPr="00801AD6">
        <w:t xml:space="preserve">m judicium perturbatur, quod saepius accidit, ita ut illud, quod petitur, non satis aperte se declaret, eo casu fac tres figuras novas, hoc est, unam figuram ex prima &amp; quarta. Secundam ex septima </w:t>
      </w:r>
      <w:r>
        <w:t>et</w:t>
      </w:r>
      <w:r w:rsidRPr="00801AD6">
        <w:t xml:space="preserve"> decima, </w:t>
      </w:r>
      <w:r>
        <w:t>et</w:t>
      </w:r>
      <w:r w:rsidRPr="00801AD6">
        <w:t xml:space="preserve"> de his duabus tertiam. Hae autem tres figurae habebunt completam virtutem judicii</w:t>
      </w:r>
      <w:r>
        <w:t>.</w:t>
      </w:r>
      <w:r w:rsidRPr="00801AD6">
        <w:t xml:space="preserve"> Proinde, si fuerint bonae, judica bene, si malae, malè, sin autem mediocres, mediocriter.</w:t>
      </w:r>
      <w:r>
        <w:t>”</w:t>
      </w:r>
    </w:p>
  </w:footnote>
  <w:footnote w:id="434">
    <w:p w14:paraId="29BF6600" w14:textId="77D9A7D8" w:rsidR="00AA22EF" w:rsidRDefault="00AA22EF" w:rsidP="00AA22EF">
      <w:pPr>
        <w:pStyle w:val="FootnoteText"/>
        <w:ind w:firstLine="0"/>
      </w:pPr>
      <w:r>
        <w:rPr>
          <w:rStyle w:val="FootnoteReference"/>
        </w:rPr>
        <w:footnoteRef/>
      </w:r>
      <w:r>
        <w:t xml:space="preserve"> Although the procedure of formation in Fludd diverges from that described in the Liber arenalis scientiae, in which the sixteenth figure is formed by the sum of the first and fifteenth figures, the seventeenth is formed from the second and the eighth figures, and the eighteenth is derived by joining the sixteenth and the seventeenth. See Appendix 1, passage 25. </w:t>
      </w:r>
    </w:p>
  </w:footnote>
  <w:footnote w:id="435">
    <w:p w14:paraId="759DC2A0" w14:textId="48724290"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769: “</w:t>
      </w:r>
      <w:r w:rsidRPr="00CC7475">
        <w:t xml:space="preserve">Sed </w:t>
      </w:r>
      <w:r>
        <w:t>et</w:t>
      </w:r>
      <w:r w:rsidRPr="00CC7475">
        <w:t xml:space="preserve"> accidit nonnunquam, ut necessitas cogat eligere fortunas ad producendum </w:t>
      </w:r>
      <w:r>
        <w:t>quatuor</w:t>
      </w:r>
      <w:r w:rsidRPr="00CC7475">
        <w:t xml:space="preserve"> matres, nempe ex prima </w:t>
      </w:r>
      <w:r>
        <w:t>et</w:t>
      </w:r>
      <w:r w:rsidRPr="00CC7475">
        <w:t xml:space="preserve"> quinta, unam, ex secunda &amp; sexta, se cundam, ex tertia </w:t>
      </w:r>
      <w:r>
        <w:t>et</w:t>
      </w:r>
      <w:r w:rsidRPr="00CC7475">
        <w:t xml:space="preserve"> septima, tertiam, </w:t>
      </w:r>
      <w:r>
        <w:t>et</w:t>
      </w:r>
      <w:r w:rsidRPr="00CC7475">
        <w:t xml:space="preserve"> ex quarta &amp; octava, quartam. Quas quidem figuras ita productas quatuor matres secundarias appellamus. Ex his igitur matribus oportet novum conflare judicium, quod tibi rem demonstrabit delitescentem adhuc in prima quaestione.</w:t>
      </w:r>
      <w:r>
        <w:t>”</w:t>
      </w:r>
    </w:p>
  </w:footnote>
  <w:footnote w:id="436">
    <w:p w14:paraId="40406E7C" w14:textId="3E120464" w:rsidR="00244FB6" w:rsidRDefault="00244FB6" w:rsidP="00244FB6">
      <w:pPr>
        <w:pStyle w:val="FootnoteText"/>
        <w:ind w:firstLine="0"/>
      </w:pPr>
      <w:r>
        <w:rPr>
          <w:rStyle w:val="FootnoteReference"/>
        </w:rPr>
        <w:footnoteRef/>
      </w:r>
      <w:r>
        <w:t xml:space="preserve"> Fludd, </w:t>
      </w:r>
      <w:r w:rsidRPr="00E250B6">
        <w:rPr>
          <w:i/>
          <w:iCs/>
        </w:rPr>
        <w:t>De Naturae Simia</w:t>
      </w:r>
      <w:r>
        <w:t>, tract. II, part. XI, 775-783.</w:t>
      </w:r>
    </w:p>
  </w:footnote>
  <w:footnote w:id="437">
    <w:p w14:paraId="02DB565B" w14:textId="77777777" w:rsidR="00244FB6" w:rsidRPr="00725D4B" w:rsidRDefault="00244FB6" w:rsidP="00244FB6">
      <w:pPr>
        <w:pStyle w:val="FootnoteText"/>
        <w:ind w:firstLine="0"/>
      </w:pPr>
      <w:r>
        <w:rPr>
          <w:rStyle w:val="FootnoteReference"/>
        </w:rPr>
        <w:footnoteRef/>
      </w:r>
      <w:r>
        <w:t xml:space="preserve"> Robert Fludd</w:t>
      </w:r>
      <w:r w:rsidRPr="007F583E">
        <w:rPr>
          <w:i/>
          <w:iCs/>
        </w:rPr>
        <w:t>, De naturali, artificiali et praeter naturali ac contra naturali Microcosmi historia in tractatus quatuor divisa in qua physica et technica naturae humanae praeter naturam accidentium descriptis</w:t>
      </w:r>
      <w:r w:rsidRPr="007F583E">
        <w:t xml:space="preserve"> </w:t>
      </w:r>
      <w:r>
        <w:t>(Frankfurt: Johann Theodor de Bry, 1624), Tract. I, Sect. II, Portio II,</w:t>
      </w:r>
      <w:r>
        <w:rPr>
          <w:i/>
          <w:iCs/>
        </w:rPr>
        <w:t xml:space="preserve"> </w:t>
      </w:r>
      <w:r>
        <w:t>37.</w:t>
      </w:r>
    </w:p>
  </w:footnote>
  <w:footnote w:id="438">
    <w:p w14:paraId="338C833A" w14:textId="77777777" w:rsidR="00244FB6" w:rsidRDefault="00244FB6" w:rsidP="00244FB6">
      <w:pPr>
        <w:pStyle w:val="FootnoteText"/>
        <w:ind w:firstLine="0"/>
      </w:pPr>
      <w:r>
        <w:rPr>
          <w:rStyle w:val="FootnoteReference"/>
        </w:rPr>
        <w:footnoteRef/>
      </w:r>
      <w:r>
        <w:t xml:space="preserve"> </w:t>
      </w:r>
      <w:r w:rsidRPr="00473EF7">
        <w:t>Urszula Szulakowska</w:t>
      </w:r>
      <w:r>
        <w:t xml:space="preserve">, </w:t>
      </w:r>
      <w:r w:rsidRPr="00473EF7">
        <w:rPr>
          <w:i/>
          <w:iCs/>
        </w:rPr>
        <w:t>The Alchemy of Light: Geometry and Optics in Late Renaissance Alchemical Illustration</w:t>
      </w:r>
      <w:r>
        <w:t xml:space="preserve"> (</w:t>
      </w:r>
      <w:r w:rsidRPr="00473EF7">
        <w:t>Leiden: Brill, 2000</w:t>
      </w:r>
      <w:r>
        <w:t>),</w:t>
      </w:r>
      <w:r w:rsidRPr="00473EF7">
        <w:t xml:space="preserve"> 182.</w:t>
      </w:r>
      <w:r>
        <w:t xml:space="preserve"> </w:t>
      </w:r>
    </w:p>
  </w:footnote>
  <w:footnote w:id="439">
    <w:p w14:paraId="30931B52" w14:textId="1EA43F37" w:rsidR="00244FB6" w:rsidRDefault="00244FB6" w:rsidP="00244FB6">
      <w:pPr>
        <w:pStyle w:val="FootnoteText"/>
        <w:ind w:firstLine="0"/>
      </w:pPr>
      <w:r>
        <w:rPr>
          <w:rStyle w:val="FootnoteReference"/>
        </w:rPr>
        <w:footnoteRef/>
      </w:r>
      <w:r>
        <w:t xml:space="preserve"> </w:t>
      </w:r>
      <w:r w:rsidRPr="00473EF7">
        <w:t>Szulakowska</w:t>
      </w:r>
      <w:r>
        <w:t xml:space="preserve">, </w:t>
      </w:r>
      <w:r w:rsidRPr="00473EF7">
        <w:rPr>
          <w:i/>
          <w:iCs/>
        </w:rPr>
        <w:t>The Alchemy of Light</w:t>
      </w:r>
      <w:r>
        <w:t xml:space="preserve">, XII. See also Michael T. Walton, </w:t>
      </w:r>
      <w:r w:rsidRPr="00D6003E">
        <w:rPr>
          <w:i/>
          <w:iCs/>
        </w:rPr>
        <w:t xml:space="preserve">Genesis and the Chemical Philosophy. True Christian Science in the Sixteenth and Seventeenth Centuries </w:t>
      </w:r>
      <w:r>
        <w:t>(New York: AMS Press, Inc., 2011), esp. 82-89.</w:t>
      </w:r>
    </w:p>
  </w:footnote>
  <w:footnote w:id="440">
    <w:p w14:paraId="168BDBB4" w14:textId="77777777" w:rsidR="00244FB6" w:rsidRDefault="00244FB6" w:rsidP="00244FB6">
      <w:pPr>
        <w:pStyle w:val="FootnoteText"/>
        <w:ind w:firstLine="0"/>
      </w:pPr>
      <w:r>
        <w:rPr>
          <w:rStyle w:val="FootnoteReference"/>
        </w:rPr>
        <w:footnoteRef/>
      </w:r>
      <w:r>
        <w:t xml:space="preserve"> See David C. Lindberg, ‘The Genesis of Kepler’s Theory of Light: Light Metaphysics from Plotinus to Kepler,’ in  </w:t>
      </w:r>
      <w:r w:rsidRPr="007E2C97">
        <w:rPr>
          <w:i/>
          <w:iCs/>
        </w:rPr>
        <w:t>Osiris</w:t>
      </w:r>
      <w:r w:rsidRPr="007E2C97">
        <w:t xml:space="preserve">, </w:t>
      </w:r>
      <w:r>
        <w:t>v</w:t>
      </w:r>
      <w:r w:rsidRPr="007E2C97">
        <w:t>ol. 2 (1986), 4-42</w:t>
      </w:r>
      <w:r>
        <w:t>: 9.</w:t>
      </w:r>
    </w:p>
  </w:footnote>
  <w:footnote w:id="441">
    <w:p w14:paraId="0E7843BD" w14:textId="6481D682" w:rsidR="00244FB6" w:rsidRDefault="00244FB6" w:rsidP="00244FB6">
      <w:pPr>
        <w:pStyle w:val="FootnoteText"/>
        <w:ind w:firstLine="0"/>
      </w:pPr>
      <w:r>
        <w:rPr>
          <w:rStyle w:val="FootnoteReference"/>
        </w:rPr>
        <w:footnoteRef/>
      </w:r>
      <w:r>
        <w:t xml:space="preserve"> </w:t>
      </w:r>
      <w:r w:rsidRPr="00EC0AF5">
        <w:t>For the critical edition of the text see Marie-Thérèse d’Alverny and Françoise Hudry, ‘Al-Kind</w:t>
      </w:r>
      <w:r w:rsidR="00BB444A">
        <w:t>ī</w:t>
      </w:r>
      <w:r w:rsidRPr="00EC0AF5">
        <w:t>, De</w:t>
      </w:r>
      <w:r w:rsidRPr="009C09AC">
        <w:rPr>
          <w:i/>
          <w:iCs/>
        </w:rPr>
        <w:t xml:space="preserve"> Radiis</w:t>
      </w:r>
      <w:r w:rsidRPr="009C09AC">
        <w:t>’</w:t>
      </w:r>
      <w:r w:rsidRPr="00EC0AF5">
        <w:t xml:space="preserve">, in </w:t>
      </w:r>
      <w:r w:rsidRPr="00EC0AF5">
        <w:rPr>
          <w:i/>
          <w:iCs/>
        </w:rPr>
        <w:t>Archives d’histoire doctrinale et littéraire du Moyen Age</w:t>
      </w:r>
      <w:r w:rsidRPr="00EC0AF5">
        <w:t xml:space="preserve"> (Paris: Librairie Philosophique J. Vrin, 1975), 139-260; see also Pinella Travaglia, </w:t>
      </w:r>
      <w:r w:rsidRPr="00EC0AF5">
        <w:rPr>
          <w:i/>
          <w:iCs/>
        </w:rPr>
        <w:t>Magic, causality and intentionality. The doctrine of rays in al-Kindī</w:t>
      </w:r>
      <w:r w:rsidRPr="00EC0AF5">
        <w:t xml:space="preserve"> (Florence: SISMEL – Edizioni del Galluzzo, 1999)</w:t>
      </w:r>
      <w:r>
        <w:t>; see Lindberg, ‘The Genesis of Kepler’s Theory of Light’ (1986), 13.</w:t>
      </w:r>
    </w:p>
  </w:footnote>
  <w:footnote w:id="442">
    <w:p w14:paraId="36CB57BE" w14:textId="2AC9EDF2" w:rsidR="00244FB6" w:rsidRDefault="00244FB6" w:rsidP="00244FB6">
      <w:pPr>
        <w:pStyle w:val="FootnoteText"/>
        <w:ind w:firstLine="0"/>
      </w:pPr>
      <w:r>
        <w:rPr>
          <w:rStyle w:val="FootnoteReference"/>
        </w:rPr>
        <w:footnoteRef/>
      </w:r>
      <w:r>
        <w:t xml:space="preserve"> Lindberg, ‘The Genesis of Kepler’s Theory of Light</w:t>
      </w:r>
      <w:r w:rsidR="00BB444A">
        <w:t>,</w:t>
      </w:r>
      <w:r>
        <w:t>’ 23-29.</w:t>
      </w:r>
    </w:p>
  </w:footnote>
  <w:footnote w:id="443">
    <w:p w14:paraId="31F1E2B3" w14:textId="373DDAC1" w:rsidR="00244FB6" w:rsidRDefault="00244FB6" w:rsidP="00244FB6">
      <w:pPr>
        <w:pStyle w:val="FootnoteText"/>
        <w:ind w:firstLine="0"/>
      </w:pPr>
      <w:r>
        <w:rPr>
          <w:rStyle w:val="FootnoteReference"/>
        </w:rPr>
        <w:footnoteRef/>
      </w:r>
      <w:r>
        <w:t xml:space="preserve"> Josten, ‘Robert Fludd’s Theory of Geomancy</w:t>
      </w:r>
      <w:r w:rsidR="00BB444A">
        <w:t>,</w:t>
      </w:r>
      <w:r>
        <w:t>’ 329.</w:t>
      </w:r>
    </w:p>
  </w:footnote>
  <w:footnote w:id="444">
    <w:p w14:paraId="2792BC3A" w14:textId="23DC730A" w:rsidR="00244FB6" w:rsidRDefault="00244FB6" w:rsidP="00244FB6">
      <w:pPr>
        <w:pStyle w:val="FootnoteText"/>
        <w:ind w:firstLine="0"/>
      </w:pPr>
      <w:r>
        <w:rPr>
          <w:rStyle w:val="FootnoteReference"/>
        </w:rPr>
        <w:footnoteRef/>
      </w:r>
      <w:r>
        <w:t xml:space="preserve"> Fludd, </w:t>
      </w:r>
      <w:r w:rsidRPr="0075352E">
        <w:rPr>
          <w:i/>
          <w:iCs/>
        </w:rPr>
        <w:t>Microcosmi Historia</w:t>
      </w:r>
      <w:r>
        <w:t>, 39: “</w:t>
      </w:r>
      <w:r w:rsidRPr="00A55219">
        <w:t xml:space="preserve">Sic itaque divina est haec </w:t>
      </w:r>
      <w:r>
        <w:t>scientia</w:t>
      </w:r>
      <w:r w:rsidRPr="00A55219">
        <w:t>, quoniam divinare facit</w:t>
      </w:r>
      <w:r>
        <w:t>.</w:t>
      </w:r>
      <w:r w:rsidRPr="00A55219">
        <w:t xml:space="preserve"> Prophetiae proxima, quoniam per eam mens, propria sua virtute praestat illud, licet debiliter, quod alias praestare solet (sed magis potenter </w:t>
      </w:r>
      <w:r>
        <w:t>et</w:t>
      </w:r>
      <w:r w:rsidRPr="00A55219">
        <w:t xml:space="preserve"> apertè propter multitudinem radiorum superiorum simul unitorum) unita </w:t>
      </w:r>
      <w:r>
        <w:t>et</w:t>
      </w:r>
      <w:r w:rsidRPr="00A55219">
        <w:t xml:space="preserve"> conjuncta cum mente divina</w:t>
      </w:r>
      <w:r>
        <w:t>.</w:t>
      </w:r>
      <w:r w:rsidRPr="00A55219">
        <w:t xml:space="preserve"> Et proinde, debito modo consideratis illis, videmus quòd mens humana sit de eadem essentia cujus est mens divina, siquidem idem praestare solet in virtute minori quod illa praestat in majori: Nam major vis majorem producit effectum, </w:t>
      </w:r>
      <w:r>
        <w:t>et</w:t>
      </w:r>
      <w:r w:rsidRPr="00A55219">
        <w:t xml:space="preserve"> perconsequens etiam minor minorem.</w:t>
      </w:r>
      <w:r>
        <w:t>” The process of attaining geomantic knowledge is made clear in a diagram in Josten, Robert Fludd’s Theory of Geomancy</w:t>
      </w:r>
      <w:r w:rsidR="00F13869">
        <w:t>,</w:t>
      </w:r>
      <w:r>
        <w:t>’</w:t>
      </w:r>
      <w:r w:rsidR="00F13869">
        <w:t xml:space="preserve"> </w:t>
      </w:r>
      <w:r>
        <w:t>332.</w:t>
      </w:r>
    </w:p>
  </w:footnote>
  <w:footnote w:id="445">
    <w:p w14:paraId="434BD6AF" w14:textId="7B7F9BD1" w:rsidR="00244FB6" w:rsidRDefault="00244FB6" w:rsidP="00244FB6">
      <w:pPr>
        <w:pStyle w:val="FootnoteText"/>
        <w:ind w:firstLine="0"/>
      </w:pPr>
      <w:r>
        <w:rPr>
          <w:rStyle w:val="FootnoteReference"/>
        </w:rPr>
        <w:footnoteRef/>
      </w:r>
      <w:r>
        <w:t xml:space="preserve"> Fludd, </w:t>
      </w:r>
      <w:r w:rsidRPr="0075352E">
        <w:rPr>
          <w:i/>
          <w:iCs/>
        </w:rPr>
        <w:t>Microcosmi Historia</w:t>
      </w:r>
      <w:r>
        <w:t>, 38-39: “</w:t>
      </w:r>
      <w:r w:rsidRPr="00734BD3">
        <w:t xml:space="preserve">Sic etiam mens divina mirabiles in homine producit effectus </w:t>
      </w:r>
      <w:r>
        <w:t>et</w:t>
      </w:r>
      <w:r w:rsidRPr="00734BD3">
        <w:t xml:space="preserve"> mirabiliter agit, dum tamen harum actionum rationem rectè cognoscere prohibet carnis atque tenebrarum obstaculum: Ag</w:t>
      </w:r>
      <w:r>
        <w:t>it</w:t>
      </w:r>
      <w:r w:rsidRPr="00734BD3">
        <w:t xml:space="preserve"> ergo mens in intellectum, </w:t>
      </w:r>
      <w:r>
        <w:t>et</w:t>
      </w:r>
      <w:r w:rsidRPr="00734BD3">
        <w:t xml:space="preserve"> intellectus implet patienter actus sui regis, ac tamen delitescit causa principali in mentis centro, hoc est, in verbo divino. </w:t>
      </w:r>
      <w:r w:rsidRPr="002E1D8E">
        <w:t xml:space="preserve">Sic Dominus tradit pecunias servo suo, ut curet eas ad talem civitatem transportati: nec tamen intelligit servus, quid Dominus suus intendat tali pecunia facere, quoniam id latet in animo Domini: Tunc intellectus </w:t>
      </w:r>
      <w:r>
        <w:t>et</w:t>
      </w:r>
      <w:r w:rsidRPr="002E1D8E">
        <w:t xml:space="preserve"> ratio impellit imaginationem, ut ferat atque portet impressiones sui Regis, nempe mentis. Sic servus ponit pecunias domini sui in currum sive plaustrum, ut illud vehiculi loco inserviat</w:t>
      </w:r>
      <w:r>
        <w:t>.”</w:t>
      </w:r>
    </w:p>
  </w:footnote>
  <w:footnote w:id="446">
    <w:p w14:paraId="4F77DAB4" w14:textId="77777777" w:rsidR="00244FB6" w:rsidRDefault="00244FB6" w:rsidP="00244FB6">
      <w:pPr>
        <w:pStyle w:val="FootnoteText"/>
        <w:ind w:firstLine="0"/>
      </w:pPr>
      <w:r>
        <w:rPr>
          <w:rStyle w:val="FootnoteReference"/>
        </w:rPr>
        <w:footnoteRef/>
      </w:r>
      <w:r>
        <w:t xml:space="preserve"> Fludd, </w:t>
      </w:r>
      <w:r w:rsidRPr="0075352E">
        <w:rPr>
          <w:i/>
          <w:iCs/>
        </w:rPr>
        <w:t>Microcosmi Historia</w:t>
      </w:r>
      <w:r>
        <w:t xml:space="preserve"> (1624), 39: “</w:t>
      </w:r>
      <w:r w:rsidRPr="00F74BAE">
        <w:t xml:space="preserve">Denique imaginatio hanc mentis voluntatem sensibus commendat, ut ipsi trahant ejus onera in mundum visibilem; Atque sic etiam equi solent trahere currum vel plaustrum in civitatem destinatam: Interim tamen ratio aut imaginatio aut sensus non magis intelligit intentionem mentis, quàm servus aut plaustrum, aut equi percipiunt secretam </w:t>
      </w:r>
      <w:r>
        <w:t>et</w:t>
      </w:r>
      <w:r w:rsidRPr="00F74BAE">
        <w:t xml:space="preserve"> occultam Domini sui voluntatem. Attamen meliùs potest ratio humana conjecturare, quàm imaginatio aut sensus, quemadmodum etiam servo quodammodò licet imaginari </w:t>
      </w:r>
      <w:r>
        <w:t>et</w:t>
      </w:r>
      <w:r w:rsidRPr="00F74BAE">
        <w:t xml:space="preserve"> conjectura assequi conceptionem domini sui, licet nihil certi habeat.</w:t>
      </w:r>
      <w:r>
        <w:t>”</w:t>
      </w:r>
    </w:p>
  </w:footnote>
  <w:footnote w:id="447">
    <w:p w14:paraId="440E1125" w14:textId="7DCF04C9" w:rsidR="00244FB6" w:rsidRDefault="00244FB6" w:rsidP="00244FB6">
      <w:pPr>
        <w:pStyle w:val="FootnoteText"/>
        <w:ind w:firstLine="0"/>
      </w:pPr>
      <w:r>
        <w:rPr>
          <w:rStyle w:val="FootnoteReference"/>
        </w:rPr>
        <w:footnoteRef/>
      </w:r>
      <w:r>
        <w:t xml:space="preserve"> </w:t>
      </w:r>
      <w:r w:rsidR="00B374B1" w:rsidRPr="0078272D">
        <w:rPr>
          <w:i/>
          <w:iCs/>
        </w:rPr>
        <w:t>Ibid</w:t>
      </w:r>
      <w:r w:rsidR="00B374B1">
        <w:t xml:space="preserve">., </w:t>
      </w:r>
      <w:r>
        <w:t>39: “</w:t>
      </w:r>
      <w:r w:rsidRPr="00351BDF">
        <w:t xml:space="preserve">Mens ergo in homine per se sine radiorum divinorum additione, si modò praeservetur à corporis </w:t>
      </w:r>
      <w:r>
        <w:t xml:space="preserve">et </w:t>
      </w:r>
      <w:r w:rsidRPr="00351BDF">
        <w:t xml:space="preserve">carnis nocumentis, </w:t>
      </w:r>
      <w:r>
        <w:t>et</w:t>
      </w:r>
      <w:r w:rsidRPr="00351BDF">
        <w:t xml:space="preserve"> tenebris non obfuscetur, aut sensuum illecebris non afficiatur, potest vim suam propheticam in effectum sensibilem effundere, atque</w:t>
      </w:r>
      <w:r>
        <w:t xml:space="preserve"> </w:t>
      </w:r>
      <w:r w:rsidRPr="00351BDF">
        <w:t>mirabilia praestare, cujus quidem effectus rationem non magis possibile est reddere, quàm possibile est ipsius Prophetiae rationem agnoscere.</w:t>
      </w:r>
      <w:r>
        <w:t>”</w:t>
      </w:r>
    </w:p>
  </w:footnote>
  <w:footnote w:id="448">
    <w:p w14:paraId="6AB4858A" w14:textId="79035163" w:rsidR="00244FB6" w:rsidRDefault="00244FB6" w:rsidP="00244FB6">
      <w:pPr>
        <w:pStyle w:val="FootnoteText"/>
        <w:ind w:firstLine="0"/>
      </w:pPr>
      <w:r>
        <w:rPr>
          <w:rStyle w:val="FootnoteReference"/>
        </w:rPr>
        <w:footnoteRef/>
      </w:r>
      <w:r>
        <w:t xml:space="preserve"> Ibn </w:t>
      </w:r>
      <w:r w:rsidR="00407654">
        <w:t>Khaldūn</w:t>
      </w:r>
      <w:r>
        <w:t xml:space="preserve">, </w:t>
      </w:r>
      <w:r w:rsidRPr="00584A34">
        <w:rPr>
          <w:i/>
          <w:iCs/>
        </w:rPr>
        <w:t>The Muqaddima</w:t>
      </w:r>
      <w:r w:rsidR="00244379">
        <w:rPr>
          <w:i/>
          <w:iCs/>
        </w:rPr>
        <w:t>h</w:t>
      </w:r>
      <w:r>
        <w:t>, vol. I, 231.</w:t>
      </w:r>
    </w:p>
  </w:footnote>
  <w:footnote w:id="449">
    <w:p w14:paraId="2A73FBD1" w14:textId="7D50E1C4" w:rsidR="00244FB6" w:rsidRDefault="00244FB6" w:rsidP="00244FB6">
      <w:pPr>
        <w:pStyle w:val="FootnoteText"/>
        <w:ind w:firstLine="0"/>
      </w:pPr>
      <w:r>
        <w:rPr>
          <w:rStyle w:val="FootnoteReference"/>
        </w:rPr>
        <w:footnoteRef/>
      </w:r>
      <w:r>
        <w:t xml:space="preserve"> Fludd, </w:t>
      </w:r>
      <w:r w:rsidRPr="0075352E">
        <w:rPr>
          <w:i/>
          <w:iCs/>
        </w:rPr>
        <w:t>Microcosmi Historia</w:t>
      </w:r>
      <w:r>
        <w:t xml:space="preserve">, 40: “[…] </w:t>
      </w:r>
      <w:r w:rsidRPr="001B1144">
        <w:t xml:space="preserve">multa tamen sub punctorum copia delitescunt occulta: videlicet ipsa animae praedictio, vehiculis M&lt;i&gt;crocosmi aethereis </w:t>
      </w:r>
      <w:r>
        <w:t>et</w:t>
      </w:r>
      <w:r w:rsidRPr="001B1144">
        <w:t xml:space="preserve"> elementaribus, vecta, quatenus scilicet duodecim signa, septem planetae </w:t>
      </w:r>
      <w:r>
        <w:t>et</w:t>
      </w:r>
      <w:r w:rsidRPr="001B1144">
        <w:t xml:space="preserve"> quatuor elementa, ac eorum virtutes sub talibus punctis absconduntur: Namque ut mens </w:t>
      </w:r>
      <w:r>
        <w:t>et</w:t>
      </w:r>
      <w:r w:rsidRPr="001B1144">
        <w:t xml:space="preserve"> intellectus in hominem descendere non potuit, absque praedictis Macrocosmi vehiculis, sic etiam nihil reale </w:t>
      </w:r>
      <w:r>
        <w:t>et</w:t>
      </w:r>
      <w:r w:rsidRPr="001B1144">
        <w:t xml:space="preserve"> essentiale procedit à mente, tanquam origine, nisi illud transeat per haec media.</w:t>
      </w:r>
      <w:r>
        <w:t xml:space="preserve"> </w:t>
      </w:r>
      <w:r w:rsidRPr="001B1144">
        <w:t xml:space="preserve">Non est ergo accidentalis hic motus, quatenus ab anima humana procedit, quae est completa hominis essentia, </w:t>
      </w:r>
      <w:r>
        <w:t>et</w:t>
      </w:r>
      <w:r w:rsidRPr="001B1144">
        <w:t xml:space="preserve"> essentialiter ac per se agit, nisi impediatur accidentibus carnis </w:t>
      </w:r>
      <w:r>
        <w:t>et</w:t>
      </w:r>
      <w:r w:rsidRPr="001B1144">
        <w:t xml:space="preserve"> sensuum.</w:t>
      </w:r>
      <w:r>
        <w:t>”</w:t>
      </w:r>
    </w:p>
  </w:footnote>
  <w:footnote w:id="450">
    <w:p w14:paraId="3E903DFE" w14:textId="6CF30622" w:rsidR="00244FB6" w:rsidRDefault="00244FB6" w:rsidP="00244FB6">
      <w:pPr>
        <w:pStyle w:val="FootnoteText"/>
        <w:ind w:firstLine="0"/>
      </w:pPr>
      <w:r>
        <w:rPr>
          <w:rStyle w:val="FootnoteReference"/>
        </w:rPr>
        <w:footnoteRef/>
      </w:r>
      <w:r>
        <w:t xml:space="preserve"> Fludd, </w:t>
      </w:r>
      <w:r w:rsidRPr="0075352E">
        <w:rPr>
          <w:i/>
          <w:iCs/>
        </w:rPr>
        <w:t>Microcosmi Historia</w:t>
      </w:r>
      <w:r>
        <w:t>, 40:“</w:t>
      </w:r>
      <w:r w:rsidRPr="00257AFF">
        <w:t xml:space="preserve">Atqui replicabunt imperiti, talia impedimenta semper accidere corpori, propter carnis immunditiem </w:t>
      </w:r>
      <w:r>
        <w:t>et</w:t>
      </w:r>
      <w:r w:rsidRPr="00257AFF">
        <w:t xml:space="preserve"> </w:t>
      </w:r>
      <w:r>
        <w:t xml:space="preserve"> </w:t>
      </w:r>
      <w:r w:rsidRPr="00257AFF">
        <w:t>tenebrarum errorem. Hoc ergo iis concedimus, quòd, quò magis radii mentis per inquinamenta corporis in suo motu impediuntur, eò magis debilitetur ejus actionis effectus: quemadmodum videmus, quòd interposita nube inter oculum nostrum</w:t>
      </w:r>
      <w:r>
        <w:t xml:space="preserve"> et</w:t>
      </w:r>
      <w:r w:rsidRPr="00257AFF">
        <w:t xml:space="preserve"> radios solares, radii isti ad visum nostrum penetrare non possunt, unde </w:t>
      </w:r>
      <w:r>
        <w:t>et</w:t>
      </w:r>
      <w:r w:rsidRPr="00257AFF">
        <w:t xml:space="preserve"> eorum effectus manifesti tolluntur. Sic etiam propter corporis </w:t>
      </w:r>
      <w:r>
        <w:t>et</w:t>
      </w:r>
      <w:r w:rsidRPr="00257AFF">
        <w:t xml:space="preserve"> carnis fortitudinem in natura tenebrarum, imaginatio nubibus materiae fictis ita impletur, ut radii mentis, quoad corpus, impediantur: Unde fit, ut ad sensus, prout sunt, transire non possint.</w:t>
      </w:r>
      <w:r>
        <w:t>”</w:t>
      </w:r>
    </w:p>
  </w:footnote>
  <w:footnote w:id="451">
    <w:p w14:paraId="3EA71489" w14:textId="10CD43F9" w:rsidR="00244FB6" w:rsidRDefault="00244FB6" w:rsidP="00244FB6">
      <w:pPr>
        <w:pStyle w:val="FootnoteText"/>
        <w:ind w:firstLine="0"/>
      </w:pPr>
      <w:r>
        <w:rPr>
          <w:rStyle w:val="FootnoteReference"/>
        </w:rPr>
        <w:footnoteRef/>
      </w:r>
      <w:r>
        <w:t xml:space="preserve"> </w:t>
      </w:r>
      <w:r w:rsidR="00A038AA" w:rsidRPr="0078272D">
        <w:rPr>
          <w:i/>
          <w:iCs/>
        </w:rPr>
        <w:t>Ibid</w:t>
      </w:r>
      <w:r w:rsidR="00A038AA">
        <w:t xml:space="preserve">., </w:t>
      </w:r>
      <w:r>
        <w:t>40: “Quomodo homo Geomanticus se disponere et praeparare debeat, ut mentis ejus intentiones  clare emittantur, et cum sensibus mediante ratione uniantur.”</w:t>
      </w:r>
    </w:p>
  </w:footnote>
  <w:footnote w:id="452">
    <w:p w14:paraId="2ACBAEC0" w14:textId="23991B8A" w:rsidR="00244FB6" w:rsidRDefault="00244FB6" w:rsidP="00244FB6">
      <w:pPr>
        <w:pStyle w:val="FootnoteText"/>
        <w:ind w:firstLine="0"/>
      </w:pPr>
      <w:r>
        <w:rPr>
          <w:rStyle w:val="FootnoteReference"/>
        </w:rPr>
        <w:footnoteRef/>
      </w:r>
      <w:r>
        <w:t xml:space="preserve"> </w:t>
      </w:r>
      <w:r w:rsidR="00A038AA" w:rsidRPr="0078272D">
        <w:rPr>
          <w:i/>
          <w:iCs/>
        </w:rPr>
        <w:t>Ibid</w:t>
      </w:r>
      <w:r w:rsidR="00A038AA">
        <w:t xml:space="preserve">., </w:t>
      </w:r>
      <w:r>
        <w:t>40: “</w:t>
      </w:r>
      <w:r w:rsidRPr="003B1DE0">
        <w:t xml:space="preserve">Sit ergo spiritus phantasticus antequam ad hoc opus accedatur, mundus, purus, inconcussus, </w:t>
      </w:r>
      <w:r>
        <w:t>et</w:t>
      </w:r>
      <w:r w:rsidRPr="003B1DE0">
        <w:t xml:space="preserve"> curis minimè perturbatus, ut dignus efficiatur, cui mens atque intellectus praesideat </w:t>
      </w:r>
      <w:r>
        <w:t>et</w:t>
      </w:r>
      <w:r w:rsidRPr="003B1DE0">
        <w:t xml:space="preserve"> innotescat. Nam talis spiritus vaticinio aptissimus lumen radiorum mentis absque omni impedimento recipiet veritatisque objecta mystico modo, tanquam in speculo depinget, facietque sensum &amp; motum corporis exacte </w:t>
      </w:r>
      <w:r>
        <w:t>et</w:t>
      </w:r>
      <w:r w:rsidRPr="003B1DE0">
        <w:t xml:space="preserve"> ad amussim eò pergere, quò tendit ipsius mentis effectus.</w:t>
      </w:r>
      <w:r>
        <w:t>”</w:t>
      </w:r>
    </w:p>
  </w:footnote>
  <w:footnote w:id="453">
    <w:p w14:paraId="62FBD390" w14:textId="0DDC2DA2" w:rsidR="00244FB6" w:rsidRDefault="00244FB6" w:rsidP="00244FB6">
      <w:pPr>
        <w:pStyle w:val="FootnoteText"/>
        <w:ind w:firstLine="0"/>
      </w:pPr>
      <w:r>
        <w:rPr>
          <w:rStyle w:val="FootnoteReference"/>
        </w:rPr>
        <w:footnoteRef/>
      </w:r>
      <w:r>
        <w:t xml:space="preserve"> </w:t>
      </w:r>
      <w:r w:rsidR="00A67B1E" w:rsidRPr="0078272D">
        <w:rPr>
          <w:i/>
          <w:iCs/>
        </w:rPr>
        <w:t>Ibid</w:t>
      </w:r>
      <w:r w:rsidR="00A67B1E">
        <w:t xml:space="preserve">., </w:t>
      </w:r>
      <w:r>
        <w:t>41:“</w:t>
      </w:r>
      <w:r w:rsidRPr="00E97FAB">
        <w:t xml:space="preserve">Cum igitur jam sumus corpore incolumes </w:t>
      </w:r>
      <w:r>
        <w:t>et</w:t>
      </w:r>
      <w:r w:rsidRPr="00E97FAB">
        <w:t xml:space="preserve"> sani, nec animo perturbati, non gravati cibis aut poculis, non laborantes inopia aut paupertate, nullisque libidinis aut iracundiae vitiis offensi, in hanc vaticinii aream ingrediamur. Spiritum quoque suum ille, qui hac arte uti vult, purum conservet, tum meditatione tranquilla </w:t>
      </w:r>
      <w:r>
        <w:t>et</w:t>
      </w:r>
      <w:r w:rsidRPr="00E97FAB">
        <w:t xml:space="preserve"> religiosa, tùm per victum moderatum </w:t>
      </w:r>
      <w:r>
        <w:t>et</w:t>
      </w:r>
      <w:r w:rsidRPr="00E97FAB">
        <w:t xml:space="preserve"> secundum naturam temperatum</w:t>
      </w:r>
      <w:r>
        <w:t>.”</w:t>
      </w:r>
    </w:p>
  </w:footnote>
  <w:footnote w:id="454">
    <w:p w14:paraId="71F03704" w14:textId="79297340" w:rsidR="00244FB6" w:rsidRDefault="00244FB6" w:rsidP="00244FB6">
      <w:pPr>
        <w:pStyle w:val="FootnoteText"/>
        <w:ind w:firstLine="0"/>
      </w:pPr>
      <w:r>
        <w:rPr>
          <w:rStyle w:val="FootnoteReference"/>
        </w:rPr>
        <w:footnoteRef/>
      </w:r>
      <w:r>
        <w:t xml:space="preserve"> </w:t>
      </w:r>
      <w:r w:rsidR="00A67B1E" w:rsidRPr="0078272D">
        <w:rPr>
          <w:i/>
          <w:iCs/>
        </w:rPr>
        <w:t>Ibid</w:t>
      </w:r>
      <w:r w:rsidR="00A67B1E">
        <w:t xml:space="preserve">., </w:t>
      </w:r>
      <w:r>
        <w:t>41.</w:t>
      </w:r>
    </w:p>
  </w:footnote>
  <w:footnote w:id="455">
    <w:p w14:paraId="277B9063" w14:textId="53F3281D" w:rsidR="00244FB6" w:rsidRDefault="00244FB6" w:rsidP="00244FB6">
      <w:pPr>
        <w:pStyle w:val="FootnoteText"/>
        <w:ind w:firstLine="0"/>
      </w:pPr>
      <w:r>
        <w:rPr>
          <w:rStyle w:val="FootnoteReference"/>
        </w:rPr>
        <w:footnoteRef/>
      </w:r>
      <w:r>
        <w:t xml:space="preserve"> </w:t>
      </w:r>
      <w:r w:rsidR="00A67B1E" w:rsidRPr="0078272D">
        <w:rPr>
          <w:i/>
          <w:iCs/>
        </w:rPr>
        <w:t>Ibid</w:t>
      </w:r>
      <w:r w:rsidR="00A67B1E">
        <w:t xml:space="preserve">., </w:t>
      </w:r>
      <w:r>
        <w:t>41: “Atque ita etiam oportet eum, qui in hac divinandi specie fideliter versari desiderat, non coitu carnali, sed spirituali copulatione oblectari, non vino, sed illustrante mentis latice inebriari, non divitiis mundanis, sed infinita intellectus divini affluentia exuberare, non crapula, sed cibo spirituali</w:t>
      </w:r>
      <w:r>
        <w:rPr>
          <w:color w:val="4472C4" w:themeColor="accent1"/>
        </w:rPr>
        <w:t xml:space="preserve"> </w:t>
      </w:r>
      <w:r>
        <w:t xml:space="preserve">impleri.” </w:t>
      </w:r>
    </w:p>
  </w:footnote>
  <w:footnote w:id="456">
    <w:p w14:paraId="4A5EEA39" w14:textId="4424A774" w:rsidR="00244FB6" w:rsidRDefault="00244FB6" w:rsidP="00244FB6">
      <w:pPr>
        <w:pStyle w:val="FootnoteText"/>
        <w:ind w:firstLine="0"/>
      </w:pPr>
      <w:r>
        <w:rPr>
          <w:rStyle w:val="FootnoteReference"/>
        </w:rPr>
        <w:footnoteRef/>
      </w:r>
      <w:r>
        <w:t xml:space="preserve"> </w:t>
      </w:r>
      <w:r w:rsidR="00A67B1E" w:rsidRPr="0078272D">
        <w:rPr>
          <w:i/>
          <w:iCs/>
        </w:rPr>
        <w:t>Ibid</w:t>
      </w:r>
      <w:r w:rsidR="00A67B1E">
        <w:t xml:space="preserve">., </w:t>
      </w:r>
      <w:r>
        <w:t>41.</w:t>
      </w:r>
    </w:p>
  </w:footnote>
  <w:footnote w:id="457">
    <w:p w14:paraId="364C78C1" w14:textId="77777777" w:rsidR="00244FB6" w:rsidRDefault="00244FB6" w:rsidP="00244FB6">
      <w:pPr>
        <w:pStyle w:val="FootnoteText"/>
        <w:ind w:firstLine="0"/>
      </w:pPr>
      <w:r>
        <w:rPr>
          <w:rStyle w:val="FootnoteReference"/>
        </w:rPr>
        <w:footnoteRef/>
      </w:r>
      <w:r>
        <w:t xml:space="preserve"> </w:t>
      </w:r>
      <w:r w:rsidRPr="00D85779">
        <w:rPr>
          <w:i/>
          <w:iCs/>
        </w:rPr>
        <w:t>Ibid</w:t>
      </w:r>
      <w:r>
        <w:t xml:space="preserve">., 41. </w:t>
      </w:r>
    </w:p>
  </w:footnote>
  <w:footnote w:id="458">
    <w:p w14:paraId="2EC15B1B" w14:textId="72F31C1A" w:rsidR="00244FB6" w:rsidRDefault="00244FB6" w:rsidP="00244FB6">
      <w:pPr>
        <w:pStyle w:val="FootnoteText"/>
        <w:ind w:firstLine="0"/>
      </w:pPr>
      <w:r>
        <w:rPr>
          <w:rStyle w:val="FootnoteReference"/>
        </w:rPr>
        <w:footnoteRef/>
      </w:r>
      <w:r>
        <w:t xml:space="preserve"> Fludd, </w:t>
      </w:r>
      <w:r w:rsidRPr="0075352E">
        <w:rPr>
          <w:i/>
          <w:iCs/>
        </w:rPr>
        <w:t>Microcosmi Historia</w:t>
      </w:r>
      <w:r>
        <w:t>, 42: “</w:t>
      </w:r>
      <w:r w:rsidRPr="00E200E1">
        <w:t xml:space="preserve">Actamen haec expansorum animae radiorum in unum reductio fieri non potest absque corporis mundificatione, quae fit modo superius allegato. Quare necesse est ante omnia illi, qui veri in Geomantia vatis nomen sibi vendicare appetit, ut anima ejus radios suos passim expansos </w:t>
      </w:r>
      <w:r>
        <w:t>et</w:t>
      </w:r>
      <w:r w:rsidRPr="00E200E1">
        <w:t xml:space="preserve"> dispersos iterum in se convertat </w:t>
      </w:r>
      <w:r>
        <w:t>et</w:t>
      </w:r>
      <w:r w:rsidRPr="00E200E1">
        <w:t xml:space="preserve"> reflectat; quoniam virtus istius scientiae praecipua consistit in animae illuminatione, quatenus res verae in divino ejus lumine, tanquam in veritatis speculo conspiciuntur, conspectaeque mystico quodam modo per</w:t>
      </w:r>
      <w:r>
        <w:t xml:space="preserve"> </w:t>
      </w:r>
      <w:r w:rsidRPr="00E200E1">
        <w:t>animae ad hoc attentae gubernationem externo intuitu punctis explicantur.</w:t>
      </w:r>
      <w:r>
        <w:t>”</w:t>
      </w:r>
    </w:p>
  </w:footnote>
  <w:footnote w:id="459">
    <w:p w14:paraId="4AD0F03A" w14:textId="3A658558" w:rsidR="00244FB6" w:rsidRDefault="00244FB6" w:rsidP="00244FB6">
      <w:pPr>
        <w:pStyle w:val="FootnoteText"/>
        <w:ind w:firstLine="0"/>
      </w:pPr>
      <w:r>
        <w:rPr>
          <w:rStyle w:val="FootnoteReference"/>
        </w:rPr>
        <w:footnoteRef/>
      </w:r>
      <w:r>
        <w:t xml:space="preserve"> </w:t>
      </w:r>
      <w:r w:rsidR="00002385" w:rsidRPr="0078272D">
        <w:rPr>
          <w:i/>
          <w:iCs/>
        </w:rPr>
        <w:t>Ibid</w:t>
      </w:r>
      <w:r w:rsidR="00002385">
        <w:t xml:space="preserve">., </w:t>
      </w:r>
      <w:r>
        <w:t>42.</w:t>
      </w:r>
    </w:p>
  </w:footnote>
  <w:footnote w:id="460">
    <w:p w14:paraId="4C9CBD9B" w14:textId="59F17C74" w:rsidR="00244FB6" w:rsidRDefault="00244FB6" w:rsidP="00244FB6">
      <w:pPr>
        <w:pStyle w:val="FootnoteText"/>
        <w:ind w:firstLine="0"/>
      </w:pPr>
      <w:r>
        <w:rPr>
          <w:rStyle w:val="FootnoteReference"/>
        </w:rPr>
        <w:footnoteRef/>
      </w:r>
      <w:r w:rsidR="00002385">
        <w:t xml:space="preserve"> </w:t>
      </w:r>
      <w:r w:rsidR="00002385" w:rsidRPr="0078272D">
        <w:rPr>
          <w:i/>
          <w:iCs/>
        </w:rPr>
        <w:t>Ibid</w:t>
      </w:r>
      <w:r w:rsidR="00002385">
        <w:t xml:space="preserve">., </w:t>
      </w:r>
      <w:r>
        <w:t xml:space="preserve">42. </w:t>
      </w:r>
    </w:p>
  </w:footnote>
  <w:footnote w:id="461">
    <w:p w14:paraId="3422C9A9" w14:textId="60F8CD1B" w:rsidR="00244FB6" w:rsidRDefault="00244FB6" w:rsidP="00244FB6">
      <w:pPr>
        <w:pStyle w:val="FootnoteText"/>
        <w:ind w:firstLine="0"/>
      </w:pPr>
      <w:r>
        <w:rPr>
          <w:rStyle w:val="FootnoteReference"/>
        </w:rPr>
        <w:footnoteRef/>
      </w:r>
      <w:r>
        <w:t xml:space="preserve"> </w:t>
      </w:r>
      <w:r w:rsidR="00002385" w:rsidRPr="0078272D">
        <w:rPr>
          <w:i/>
          <w:iCs/>
        </w:rPr>
        <w:t>Ibid</w:t>
      </w:r>
      <w:r w:rsidR="00002385">
        <w:t xml:space="preserve">., </w:t>
      </w:r>
      <w:r>
        <w:t>43: “</w:t>
      </w:r>
      <w:r w:rsidRPr="00C27817">
        <w:t>U</w:t>
      </w:r>
      <w:r>
        <w:t>t</w:t>
      </w:r>
      <w:r w:rsidRPr="00C27817">
        <w:t xml:space="preserve">i raptus in genere dicitur abstractio, alienatio, </w:t>
      </w:r>
      <w:r>
        <w:t>et</w:t>
      </w:r>
      <w:r w:rsidRPr="00C27817">
        <w:t xml:space="preserve"> illustratio mentis humanae, à Deo immediatè procedens, qua Prophetia expeditur</w:t>
      </w:r>
      <w:r>
        <w:t>.”</w:t>
      </w:r>
    </w:p>
  </w:footnote>
  <w:footnote w:id="462">
    <w:p w14:paraId="359F36E1" w14:textId="3CB021A9" w:rsidR="00244FB6" w:rsidRDefault="00244FB6" w:rsidP="00244FB6">
      <w:pPr>
        <w:pStyle w:val="FootnoteText"/>
        <w:ind w:firstLine="0"/>
      </w:pPr>
      <w:r>
        <w:rPr>
          <w:rStyle w:val="FootnoteReference"/>
        </w:rPr>
        <w:footnoteRef/>
      </w:r>
      <w:r>
        <w:t xml:space="preserve"> </w:t>
      </w:r>
      <w:r w:rsidR="00002385" w:rsidRPr="0078272D">
        <w:rPr>
          <w:i/>
          <w:iCs/>
        </w:rPr>
        <w:t>Ibid</w:t>
      </w:r>
      <w:r w:rsidR="00002385">
        <w:t xml:space="preserve">., </w:t>
      </w:r>
      <w:r>
        <w:t>43.</w:t>
      </w:r>
    </w:p>
  </w:footnote>
  <w:footnote w:id="463">
    <w:p w14:paraId="38093174" w14:textId="64C9C4B0" w:rsidR="00244FB6" w:rsidRDefault="00244FB6" w:rsidP="00244FB6">
      <w:pPr>
        <w:pStyle w:val="FootnoteText"/>
        <w:ind w:firstLine="0"/>
      </w:pPr>
      <w:r>
        <w:rPr>
          <w:rStyle w:val="FootnoteReference"/>
        </w:rPr>
        <w:footnoteRef/>
      </w:r>
      <w:r>
        <w:t xml:space="preserve"> Fludd, </w:t>
      </w:r>
      <w:r w:rsidRPr="0075352E">
        <w:rPr>
          <w:i/>
          <w:iCs/>
        </w:rPr>
        <w:t>Microcosmi Historia</w:t>
      </w:r>
      <w:r>
        <w:t xml:space="preserve">, 43: “Nam ut in raptu magno mentis et animae radii sursum ad divinam Dei essentiam, sive in mentis mundi regionem attolluntur; sic etiam in hoc raptu minori animae humanae radii forinsecus emissi, et passim dispersi ad centrum suum revocantur, et in mentem reflectuntur, atque ita homo, qui antea propter propriae lucis suae diffusionem erat obscurus, jam illuminatur atque gloriosus fit per radiorum expansorum aggregationem.” </w:t>
      </w:r>
    </w:p>
  </w:footnote>
  <w:footnote w:id="464">
    <w:p w14:paraId="53BAEF34" w14:textId="0A6CDFB1" w:rsidR="00244FB6" w:rsidRDefault="00244FB6" w:rsidP="00244FB6">
      <w:pPr>
        <w:pStyle w:val="FootnoteText"/>
        <w:ind w:firstLine="0"/>
      </w:pPr>
      <w:r>
        <w:rPr>
          <w:rStyle w:val="FootnoteReference"/>
        </w:rPr>
        <w:footnoteRef/>
      </w:r>
      <w:r>
        <w:t xml:space="preserve"> Fludd was very interested in the process of creation on every level, and was keen to find a common ground between the creation in the Bible and in the Corpus Hermeticum. He explains the creation of the universe in terms of the action of the rays of God’s active light, sent into the void. In this scheme, every creature takes part in God’s light, in accordance to the place that they occupy in the hierarchy of being, see Godwin, </w:t>
      </w:r>
      <w:r w:rsidRPr="007C4F1F">
        <w:rPr>
          <w:i/>
          <w:iCs/>
        </w:rPr>
        <w:t xml:space="preserve">Robert Fludd: </w:t>
      </w:r>
      <w:r>
        <w:rPr>
          <w:i/>
          <w:iCs/>
        </w:rPr>
        <w:t>H</w:t>
      </w:r>
      <w:r w:rsidRPr="007C4F1F">
        <w:rPr>
          <w:i/>
          <w:iCs/>
        </w:rPr>
        <w:t xml:space="preserve">ermetic </w:t>
      </w:r>
      <w:r>
        <w:rPr>
          <w:i/>
          <w:iCs/>
        </w:rPr>
        <w:t>P</w:t>
      </w:r>
      <w:r w:rsidRPr="007C4F1F">
        <w:rPr>
          <w:i/>
          <w:iCs/>
        </w:rPr>
        <w:t xml:space="preserve">hilosopher and </w:t>
      </w:r>
      <w:r>
        <w:rPr>
          <w:i/>
          <w:iCs/>
        </w:rPr>
        <w:t>S</w:t>
      </w:r>
      <w:r w:rsidRPr="007C4F1F">
        <w:rPr>
          <w:i/>
          <w:iCs/>
        </w:rPr>
        <w:t xml:space="preserve">urveyor of </w:t>
      </w:r>
      <w:r>
        <w:rPr>
          <w:i/>
          <w:iCs/>
        </w:rPr>
        <w:t>T</w:t>
      </w:r>
      <w:r w:rsidRPr="007C4F1F">
        <w:rPr>
          <w:i/>
          <w:iCs/>
        </w:rPr>
        <w:t xml:space="preserve">wo </w:t>
      </w:r>
      <w:r>
        <w:rPr>
          <w:i/>
          <w:iCs/>
        </w:rPr>
        <w:t>W</w:t>
      </w:r>
      <w:r w:rsidRPr="007C4F1F">
        <w:rPr>
          <w:i/>
          <w:iCs/>
        </w:rPr>
        <w:t>orlds</w:t>
      </w:r>
      <w:r>
        <w:t xml:space="preserve"> (</w:t>
      </w:r>
      <w:r w:rsidRPr="007C4F1F">
        <w:t>1979</w:t>
      </w:r>
      <w:r>
        <w:t xml:space="preserve">), 14. The creation through light also occupies a prominent space in the engravings of his History of the Macrocosm, see Godwin, </w:t>
      </w:r>
      <w:r w:rsidRPr="00B01E04">
        <w:rPr>
          <w:i/>
          <w:iCs/>
        </w:rPr>
        <w:t>The Greater &amp; Lesser Words of Robert Fludd</w:t>
      </w:r>
      <w:r>
        <w:t xml:space="preserve">, 36-55. See also Allen G. Debus, ‘The Sun in the Universe of Robert Fludd’, in </w:t>
      </w:r>
      <w:r w:rsidRPr="00224D5D">
        <w:rPr>
          <w:i/>
          <w:iCs/>
        </w:rPr>
        <w:t>Le Soleil à la Renaissance, Sciences et Mythes</w:t>
      </w:r>
      <w:r>
        <w:t>:</w:t>
      </w:r>
      <w:r w:rsidRPr="00224D5D">
        <w:t xml:space="preserve"> </w:t>
      </w:r>
      <w:r w:rsidRPr="00224D5D">
        <w:rPr>
          <w:i/>
          <w:iCs/>
        </w:rPr>
        <w:t>colloque international tenu en avril 1963 sous les auspices de la Fédération internationale des instituts et sociétés pour l'étude de la Renaissance, et du Ministère de l'education nationale et de la culture de Belgique</w:t>
      </w:r>
      <w:r>
        <w:t xml:space="preserve"> (</w:t>
      </w:r>
      <w:r w:rsidRPr="002E1C18">
        <w:t>Bruxelles : Presses universitaires de Bruxelles, 1965</w:t>
      </w:r>
      <w:r>
        <w:t xml:space="preserve">), 259-278; and Norma E. Emerton, ‘Creation in the Thought of J. B. van Helmont and Robert Fludd’, in </w:t>
      </w:r>
      <w:r w:rsidRPr="00947851">
        <w:rPr>
          <w:i/>
          <w:iCs/>
        </w:rPr>
        <w:t>Alchemy and Chemistry in the 16</w:t>
      </w:r>
      <w:r w:rsidRPr="00947851">
        <w:rPr>
          <w:i/>
          <w:iCs/>
          <w:vertAlign w:val="superscript"/>
        </w:rPr>
        <w:t>th</w:t>
      </w:r>
      <w:r w:rsidRPr="00947851">
        <w:rPr>
          <w:i/>
          <w:iCs/>
        </w:rPr>
        <w:t xml:space="preserve"> and 17</w:t>
      </w:r>
      <w:r w:rsidRPr="00947851">
        <w:rPr>
          <w:i/>
          <w:iCs/>
          <w:vertAlign w:val="superscript"/>
        </w:rPr>
        <w:t>th</w:t>
      </w:r>
      <w:r w:rsidRPr="00947851">
        <w:rPr>
          <w:i/>
          <w:iCs/>
        </w:rPr>
        <w:t xml:space="preserve"> Centuries</w:t>
      </w:r>
      <w:r>
        <w:t>, ed. by P. Rattansi and A. Clericuzio (Dordrecht: Kluwer Academic Publishers, 1994), 85-101.</w:t>
      </w:r>
    </w:p>
  </w:footnote>
  <w:footnote w:id="465">
    <w:p w14:paraId="45778358" w14:textId="60D5EB13" w:rsidR="00244FB6" w:rsidRDefault="00244FB6" w:rsidP="00244FB6">
      <w:pPr>
        <w:pStyle w:val="FootnoteText"/>
        <w:ind w:firstLine="0"/>
      </w:pPr>
      <w:r>
        <w:rPr>
          <w:rStyle w:val="FootnoteReference"/>
        </w:rPr>
        <w:footnoteRef/>
      </w:r>
      <w:r>
        <w:t xml:space="preserve"> Fludd, </w:t>
      </w:r>
      <w:r w:rsidRPr="0075352E">
        <w:rPr>
          <w:i/>
          <w:iCs/>
        </w:rPr>
        <w:t>Microcosmi Historia</w:t>
      </w:r>
      <w:r>
        <w:t>, 44: “</w:t>
      </w:r>
      <w:r w:rsidRPr="00744F7B">
        <w:t xml:space="preserve">Nam qui mundana negligit, hunc magis se curare certum est, </w:t>
      </w:r>
      <w:r>
        <w:t>et</w:t>
      </w:r>
      <w:r w:rsidRPr="00744F7B">
        <w:t xml:space="preserve"> qui se à multitudine in seipsum reducit, ille maxime sibi adesse videtur, siquidem inter eum </w:t>
      </w:r>
      <w:r>
        <w:t>et</w:t>
      </w:r>
      <w:r w:rsidRPr="00744F7B">
        <w:t xml:space="preserve"> Deum non erit magnum distantiae interstitium. </w:t>
      </w:r>
      <w:r>
        <w:t>Ad talem igitur habitum seu dispositionem se redigere oportet eum, qui verum vaticinii donum sibi comparare studet […]. Virtute, inquam, suae excellentiae rapiatur è mundo, et sibi ipsi reddita ac recollecta in ecstasi haereat, ut in suo speculo seu spiritu politissimo res non modò mundanas, sed etiam divinas speculetur.”</w:t>
      </w:r>
    </w:p>
  </w:footnote>
  <w:footnote w:id="466">
    <w:p w14:paraId="14F69E90" w14:textId="6A5944FD" w:rsidR="00244FB6" w:rsidRDefault="00244FB6" w:rsidP="00244FB6">
      <w:pPr>
        <w:pStyle w:val="FootnoteText"/>
        <w:ind w:firstLine="0"/>
      </w:pPr>
      <w:r>
        <w:rPr>
          <w:rStyle w:val="FootnoteReference"/>
        </w:rPr>
        <w:footnoteRef/>
      </w:r>
      <w:r>
        <w:t xml:space="preserve"> Fludd, </w:t>
      </w:r>
      <w:r w:rsidRPr="0075352E">
        <w:rPr>
          <w:i/>
          <w:iCs/>
        </w:rPr>
        <w:t>Microcosmi Historia</w:t>
      </w:r>
      <w:r w:rsidR="00C1517E">
        <w:t>,</w:t>
      </w:r>
      <w:r>
        <w:t xml:space="preserve"> 44: “Imò veto hae linearum series non minus universi mundi ideam comprehendunt, quàm ipsum corpus humanum.” </w:t>
      </w:r>
    </w:p>
  </w:footnote>
  <w:footnote w:id="467">
    <w:p w14:paraId="542DBAC0" w14:textId="27782341" w:rsidR="00244FB6" w:rsidRPr="00356E98" w:rsidRDefault="00244FB6" w:rsidP="00244FB6">
      <w:pPr>
        <w:pStyle w:val="FootnoteText"/>
        <w:ind w:firstLine="0"/>
      </w:pPr>
      <w:r>
        <w:rPr>
          <w:rStyle w:val="FootnoteReference"/>
        </w:rPr>
        <w:footnoteRef/>
      </w:r>
      <w:r>
        <w:t xml:space="preserve"> </w:t>
      </w:r>
      <w:r w:rsidR="00C1517E" w:rsidRPr="0078272D">
        <w:rPr>
          <w:i/>
          <w:iCs/>
        </w:rPr>
        <w:t>Ibid</w:t>
      </w:r>
      <w:r w:rsidR="00C1517E">
        <w:t>.,</w:t>
      </w:r>
      <w:r>
        <w:t xml:space="preserve"> 45: </w:t>
      </w:r>
      <w:r w:rsidRPr="00356E98">
        <w:t>“[…] ejus voluntatem, in myrothecio intellectus, voluntatis rationem, in signorum et Planetarum seu aetheris armatio, mentis actum sive executionem, et in elementorum promptua</w:t>
      </w:r>
      <w:r>
        <w:t>r</w:t>
      </w:r>
      <w:r w:rsidRPr="00356E98">
        <w:t>io, mentis voluntatis, rationis et actus effectum […] invenimus.”</w:t>
      </w:r>
    </w:p>
  </w:footnote>
  <w:footnote w:id="468">
    <w:p w14:paraId="796239AE" w14:textId="15CB4DA3" w:rsidR="00244FB6" w:rsidRDefault="00244FB6" w:rsidP="00244FB6">
      <w:pPr>
        <w:pStyle w:val="FootnoteText"/>
        <w:ind w:firstLine="0"/>
      </w:pPr>
      <w:r w:rsidRPr="00356E98">
        <w:rPr>
          <w:rStyle w:val="FootnoteReference"/>
        </w:rPr>
        <w:footnoteRef/>
      </w:r>
      <w:r w:rsidRPr="00356E98">
        <w:t xml:space="preserve"> </w:t>
      </w:r>
      <w:r w:rsidR="00C1517E" w:rsidRPr="0078272D">
        <w:rPr>
          <w:i/>
          <w:iCs/>
        </w:rPr>
        <w:t>Ibid</w:t>
      </w:r>
      <w:r w:rsidR="00C1517E">
        <w:t xml:space="preserve">., </w:t>
      </w:r>
      <w:r w:rsidRPr="00356E98">
        <w:t>45: “Ex praedictis ergo evidenter liquet, quòd, sicuti prophetia afflatorum, est unio mentis divinae cum mente humana (unde plenissima et maxima est haec vaticinii species) sic etiam prophetia non afflatorum accidit nonnunquam, quando anima cum suis radiis ad se à multitudine retractis, unitur cum suo vertice, videlicet cum mente humana; quae procul dubio, si cum anima jungatur et colligetur, ingentia per se praestare, et ad culmen exitumque felicem perducere potest.”</w:t>
      </w:r>
      <w:r>
        <w:t xml:space="preserve"> </w:t>
      </w:r>
    </w:p>
  </w:footnote>
  <w:footnote w:id="469">
    <w:p w14:paraId="484BB18F" w14:textId="558D5A9F" w:rsidR="00244FB6" w:rsidRDefault="00244FB6" w:rsidP="00244FB6">
      <w:pPr>
        <w:pStyle w:val="FootnoteText"/>
        <w:ind w:firstLine="0"/>
      </w:pPr>
      <w:r>
        <w:rPr>
          <w:rStyle w:val="FootnoteReference"/>
        </w:rPr>
        <w:footnoteRef/>
      </w:r>
      <w:r>
        <w:t xml:space="preserve"> </w:t>
      </w:r>
      <w:r w:rsidR="005C3677" w:rsidRPr="0078272D">
        <w:rPr>
          <w:i/>
          <w:iCs/>
        </w:rPr>
        <w:t>Ibid</w:t>
      </w:r>
      <w:r w:rsidR="005C3677">
        <w:t xml:space="preserve">., </w:t>
      </w:r>
      <w:r>
        <w:t xml:space="preserve">45-46. </w:t>
      </w:r>
    </w:p>
  </w:footnote>
  <w:footnote w:id="470">
    <w:p w14:paraId="1AE7A3C7" w14:textId="4A0BC8E5" w:rsidR="00244FB6" w:rsidRDefault="00244FB6" w:rsidP="00244FB6">
      <w:pPr>
        <w:pStyle w:val="FootnoteText"/>
        <w:ind w:firstLine="0"/>
      </w:pPr>
      <w:r>
        <w:rPr>
          <w:rStyle w:val="FootnoteReference"/>
        </w:rPr>
        <w:footnoteRef/>
      </w:r>
      <w:r>
        <w:t xml:space="preserve"> Bartholomew Cocles, </w:t>
      </w:r>
      <w:r w:rsidRPr="001E448E">
        <w:rPr>
          <w:i/>
          <w:iCs/>
        </w:rPr>
        <w:t>La Geomantia di Bartholomeo Cocle, filosofo integerrimo</w:t>
      </w:r>
      <w:r>
        <w:t>, 55-56.</w:t>
      </w:r>
    </w:p>
  </w:footnote>
  <w:footnote w:id="471">
    <w:p w14:paraId="4382C131" w14:textId="398F5EEE"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 2v: “</w:t>
      </w:r>
      <w:r w:rsidRPr="004E346D">
        <w:t>Parquoy est aisé àcognoistre que Geomancye n’est autre chose, qu’Astrologie. Laquelle aussi est en trois parties diuisée, don’t la premiere est celeste: la seconde terrestre, qui est Geomancye: et la tierce moyenne, c’est à dire, participant des deux, qui est l’Alquimie</w:t>
      </w:r>
      <w:r>
        <w:t>.”</w:t>
      </w:r>
    </w:p>
  </w:footnote>
  <w:footnote w:id="472">
    <w:p w14:paraId="0A3A3B9D" w14:textId="3A273A62" w:rsidR="00244FB6" w:rsidRDefault="00244FB6" w:rsidP="00244FB6">
      <w:pPr>
        <w:pStyle w:val="FootnoteText"/>
        <w:ind w:firstLine="0"/>
      </w:pPr>
      <w:r>
        <w:rPr>
          <w:rStyle w:val="FootnoteReference"/>
        </w:rPr>
        <w:footnoteRef/>
      </w:r>
      <w:r>
        <w:t xml:space="preserve"> Cristophe de Cattan, </w:t>
      </w:r>
      <w:r w:rsidRPr="00FC4357">
        <w:rPr>
          <w:i/>
          <w:iCs/>
        </w:rPr>
        <w:t>La geomancie du seigneur Cristofle de Cattan, gentilhomme Geneuoys</w:t>
      </w:r>
      <w:r>
        <w:t>,</w:t>
      </w:r>
      <w:r w:rsidRPr="00513171">
        <w:t xml:space="preserve"> 4v-6r</w:t>
      </w:r>
      <w:r>
        <w:t>.</w:t>
      </w:r>
    </w:p>
  </w:footnote>
  <w:footnote w:id="473">
    <w:p w14:paraId="770D9C18" w14:textId="77777777" w:rsidR="00244FB6" w:rsidRDefault="00244FB6" w:rsidP="00244FB6">
      <w:pPr>
        <w:pStyle w:val="FootnoteText"/>
        <w:ind w:firstLine="0"/>
      </w:pPr>
      <w:r>
        <w:rPr>
          <w:rStyle w:val="FootnoteReference"/>
        </w:rPr>
        <w:footnoteRef/>
      </w:r>
      <w:r>
        <w:t xml:space="preserve"> See </w:t>
      </w:r>
      <w:bookmarkStart w:id="120" w:name="_Hlk150527634"/>
      <w:r>
        <w:t xml:space="preserve">Allen G. Debus, ‘Renaissance Chemistry and the Work of Robert Fludd’, in </w:t>
      </w:r>
      <w:r w:rsidRPr="00B303CA">
        <w:rPr>
          <w:i/>
          <w:iCs/>
        </w:rPr>
        <w:t>Ambix</w:t>
      </w:r>
      <w:r>
        <w:t xml:space="preserve">, 14 (1967), 42-59; C.H. Josten, ‘Robert Fludd’s “Philosophical Key” and his alchemical experiment on Wheat’, in </w:t>
      </w:r>
      <w:r w:rsidRPr="0051493B">
        <w:rPr>
          <w:i/>
          <w:iCs/>
        </w:rPr>
        <w:t>Ambix</w:t>
      </w:r>
      <w:r>
        <w:t>, 2 (1963), 1-23.</w:t>
      </w:r>
    </w:p>
    <w:bookmarkEnd w:id="120"/>
  </w:footnote>
  <w:footnote w:id="474">
    <w:p w14:paraId="602A4F69" w14:textId="23A9A462" w:rsidR="00244FB6" w:rsidRPr="009C6919" w:rsidRDefault="00244FB6" w:rsidP="00244FB6">
      <w:pPr>
        <w:pStyle w:val="FootnoteText"/>
        <w:ind w:firstLine="0"/>
      </w:pPr>
      <w:r w:rsidRPr="009C6919">
        <w:rPr>
          <w:rStyle w:val="FootnoteReference"/>
        </w:rPr>
        <w:footnoteRef/>
      </w:r>
      <w:r w:rsidRPr="009C6919">
        <w:t xml:space="preserve"> Yates, </w:t>
      </w:r>
      <w:r w:rsidRPr="009C6919">
        <w:rPr>
          <w:i/>
          <w:iCs/>
        </w:rPr>
        <w:t>The Rosicrucian Enlightenment</w:t>
      </w:r>
      <w:r w:rsidRPr="009C6919">
        <w:t>, 188.</w:t>
      </w:r>
    </w:p>
  </w:footnote>
  <w:footnote w:id="475">
    <w:p w14:paraId="52355160" w14:textId="6B1B8303" w:rsidR="00244FB6" w:rsidRPr="009C6919" w:rsidRDefault="00244FB6" w:rsidP="00244FB6">
      <w:pPr>
        <w:pStyle w:val="FootnoteText"/>
        <w:ind w:firstLine="0"/>
      </w:pPr>
      <w:r w:rsidRPr="009C6919">
        <w:rPr>
          <w:rStyle w:val="FootnoteReference"/>
        </w:rPr>
        <w:footnoteRef/>
      </w:r>
      <w:r w:rsidRPr="009C6919">
        <w:t xml:space="preserve"> C. H. Josten</w:t>
      </w:r>
      <w:r w:rsidR="00C47062">
        <w:t xml:space="preserve"> (</w:t>
      </w:r>
      <w:r w:rsidRPr="009C6919">
        <w:t>ed.</w:t>
      </w:r>
      <w:r w:rsidR="00C47062">
        <w:t>),</w:t>
      </w:r>
      <w:r w:rsidRPr="009C6919">
        <w:t xml:space="preserve"> </w:t>
      </w:r>
      <w:r w:rsidR="00FF3BCE" w:rsidRPr="00FF3BCE">
        <w:rPr>
          <w:i/>
          <w:iCs/>
        </w:rPr>
        <w:t>Elias Ashmole (1617–1692). His Autobiographical and Historical Notes, his Correspondence, and Other Contemporary Sources Relating to his Life and Worked</w:t>
      </w:r>
      <w:r w:rsidR="00FF3BCE" w:rsidRPr="00FF3BCE">
        <w:t xml:space="preserve"> </w:t>
      </w:r>
      <w:r w:rsidRPr="00FF3BCE">
        <w:t>(Oxford: Clarendon, 1966), 122</w:t>
      </w:r>
      <w:r w:rsidRPr="009C6919">
        <w:t>.</w:t>
      </w:r>
    </w:p>
  </w:footnote>
  <w:footnote w:id="476">
    <w:p w14:paraId="627FAEBC" w14:textId="311F03E7" w:rsidR="00244FB6" w:rsidRPr="009C6919" w:rsidRDefault="00244FB6" w:rsidP="00244FB6">
      <w:pPr>
        <w:pStyle w:val="FootnoteText"/>
        <w:ind w:firstLine="0"/>
      </w:pPr>
      <w:r w:rsidRPr="009C6919">
        <w:rPr>
          <w:rStyle w:val="FootnoteReference"/>
        </w:rPr>
        <w:footnoteRef/>
      </w:r>
      <w:r w:rsidRPr="009C6919">
        <w:t xml:space="preserve"> Yates, </w:t>
      </w:r>
      <w:r w:rsidRPr="009C6919">
        <w:rPr>
          <w:i/>
          <w:iCs/>
        </w:rPr>
        <w:t>The Rosicrucian Enlightenment</w:t>
      </w:r>
      <w:r w:rsidRPr="009C6919">
        <w:t xml:space="preserve">, 128; </w:t>
      </w:r>
      <w:bookmarkStart w:id="122" w:name="_Hlk150528140"/>
      <w:r w:rsidRPr="009C6919">
        <w:t xml:space="preserve">Thomas Willard, ‘John Heydon’s Visions: “Pretty” or “Polluted”?’, in </w:t>
      </w:r>
      <w:r w:rsidRPr="009C6919">
        <w:rPr>
          <w:i/>
          <w:iCs/>
        </w:rPr>
        <w:t>Paideuma: Modern and Contemporary Poetry and Poetics</w:t>
      </w:r>
      <w:r w:rsidRPr="009C6919">
        <w:t xml:space="preserve"> V. 16, n. 1/2 (1987), 61-72</w:t>
      </w:r>
      <w:bookmarkEnd w:id="122"/>
      <w:r w:rsidRPr="009C6919">
        <w:t>: 62-63.</w:t>
      </w:r>
    </w:p>
  </w:footnote>
  <w:footnote w:id="477">
    <w:p w14:paraId="575F3A7D" w14:textId="77777777" w:rsidR="00244FB6" w:rsidRPr="009C6919" w:rsidRDefault="00244FB6" w:rsidP="00244FB6">
      <w:pPr>
        <w:pStyle w:val="FootnoteText"/>
        <w:ind w:firstLine="0"/>
      </w:pPr>
      <w:r w:rsidRPr="009C6919">
        <w:rPr>
          <w:rStyle w:val="FootnoteReference"/>
        </w:rPr>
        <w:footnoteRef/>
      </w:r>
      <w:r w:rsidRPr="009C6919">
        <w:t xml:space="preserve"> Willard, ‘John Heydon’s Visions: “Pretty” or “Polluted”?’ (1987), 61-62.</w:t>
      </w:r>
    </w:p>
  </w:footnote>
  <w:footnote w:id="478">
    <w:p w14:paraId="7B539F3B" w14:textId="77777777" w:rsidR="00244FB6" w:rsidRPr="009C6919" w:rsidRDefault="00244FB6" w:rsidP="00244FB6">
      <w:pPr>
        <w:pStyle w:val="FootnoteText"/>
        <w:ind w:firstLine="0"/>
        <w:rPr>
          <w:i/>
          <w:iCs/>
        </w:rPr>
      </w:pPr>
      <w:r w:rsidRPr="009C6919">
        <w:rPr>
          <w:rStyle w:val="FootnoteReference"/>
        </w:rPr>
        <w:footnoteRef/>
      </w:r>
      <w:r w:rsidRPr="009C6919">
        <w:t xml:space="preserve"> To this group of texts belong </w:t>
      </w:r>
      <w:bookmarkStart w:id="123" w:name="_Hlk150530757"/>
      <w:r w:rsidRPr="009C6919">
        <w:rPr>
          <w:i/>
          <w:iCs/>
        </w:rPr>
        <w:t>A New Method of Rosie-Crucian Physick</w:t>
      </w:r>
      <w:r w:rsidRPr="009C6919">
        <w:t xml:space="preserve"> (1658), </w:t>
      </w:r>
      <w:r w:rsidRPr="009C6919">
        <w:rPr>
          <w:i/>
          <w:iCs/>
        </w:rPr>
        <w:t>The Rosie Crucian Infallible Axiomata</w:t>
      </w:r>
      <w:r w:rsidRPr="009C6919">
        <w:t xml:space="preserve"> (1660), </w:t>
      </w:r>
      <w:r w:rsidRPr="009C6919">
        <w:rPr>
          <w:i/>
          <w:iCs/>
        </w:rPr>
        <w:t>The Holy Guide</w:t>
      </w:r>
      <w:r w:rsidRPr="009C6919">
        <w:t xml:space="preserve"> (1662), also published as </w:t>
      </w:r>
      <w:r w:rsidRPr="009C6919">
        <w:rPr>
          <w:i/>
          <w:iCs/>
        </w:rPr>
        <w:t>The English Physitians Guide</w:t>
      </w:r>
      <w:r w:rsidRPr="009C6919">
        <w:t xml:space="preserve">, then </w:t>
      </w:r>
      <w:r w:rsidRPr="009C6919">
        <w:rPr>
          <w:i/>
          <w:iCs/>
        </w:rPr>
        <w:t>The Harmony</w:t>
      </w:r>
    </w:p>
    <w:p w14:paraId="521081C2" w14:textId="77777777" w:rsidR="00244FB6" w:rsidRPr="009C6919" w:rsidRDefault="00244FB6" w:rsidP="00244FB6">
      <w:pPr>
        <w:pStyle w:val="FootnoteText"/>
        <w:ind w:firstLine="0"/>
      </w:pPr>
      <w:r w:rsidRPr="009C6919">
        <w:rPr>
          <w:i/>
          <w:iCs/>
        </w:rPr>
        <w:t xml:space="preserve"> of the World</w:t>
      </w:r>
      <w:r w:rsidRPr="009C6919">
        <w:t xml:space="preserve"> (1662), </w:t>
      </w:r>
      <w:r w:rsidRPr="009C6919">
        <w:rPr>
          <w:i/>
          <w:iCs/>
        </w:rPr>
        <w:t>The Temple of Wisdome</w:t>
      </w:r>
      <w:r w:rsidRPr="009C6919">
        <w:t xml:space="preserve"> (1664), </w:t>
      </w:r>
      <w:r w:rsidRPr="009C6919">
        <w:rPr>
          <w:i/>
          <w:iCs/>
        </w:rPr>
        <w:t>The Wise Man's Crown</w:t>
      </w:r>
      <w:r w:rsidRPr="009C6919">
        <w:t xml:space="preserve"> (1664)</w:t>
      </w:r>
      <w:r w:rsidRPr="009C6919">
        <w:rPr>
          <w:rFonts w:eastAsia="MS Gothic"/>
        </w:rPr>
        <w:t>,</w:t>
      </w:r>
      <w:r w:rsidRPr="009C6919">
        <w:rPr>
          <w:i/>
          <w:iCs/>
        </w:rPr>
        <w:t>The Rosie-Crucian Crown</w:t>
      </w:r>
      <w:r w:rsidRPr="009C6919">
        <w:t xml:space="preserve"> (1664)</w:t>
      </w:r>
      <w:r w:rsidRPr="009C6919">
        <w:rPr>
          <w:rFonts w:eastAsia="MS Gothic"/>
        </w:rPr>
        <w:t xml:space="preserve"> </w:t>
      </w:r>
      <w:r w:rsidRPr="009C6919">
        <w:t xml:space="preserve">and </w:t>
      </w:r>
      <w:r w:rsidRPr="009C6919">
        <w:rPr>
          <w:i/>
          <w:iCs/>
        </w:rPr>
        <w:t>The English Physitians Tutor</w:t>
      </w:r>
      <w:r w:rsidRPr="009C6919">
        <w:t xml:space="preserve"> (1665)</w:t>
      </w:r>
      <w:r>
        <w:t>.</w:t>
      </w:r>
    </w:p>
    <w:bookmarkEnd w:id="123"/>
  </w:footnote>
  <w:footnote w:id="479">
    <w:p w14:paraId="5E4EDBE5" w14:textId="0A0947EF" w:rsidR="00244FB6" w:rsidRDefault="00244FB6" w:rsidP="00244FB6">
      <w:pPr>
        <w:pStyle w:val="FootnoteText"/>
        <w:ind w:firstLine="0"/>
      </w:pPr>
      <w:r w:rsidRPr="009C6919">
        <w:rPr>
          <w:rStyle w:val="FootnoteReference"/>
        </w:rPr>
        <w:footnoteRef/>
      </w:r>
      <w:r w:rsidRPr="009C6919">
        <w:t xml:space="preserve"> John Heydon, </w:t>
      </w:r>
      <w:r w:rsidRPr="009C6919">
        <w:rPr>
          <w:i/>
          <w:iCs/>
        </w:rPr>
        <w:t xml:space="preserve">Theomagia or the Temple of Wisdome. </w:t>
      </w:r>
      <w:bookmarkStart w:id="124" w:name="_Hlk150532197"/>
      <w:r w:rsidRPr="009C6919">
        <w:rPr>
          <w:i/>
          <w:iCs/>
        </w:rPr>
        <w:t>In Three Parts, Spiritual, Celestial and Elemental</w:t>
      </w:r>
      <w:r w:rsidRPr="009C6919">
        <w:t xml:space="preserve"> </w:t>
      </w:r>
      <w:bookmarkEnd w:id="124"/>
      <w:r w:rsidRPr="009C6919">
        <w:t xml:space="preserve">(London: </w:t>
      </w:r>
      <w:r w:rsidR="005857AC" w:rsidRPr="005857AC">
        <w:t xml:space="preserve">T.M. for Henry Brome, </w:t>
      </w:r>
      <w:r w:rsidRPr="009C6919">
        <w:t>1664).</w:t>
      </w:r>
    </w:p>
  </w:footnote>
  <w:footnote w:id="480">
    <w:p w14:paraId="1256DA07" w14:textId="7021CC0F" w:rsidR="00244FB6" w:rsidRDefault="00244FB6" w:rsidP="00244FB6">
      <w:pPr>
        <w:pStyle w:val="FootnoteText"/>
        <w:ind w:firstLine="0"/>
      </w:pPr>
      <w:r>
        <w:rPr>
          <w:rStyle w:val="FootnoteReference"/>
        </w:rPr>
        <w:footnoteRef/>
      </w:r>
      <w:r>
        <w:t xml:space="preserve"> Heydon, </w:t>
      </w:r>
      <w:r>
        <w:rPr>
          <w:i/>
          <w:iCs/>
        </w:rPr>
        <w:t xml:space="preserve">The </w:t>
      </w:r>
      <w:r w:rsidRPr="00896210">
        <w:rPr>
          <w:i/>
          <w:iCs/>
        </w:rPr>
        <w:t>Temple of Wisdome</w:t>
      </w:r>
      <w:r>
        <w:rPr>
          <w:i/>
          <w:iCs/>
        </w:rPr>
        <w:t xml:space="preserve">, </w:t>
      </w:r>
      <w:r>
        <w:t xml:space="preserve">I, 1. </w:t>
      </w:r>
    </w:p>
  </w:footnote>
  <w:footnote w:id="481">
    <w:p w14:paraId="28F6FF5C" w14:textId="55DF6561" w:rsidR="00244FB6" w:rsidRDefault="00244FB6" w:rsidP="00244FB6">
      <w:pPr>
        <w:pStyle w:val="FootnoteText"/>
        <w:ind w:firstLine="0"/>
      </w:pPr>
      <w:r>
        <w:rPr>
          <w:rStyle w:val="FootnoteReference"/>
        </w:rPr>
        <w:footnoteRef/>
      </w:r>
      <w:r>
        <w:t xml:space="preserve"> </w:t>
      </w:r>
      <w:r w:rsidR="004C62C4" w:rsidRPr="004C62C4">
        <w:rPr>
          <w:i/>
          <w:iCs/>
        </w:rPr>
        <w:t>Ibid.,</w:t>
      </w:r>
      <w:r w:rsidR="004C62C4">
        <w:t xml:space="preserve"> </w:t>
      </w:r>
      <w:r>
        <w:t>12-15, 46, 60, 92, 100-103, 232-235.</w:t>
      </w:r>
    </w:p>
  </w:footnote>
  <w:footnote w:id="482">
    <w:p w14:paraId="26AF2478" w14:textId="77777777" w:rsidR="00244FB6" w:rsidRDefault="00244FB6" w:rsidP="00244FB6">
      <w:pPr>
        <w:pStyle w:val="FootnoteText"/>
        <w:ind w:firstLine="0"/>
      </w:pPr>
      <w:r>
        <w:rPr>
          <w:rStyle w:val="FootnoteReference"/>
        </w:rPr>
        <w:footnoteRef/>
      </w:r>
      <w:r>
        <w:t xml:space="preserve"> Heydon, </w:t>
      </w:r>
      <w:r>
        <w:rPr>
          <w:i/>
          <w:iCs/>
        </w:rPr>
        <w:t xml:space="preserve">The </w:t>
      </w:r>
      <w:r w:rsidRPr="00896210">
        <w:rPr>
          <w:i/>
          <w:iCs/>
        </w:rPr>
        <w:t>Temple of Wisdome</w:t>
      </w:r>
      <w:r>
        <w:rPr>
          <w:i/>
          <w:iCs/>
        </w:rPr>
        <w:t xml:space="preserve">, </w:t>
      </w:r>
      <w:r>
        <w:t>III</w:t>
      </w:r>
      <w:r>
        <w:rPr>
          <w:i/>
          <w:iCs/>
        </w:rPr>
        <w:t xml:space="preserve"> </w:t>
      </w:r>
      <w:r>
        <w:t>(1664), 178.</w:t>
      </w:r>
    </w:p>
  </w:footnote>
  <w:footnote w:id="483">
    <w:p w14:paraId="2816E457" w14:textId="77777777" w:rsidR="00244FB6" w:rsidRDefault="00244FB6" w:rsidP="00244FB6">
      <w:pPr>
        <w:pStyle w:val="FootnoteText"/>
        <w:ind w:firstLine="0"/>
      </w:pPr>
      <w:r>
        <w:rPr>
          <w:rStyle w:val="FootnoteReference"/>
        </w:rPr>
        <w:footnoteRef/>
      </w:r>
      <w:r>
        <w:t xml:space="preserve"> John Heydon, </w:t>
      </w:r>
      <w:r w:rsidRPr="003A1CA4">
        <w:rPr>
          <w:i/>
          <w:iCs/>
        </w:rPr>
        <w:t>Elhavareuna or the English Physitians Tutor</w:t>
      </w:r>
      <w:r>
        <w:t xml:space="preserve"> (London: William Gilbertson, 1665), 1.</w:t>
      </w:r>
    </w:p>
  </w:footnote>
  <w:footnote w:id="484">
    <w:p w14:paraId="1142A1CB" w14:textId="16899659" w:rsidR="00244FB6" w:rsidRPr="00223C39" w:rsidRDefault="00244FB6" w:rsidP="00244FB6">
      <w:pPr>
        <w:pStyle w:val="FootnoteText"/>
        <w:ind w:firstLine="0"/>
      </w:pPr>
      <w:r>
        <w:rPr>
          <w:rStyle w:val="FootnoteReference"/>
        </w:rPr>
        <w:footnoteRef/>
      </w:r>
      <w:r>
        <w:t xml:space="preserve"> Heydon, </w:t>
      </w:r>
      <w:r w:rsidRPr="003A1CA4">
        <w:rPr>
          <w:i/>
          <w:iCs/>
        </w:rPr>
        <w:t>Elhavareuna</w:t>
      </w:r>
      <w:r w:rsidR="004C62C4">
        <w:rPr>
          <w:i/>
          <w:iCs/>
        </w:rPr>
        <w:t xml:space="preserve">, </w:t>
      </w:r>
      <w:r>
        <w:t>48.</w:t>
      </w:r>
    </w:p>
  </w:footnote>
  <w:footnote w:id="485">
    <w:p w14:paraId="4445A776" w14:textId="75CD02CC" w:rsidR="00244FB6" w:rsidRDefault="00244FB6" w:rsidP="00244FB6">
      <w:pPr>
        <w:pStyle w:val="FootnoteText"/>
        <w:ind w:firstLine="0"/>
      </w:pPr>
      <w:r>
        <w:rPr>
          <w:rStyle w:val="FootnoteReference"/>
        </w:rPr>
        <w:footnoteRef/>
      </w:r>
      <w:r>
        <w:t xml:space="preserve"> </w:t>
      </w:r>
      <w:r w:rsidR="004C62C4" w:rsidRPr="004C62C4">
        <w:rPr>
          <w:i/>
          <w:iCs/>
        </w:rPr>
        <w:t>Ibid</w:t>
      </w:r>
      <w:r w:rsidR="004C62C4">
        <w:t xml:space="preserve">., </w:t>
      </w:r>
      <w:r>
        <w:t xml:space="preserve">83, 95, 103, 164, 168, </w:t>
      </w:r>
    </w:p>
  </w:footnote>
  <w:footnote w:id="486">
    <w:p w14:paraId="3F3634FB" w14:textId="00B95052" w:rsidR="00244FB6" w:rsidRDefault="00244FB6" w:rsidP="00244FB6">
      <w:pPr>
        <w:pStyle w:val="FootnoteText"/>
        <w:ind w:firstLine="0"/>
      </w:pPr>
      <w:r>
        <w:rPr>
          <w:rStyle w:val="FootnoteReference"/>
        </w:rPr>
        <w:footnoteRef/>
      </w:r>
      <w:r>
        <w:t xml:space="preserve"> </w:t>
      </w:r>
      <w:r w:rsidR="004C62C4" w:rsidRPr="004C62C4">
        <w:rPr>
          <w:i/>
          <w:iCs/>
        </w:rPr>
        <w:t>Ibid</w:t>
      </w:r>
      <w:r w:rsidR="004C62C4">
        <w:t>.,</w:t>
      </w:r>
      <w:r>
        <w:t xml:space="preserve"> 68.</w:t>
      </w:r>
    </w:p>
  </w:footnote>
  <w:footnote w:id="487">
    <w:p w14:paraId="1D9B563B" w14:textId="4818A1BC" w:rsidR="00244FB6" w:rsidRDefault="00244FB6" w:rsidP="00244FB6">
      <w:pPr>
        <w:pStyle w:val="FootnoteText"/>
        <w:ind w:firstLine="0"/>
      </w:pPr>
      <w:r>
        <w:rPr>
          <w:rStyle w:val="FootnoteReference"/>
        </w:rPr>
        <w:footnoteRef/>
      </w:r>
      <w:r>
        <w:t xml:space="preserve"> </w:t>
      </w:r>
      <w:r w:rsidR="004C62C4" w:rsidRPr="004C62C4">
        <w:rPr>
          <w:i/>
          <w:iCs/>
        </w:rPr>
        <w:t>Ibid</w:t>
      </w:r>
      <w:r w:rsidR="004C62C4">
        <w:t>.,</w:t>
      </w:r>
      <w:r>
        <w:t xml:space="preserve"> 88. This ‘geomantic birth chart’ is also found in Heydon’s </w:t>
      </w:r>
      <w:r w:rsidRPr="005605E7">
        <w:rPr>
          <w:i/>
          <w:iCs/>
        </w:rPr>
        <w:t>The Harmony of The World</w:t>
      </w:r>
      <w:r>
        <w:t xml:space="preserve"> (1662), together with the following passage referring to it: “And as there is a Heaven above, so there is a Heaven below; and as there are stars above, so there are stars below; and all that is above is also below, which makes the Harmony and agreement of the World. And this is the figure of the Earth in which I was born.”</w:t>
      </w:r>
    </w:p>
  </w:footnote>
  <w:footnote w:id="488">
    <w:p w14:paraId="6B47CF20" w14:textId="77777777" w:rsidR="00244FB6" w:rsidRDefault="00244FB6" w:rsidP="00244FB6">
      <w:pPr>
        <w:pStyle w:val="FootnoteText"/>
        <w:ind w:firstLine="0"/>
      </w:pPr>
      <w:r>
        <w:rPr>
          <w:rStyle w:val="FootnoteReference"/>
        </w:rPr>
        <w:footnoteRef/>
      </w:r>
      <w:r>
        <w:t xml:space="preserve"> Heydon, </w:t>
      </w:r>
      <w:r w:rsidRPr="003A1CA4">
        <w:rPr>
          <w:i/>
          <w:iCs/>
        </w:rPr>
        <w:t xml:space="preserve">Elhavareuna </w:t>
      </w:r>
      <w:r>
        <w:t>(1665), 91.</w:t>
      </w:r>
    </w:p>
  </w:footnote>
  <w:footnote w:id="489">
    <w:p w14:paraId="3CE1F995" w14:textId="77777777" w:rsidR="00244FB6" w:rsidRDefault="00244FB6" w:rsidP="00244FB6">
      <w:pPr>
        <w:pStyle w:val="FootnoteText"/>
        <w:ind w:firstLine="0"/>
      </w:pPr>
      <w:r>
        <w:rPr>
          <w:rStyle w:val="FootnoteReference"/>
        </w:rPr>
        <w:footnoteRef/>
      </w:r>
      <w:r>
        <w:t xml:space="preserve"> Steffan Michelspacher, </w:t>
      </w:r>
      <w:r w:rsidRPr="00635450">
        <w:rPr>
          <w:i/>
          <w:iCs/>
        </w:rPr>
        <w:t>Cabala: Spiegel der Kunst und Natur in Alchymia</w:t>
      </w:r>
      <w:r>
        <w:t xml:space="preserve"> (Augsburg: 1616), in Gareth Roberts, </w:t>
      </w:r>
      <w:r w:rsidRPr="00635450">
        <w:rPr>
          <w:i/>
          <w:iCs/>
        </w:rPr>
        <w:t>The Mirror of Alchemy. Alchemical Ideas and Images in Manuscripts and Books, from Antiquity to the Seventeeth-Century</w:t>
      </w:r>
      <w:r>
        <w:t xml:space="preserve"> (London: The British Library, 1994), 44, Fig. 22.</w:t>
      </w:r>
    </w:p>
  </w:footnote>
  <w:footnote w:id="490">
    <w:p w14:paraId="4430A5D1" w14:textId="7CE5FC84" w:rsidR="00244FB6" w:rsidRDefault="00244FB6" w:rsidP="00244FB6">
      <w:pPr>
        <w:pStyle w:val="FootnoteText"/>
        <w:ind w:firstLine="0"/>
      </w:pPr>
      <w:r>
        <w:rPr>
          <w:rStyle w:val="FootnoteReference"/>
        </w:rPr>
        <w:footnoteRef/>
      </w:r>
      <w:r w:rsidR="002B0996">
        <w:t xml:space="preserve"> </w:t>
      </w:r>
      <w:r>
        <w:t xml:space="preserve">See </w:t>
      </w:r>
      <w:r w:rsidRPr="00226228">
        <w:rPr>
          <w:i/>
          <w:iCs/>
        </w:rPr>
        <w:t>Rosarium Philosophorum, Ein alchemisches Florilegium des Spätmittelalters</w:t>
      </w:r>
      <w:r>
        <w:t xml:space="preserve">, </w:t>
      </w:r>
      <w:r w:rsidR="00070EE3">
        <w:t>[</w:t>
      </w:r>
      <w:r>
        <w:t>Facsimile from Frankfurt/M.1150</w:t>
      </w:r>
      <w:r w:rsidR="00070EE3">
        <w:t>]</w:t>
      </w:r>
      <w:r>
        <w:t xml:space="preserve"> ed. by L. Claren and J. Huber (Weinheim: VCH, 1992), 95, 166.</w:t>
      </w:r>
    </w:p>
  </w:footnote>
  <w:footnote w:id="491">
    <w:p w14:paraId="195610DB" w14:textId="77777777" w:rsidR="00244FB6" w:rsidRDefault="00244FB6" w:rsidP="00244FB6">
      <w:pPr>
        <w:pStyle w:val="FootnoteText"/>
        <w:ind w:firstLine="0"/>
      </w:pPr>
      <w:r>
        <w:rPr>
          <w:rStyle w:val="FootnoteReference"/>
        </w:rPr>
        <w:footnoteRef/>
      </w:r>
      <w:r>
        <w:t xml:space="preserve"> For example in Robert Fludd, see Godwin, </w:t>
      </w:r>
      <w:r w:rsidRPr="00110157">
        <w:rPr>
          <w:i/>
          <w:iCs/>
        </w:rPr>
        <w:t>The Greater and Lesser Worlds of Robert Fludd</w:t>
      </w:r>
      <w:r>
        <w:t xml:space="preserve"> (2019), 176-177.</w:t>
      </w:r>
    </w:p>
  </w:footnote>
  <w:footnote w:id="492">
    <w:p w14:paraId="15D15171" w14:textId="77777777" w:rsidR="00244FB6" w:rsidRDefault="00244FB6" w:rsidP="00244FB6">
      <w:pPr>
        <w:pStyle w:val="FootnoteText"/>
        <w:ind w:firstLine="0"/>
      </w:pPr>
      <w:r>
        <w:rPr>
          <w:rStyle w:val="FootnoteReference"/>
        </w:rPr>
        <w:footnoteRef/>
      </w:r>
      <w:r>
        <w:t xml:space="preserve"> The full series of images from the </w:t>
      </w:r>
      <w:r w:rsidRPr="00FE3B95">
        <w:rPr>
          <w:i/>
          <w:iCs/>
        </w:rPr>
        <w:t>Coronatio naturae</w:t>
      </w:r>
      <w:r>
        <w:t xml:space="preserve"> has been published in Stanislas Klossowski de Rola, </w:t>
      </w:r>
      <w:r w:rsidRPr="00C66DA2">
        <w:rPr>
          <w:i/>
          <w:iCs/>
        </w:rPr>
        <w:t>Alchimie: florilège de l’art secret</w:t>
      </w:r>
      <w:r>
        <w:t xml:space="preserve"> (Paris: Éditions du Seuil, 1974), 108-117. </w:t>
      </w:r>
      <w:r w:rsidRPr="00DD3844">
        <w:t xml:space="preserve">For the other vessels engraved in the </w:t>
      </w:r>
      <w:r w:rsidRPr="00DD3844">
        <w:rPr>
          <w:i/>
          <w:iCs/>
        </w:rPr>
        <w:t>Elhavareuna</w:t>
      </w:r>
      <w:r w:rsidRPr="00DD3844">
        <w:t xml:space="preserve"> is also easily found the correspondence with the </w:t>
      </w:r>
      <w:r w:rsidRPr="00DD3844">
        <w:rPr>
          <w:i/>
          <w:iCs/>
        </w:rPr>
        <w:t>Coronatio naturae</w:t>
      </w:r>
      <w:r w:rsidRPr="00DD3844">
        <w:t>.</w:t>
      </w:r>
    </w:p>
  </w:footnote>
  <w:footnote w:id="493">
    <w:p w14:paraId="1A2E1227" w14:textId="78F4FBAA" w:rsidR="00244FB6" w:rsidRDefault="00244FB6" w:rsidP="00244FB6">
      <w:pPr>
        <w:pStyle w:val="FootnoteText"/>
        <w:ind w:firstLine="0"/>
      </w:pPr>
      <w:r>
        <w:rPr>
          <w:rStyle w:val="FootnoteReference"/>
        </w:rPr>
        <w:footnoteRef/>
      </w:r>
      <w:r>
        <w:t xml:space="preserve"> “This is the dragon that devours its own tail” (</w:t>
      </w:r>
      <w:r w:rsidRPr="00093C0C">
        <w:rPr>
          <w:i/>
          <w:iCs/>
        </w:rPr>
        <w:t>Atalanta Fugiens</w:t>
      </w:r>
      <w:r>
        <w:t xml:space="preserve">, embl. XIV), in H. M. E. De Jong, </w:t>
      </w:r>
      <w:r w:rsidRPr="00154309">
        <w:rPr>
          <w:i/>
          <w:iCs/>
        </w:rPr>
        <w:t>Michael Maier’s Atalanta Fugiens, Sources of an Alchemical Book of Emblems</w:t>
      </w:r>
      <w:r>
        <w:t xml:space="preserve"> (Leiden: Brill, 1969), 390. Equally similar is the emblem of the ouroboros in Lambsprinck, De Lapide Philosophico Libellus (Frankfurt, 1625), see De Jong, </w:t>
      </w:r>
      <w:r w:rsidRPr="00154309">
        <w:rPr>
          <w:i/>
          <w:iCs/>
        </w:rPr>
        <w:t>Michael Maier’s Atalanta Fugiens</w:t>
      </w:r>
      <w:r>
        <w:t>, 439.</w:t>
      </w:r>
    </w:p>
  </w:footnote>
  <w:footnote w:id="494">
    <w:p w14:paraId="747B1B2F" w14:textId="7428D4F1" w:rsidR="00244FB6" w:rsidRDefault="00244FB6" w:rsidP="00244FB6">
      <w:pPr>
        <w:pStyle w:val="FootnoteText"/>
        <w:ind w:firstLine="0"/>
      </w:pPr>
      <w:r>
        <w:rPr>
          <w:rStyle w:val="FootnoteReference"/>
        </w:rPr>
        <w:footnoteRef/>
      </w:r>
      <w:r>
        <w:t xml:space="preserve"> Yates, </w:t>
      </w:r>
      <w:r w:rsidRPr="007F634F">
        <w:rPr>
          <w:i/>
          <w:iCs/>
        </w:rPr>
        <w:t>The Rosicrucian Enlightenment</w:t>
      </w:r>
      <w:r>
        <w:t>, 69.</w:t>
      </w:r>
    </w:p>
  </w:footnote>
  <w:footnote w:id="495">
    <w:p w14:paraId="31CEE30B" w14:textId="77777777" w:rsidR="00244FB6" w:rsidRPr="00BF0F05" w:rsidRDefault="00244FB6" w:rsidP="00244FB6">
      <w:pPr>
        <w:pStyle w:val="FootnoteText"/>
        <w:ind w:firstLine="0"/>
      </w:pPr>
      <w:r>
        <w:rPr>
          <w:rStyle w:val="FootnoteReference"/>
        </w:rPr>
        <w:footnoteRef/>
      </w:r>
      <w:r>
        <w:t xml:space="preserve"> John Heydon, </w:t>
      </w:r>
      <w:r w:rsidRPr="00BF0F05">
        <w:rPr>
          <w:i/>
          <w:iCs/>
        </w:rPr>
        <w:t>The Wise Mans Crown or, the Glory of the Rosie Cross</w:t>
      </w:r>
      <w:r>
        <w:t xml:space="preserve"> (London, 1664).</w:t>
      </w:r>
    </w:p>
  </w:footnote>
  <w:footnote w:id="496">
    <w:p w14:paraId="68E8F855" w14:textId="77777777" w:rsidR="00244FB6" w:rsidRDefault="00244FB6" w:rsidP="00244FB6">
      <w:pPr>
        <w:pStyle w:val="FootnoteText"/>
        <w:ind w:firstLine="0"/>
      </w:pPr>
      <w:r>
        <w:rPr>
          <w:rStyle w:val="FootnoteReference"/>
        </w:rPr>
        <w:footnoteRef/>
      </w:r>
      <w:r>
        <w:t xml:space="preserve"> Michael Meier, </w:t>
      </w:r>
      <w:r w:rsidRPr="00115536">
        <w:rPr>
          <w:i/>
          <w:iCs/>
        </w:rPr>
        <w:t>Themis Aurea, hoc est, de Legibus Fraternitatis R. C. tractatus, quo earum cum rei veritate convenientia, utilitas publica et privata, nec non causa necessaria, evoluntur et demonstrantur</w:t>
      </w:r>
      <w:r w:rsidRPr="00115536">
        <w:t xml:space="preserve"> </w:t>
      </w:r>
      <w:r>
        <w:t xml:space="preserve">(Frankfurt: Nicolao Hoffman, </w:t>
      </w:r>
      <w:r w:rsidRPr="00115536">
        <w:t>1618</w:t>
      </w:r>
      <w:r>
        <w:t>).</w:t>
      </w:r>
    </w:p>
  </w:footnote>
  <w:footnote w:id="497">
    <w:p w14:paraId="4C8BBED4" w14:textId="77777777" w:rsidR="00244FB6" w:rsidRDefault="00244FB6" w:rsidP="00244FB6">
      <w:pPr>
        <w:pStyle w:val="FootnoteText"/>
        <w:ind w:firstLine="0"/>
      </w:pPr>
      <w:r>
        <w:rPr>
          <w:rStyle w:val="FootnoteReference"/>
        </w:rPr>
        <w:footnoteRef/>
      </w:r>
      <w:r>
        <w:t xml:space="preserve"> </w:t>
      </w:r>
      <w:r w:rsidRPr="00452418">
        <w:t>London, BL, Harley MS 6485</w:t>
      </w:r>
      <w:r>
        <w:t>, f. 390v.</w:t>
      </w:r>
    </w:p>
  </w:footnote>
  <w:footnote w:id="498">
    <w:p w14:paraId="28249EB6" w14:textId="0C5BB46A" w:rsidR="00244FB6" w:rsidRDefault="00244FB6" w:rsidP="00244FB6">
      <w:pPr>
        <w:pStyle w:val="FootnoteText"/>
        <w:ind w:firstLine="0"/>
      </w:pPr>
      <w:r>
        <w:rPr>
          <w:rStyle w:val="FootnoteReference"/>
        </w:rPr>
        <w:footnoteRef/>
      </w:r>
      <w:r>
        <w:t xml:space="preserve"> Robert Fludd, </w:t>
      </w:r>
      <w:r w:rsidRPr="00C952E6">
        <w:rPr>
          <w:i/>
          <w:iCs/>
        </w:rPr>
        <w:t>Apologia Compendiaria Fraternitatem de Rosae Crucis Suspicionis et Infamiae Maculis Aspersam, Veritatis Quasi Fluctibus Abluens et Abs</w:t>
      </w:r>
      <w:r>
        <w:rPr>
          <w:i/>
          <w:iCs/>
        </w:rPr>
        <w:t>ter</w:t>
      </w:r>
      <w:r w:rsidRPr="00C952E6">
        <w:rPr>
          <w:i/>
          <w:iCs/>
        </w:rPr>
        <w:t>gens</w:t>
      </w:r>
      <w:r>
        <w:t xml:space="preserve"> (Leiden: Gottfried Basson, 1616); Fludd, </w:t>
      </w:r>
      <w:r w:rsidRPr="00C952E6">
        <w:rPr>
          <w:i/>
          <w:iCs/>
        </w:rPr>
        <w:t xml:space="preserve">Tractatus Apologeticus Integritatem Societatis de Rosea Cruce defendens… </w:t>
      </w:r>
      <w:r>
        <w:t xml:space="preserve">(Leiden: Gottfried Basson, 1617). On Fludd’s relation with Rosicrucian ideas see J. B. Craven, </w:t>
      </w:r>
      <w:r w:rsidRPr="00C952E6">
        <w:rPr>
          <w:i/>
          <w:iCs/>
        </w:rPr>
        <w:t>Doctor Robert Fludd (Robertus de Fluctibus) the English Rosicrucian: Life and Writings</w:t>
      </w:r>
      <w:r>
        <w:t xml:space="preserve"> (Kirkwall: William Peace &amp; Son, 1902); Serge Hutin</w:t>
      </w:r>
      <w:r w:rsidRPr="007F50A7">
        <w:rPr>
          <w:i/>
          <w:iCs/>
        </w:rPr>
        <w:t>, Robert Fludd (1574-1637), alchimiste et philosophe rosicrucien</w:t>
      </w:r>
      <w:r>
        <w:t xml:space="preserve"> (Paris: </w:t>
      </w:r>
      <w:r w:rsidRPr="007F50A7">
        <w:t>Éditions de l</w:t>
      </w:r>
      <w:r w:rsidR="00E122B2">
        <w:t>’</w:t>
      </w:r>
      <w:r w:rsidRPr="007F50A7">
        <w:t>Omnium littéraire</w:t>
      </w:r>
      <w:r>
        <w:t xml:space="preserve">, 1971); and Yates, </w:t>
      </w:r>
      <w:r w:rsidRPr="00D91F5C">
        <w:rPr>
          <w:i/>
          <w:iCs/>
        </w:rPr>
        <w:t>The Rosicrucian Enlightenment</w:t>
      </w:r>
      <w:r>
        <w:t xml:space="preserve"> (1972), 70-90.</w:t>
      </w:r>
    </w:p>
  </w:footnote>
  <w:footnote w:id="499">
    <w:p w14:paraId="1FE981D6" w14:textId="77777777" w:rsidR="00244FB6" w:rsidRPr="00320E1B" w:rsidRDefault="00244FB6" w:rsidP="00244FB6">
      <w:pPr>
        <w:pStyle w:val="FootnoteText"/>
        <w:ind w:firstLine="0"/>
      </w:pPr>
      <w:r>
        <w:rPr>
          <w:rStyle w:val="FootnoteReference"/>
        </w:rPr>
        <w:footnoteRef/>
      </w:r>
      <w:r>
        <w:t xml:space="preserve"> See </w:t>
      </w:r>
      <w:r w:rsidRPr="00320E1B">
        <w:rPr>
          <w:i/>
          <w:iCs/>
        </w:rPr>
        <w:t>The Golden Dawn companion : a guide to the history, structure, and workings of the Hermetic Order of the Golden Dawn</w:t>
      </w:r>
      <w:r>
        <w:t xml:space="preserve">, ed. by </w:t>
      </w:r>
      <w:r w:rsidRPr="00320E1B">
        <w:t>R. A. Gilbert</w:t>
      </w:r>
      <w:r>
        <w:t xml:space="preserve"> (</w:t>
      </w:r>
      <w:r w:rsidRPr="00320E1B">
        <w:t>Wellingborough : Aquarian Press, 1986</w:t>
      </w:r>
      <w:r>
        <w:t>).</w:t>
      </w:r>
    </w:p>
  </w:footnote>
  <w:footnote w:id="500">
    <w:p w14:paraId="5C26C0CA" w14:textId="77777777" w:rsidR="00244FB6" w:rsidRPr="00E460DD" w:rsidRDefault="00244FB6" w:rsidP="00244FB6">
      <w:pPr>
        <w:pStyle w:val="FootnoteText"/>
        <w:ind w:firstLine="0"/>
      </w:pPr>
      <w:r>
        <w:rPr>
          <w:rStyle w:val="FootnoteReference"/>
        </w:rPr>
        <w:footnoteRef/>
      </w:r>
      <w:r>
        <w:t xml:space="preserve"> Arthur Edward Waite, </w:t>
      </w:r>
      <w:r w:rsidRPr="00E460DD">
        <w:rPr>
          <w:i/>
          <w:iCs/>
        </w:rPr>
        <w:t>The Real History of the Rosicrucians</w:t>
      </w:r>
      <w:r>
        <w:rPr>
          <w:i/>
          <w:iCs/>
        </w:rPr>
        <w:t>:</w:t>
      </w:r>
      <w:r w:rsidRPr="00E460DD">
        <w:rPr>
          <w:i/>
          <w:iCs/>
        </w:rPr>
        <w:t xml:space="preserve"> founded on their own manifestoes, and on facts and documents collected from the writings of initiated brethren</w:t>
      </w:r>
      <w:r>
        <w:rPr>
          <w:i/>
          <w:iCs/>
        </w:rPr>
        <w:t xml:space="preserve"> </w:t>
      </w:r>
      <w:r>
        <w:t>(</w:t>
      </w:r>
      <w:r w:rsidRPr="00E460DD">
        <w:t>London: G. Redway, 1887</w:t>
      </w:r>
      <w:r>
        <w:t>), 315.</w:t>
      </w:r>
    </w:p>
  </w:footnote>
  <w:footnote w:id="501">
    <w:p w14:paraId="55BEDB40" w14:textId="367482D4" w:rsidR="00244FB6" w:rsidRDefault="00244FB6" w:rsidP="00244FB6">
      <w:pPr>
        <w:pStyle w:val="FootnoteText"/>
        <w:ind w:firstLine="0"/>
      </w:pPr>
      <w:r>
        <w:rPr>
          <w:rStyle w:val="FootnoteReference"/>
        </w:rPr>
        <w:footnoteRef/>
      </w:r>
      <w:r>
        <w:t xml:space="preserve"> Skinner, </w:t>
      </w:r>
      <w:r w:rsidRPr="00BC0812">
        <w:rPr>
          <w:i/>
          <w:iCs/>
        </w:rPr>
        <w:t xml:space="preserve">Geomancy in Theory </w:t>
      </w:r>
      <w:r w:rsidR="00445CC1">
        <w:rPr>
          <w:i/>
          <w:iCs/>
        </w:rPr>
        <w:t>and</w:t>
      </w:r>
      <w:r w:rsidRPr="00BC0812">
        <w:rPr>
          <w:i/>
          <w:iCs/>
        </w:rPr>
        <w:t xml:space="preserve"> Practice</w:t>
      </w:r>
      <w:r>
        <w:t xml:space="preserve">, 154. </w:t>
      </w:r>
    </w:p>
  </w:footnote>
  <w:footnote w:id="502">
    <w:p w14:paraId="5A852690" w14:textId="77777777" w:rsidR="00C27EC1" w:rsidRDefault="00C27EC1" w:rsidP="00C27EC1">
      <w:pPr>
        <w:pStyle w:val="FootnoteText"/>
        <w:ind w:firstLine="0"/>
      </w:pPr>
      <w:r>
        <w:rPr>
          <w:rStyle w:val="FootnoteReference"/>
        </w:rPr>
        <w:footnoteRef/>
      </w:r>
      <w:r>
        <w:t xml:space="preserve"> Garin, </w:t>
      </w:r>
      <w:r w:rsidRPr="00C87D52">
        <w:rPr>
          <w:i/>
          <w:iCs/>
        </w:rPr>
        <w:t>Astrology in the Renaissance. The Zodiac of Life</w:t>
      </w:r>
      <w:r>
        <w:t xml:space="preserve"> (1983), 35. </w:t>
      </w:r>
    </w:p>
  </w:footnote>
  <w:footnote w:id="503">
    <w:p w14:paraId="7DE617CA" w14:textId="6E21713C" w:rsidR="00304871" w:rsidRDefault="00304871" w:rsidP="00304871">
      <w:pPr>
        <w:pStyle w:val="FootnoteText"/>
        <w:ind w:firstLine="0"/>
      </w:pPr>
      <w:r>
        <w:rPr>
          <w:rStyle w:val="FootnoteReference"/>
        </w:rPr>
        <w:footnoteRef/>
      </w:r>
      <w:r>
        <w:t xml:space="preserve"> Due to the fact that my doctoral research took place during the Covid-19 pandemic, I had limited access to libraries between 2020 and 2021, and I have not been able to see all of the manuscripts I describe in person.</w:t>
      </w:r>
    </w:p>
  </w:footnote>
  <w:footnote w:id="504">
    <w:p w14:paraId="0A41BE9F" w14:textId="396A76B8" w:rsidR="00242EFA" w:rsidRPr="00402A31" w:rsidRDefault="00242EFA" w:rsidP="00242EFA">
      <w:pPr>
        <w:pStyle w:val="FootnoteText"/>
        <w:ind w:firstLine="0"/>
      </w:pPr>
      <w:r>
        <w:rPr>
          <w:rStyle w:val="FootnoteReference"/>
        </w:rPr>
        <w:footnoteRef/>
      </w:r>
      <w:r>
        <w:t xml:space="preserve"> See </w:t>
      </w:r>
      <w:r w:rsidRPr="00402A31">
        <w:t xml:space="preserve">David Juste, ‘Cambridge, Magdalene College, F. 4.27’ in </w:t>
      </w:r>
      <w:r w:rsidRPr="00402A31">
        <w:rPr>
          <w:i/>
          <w:iCs/>
        </w:rPr>
        <w:t xml:space="preserve">Ptolemaeus Arabus et Latinus Manuscripts </w:t>
      </w:r>
      <w:r w:rsidRPr="00B3790E">
        <w:t>(</w:t>
      </w:r>
      <w:hyperlink r:id="rId5" w:history="1">
        <w:r w:rsidRPr="00B3790E">
          <w:rPr>
            <w:rStyle w:val="Hyperlink"/>
            <w:color w:val="auto"/>
          </w:rPr>
          <w:t>https://ptolemaeus.badw.de/ms/608?mark=%28%3Fis%29%28magdalene%5C%20college%29</w:t>
        </w:r>
      </w:hyperlink>
      <w:r w:rsidRPr="00B3790E">
        <w:t>)</w:t>
      </w:r>
      <w:r w:rsidR="009D0B6C" w:rsidRPr="00B3790E">
        <w:t>;</w:t>
      </w:r>
      <w:r w:rsidRPr="00B3790E">
        <w:t xml:space="preserve"> </w:t>
      </w:r>
      <w:r w:rsidRPr="00402A31">
        <w:t xml:space="preserve">and </w:t>
      </w:r>
      <w:r w:rsidR="009D0B6C">
        <w:t xml:space="preserve">Montague </w:t>
      </w:r>
      <w:r w:rsidRPr="00402A31">
        <w:t>R</w:t>
      </w:r>
      <w:r w:rsidR="009D0B6C">
        <w:t>hodes</w:t>
      </w:r>
      <w:r w:rsidRPr="00402A31">
        <w:t xml:space="preserve"> James, </w:t>
      </w:r>
      <w:r w:rsidRPr="00402A31">
        <w:rPr>
          <w:i/>
          <w:iCs/>
        </w:rPr>
        <w:t xml:space="preserve">A Descriptive Catalogue of the Manuscripts in the College Library of Magdalene College, Cambridge, </w:t>
      </w:r>
      <w:r w:rsidRPr="009D0B6C">
        <w:t>n.27</w:t>
      </w:r>
      <w:r w:rsidRPr="00402A31">
        <w:t xml:space="preserve"> (Cambridge: Cambridge University Press, 1909), 54-55.</w:t>
      </w:r>
    </w:p>
    <w:p w14:paraId="173A82E6" w14:textId="77777777" w:rsidR="00242EFA" w:rsidRDefault="00242EFA" w:rsidP="00242EFA">
      <w:pPr>
        <w:pStyle w:val="FootnoteText"/>
        <w:ind w:firstLine="0"/>
      </w:pPr>
      <w:r>
        <w:t xml:space="preserve"> </w:t>
      </w:r>
    </w:p>
  </w:footnote>
  <w:footnote w:id="505">
    <w:p w14:paraId="3ABC80AE" w14:textId="77777777" w:rsidR="00242EFA" w:rsidRDefault="00242EFA" w:rsidP="00242EFA">
      <w:pPr>
        <w:pStyle w:val="FootnoteText"/>
        <w:ind w:firstLine="0"/>
      </w:pPr>
      <w:r>
        <w:rPr>
          <w:rStyle w:val="FootnoteReference"/>
        </w:rPr>
        <w:footnoteRef/>
      </w:r>
      <w:r>
        <w:t xml:space="preserve"> See </w:t>
      </w:r>
      <w:r w:rsidRPr="00402A31">
        <w:t xml:space="preserve">William Dunn Macray, </w:t>
      </w:r>
      <w:r w:rsidRPr="00402A31">
        <w:rPr>
          <w:i/>
          <w:iCs/>
        </w:rPr>
        <w:t>Catalogi Codicum Manoscriptorum Bibliothecae Bodleianae, partis quintae, fasciculus quartus</w:t>
      </w:r>
      <w:r w:rsidRPr="00402A31">
        <w:t xml:space="preserve"> (Oxford: Clarendon Press, 1898), 360-62.</w:t>
      </w:r>
      <w:r>
        <w:t xml:space="preserve"> </w:t>
      </w:r>
    </w:p>
  </w:footnote>
  <w:footnote w:id="506">
    <w:p w14:paraId="6CA165DB" w14:textId="77777777" w:rsidR="00242EFA" w:rsidRPr="00402A31" w:rsidRDefault="00242EFA" w:rsidP="00242EFA">
      <w:pPr>
        <w:pStyle w:val="FootnoteText"/>
        <w:ind w:firstLine="0"/>
      </w:pPr>
      <w:r>
        <w:rPr>
          <w:rStyle w:val="FootnoteReference"/>
        </w:rPr>
        <w:footnoteRef/>
      </w:r>
      <w:r>
        <w:t xml:space="preserve"> </w:t>
      </w:r>
      <w:r w:rsidRPr="00402A31">
        <w:t xml:space="preserve">Herrard Spilling, </w:t>
      </w:r>
      <w:r w:rsidRPr="00402A31">
        <w:rPr>
          <w:i/>
          <w:iCs/>
        </w:rPr>
        <w:t>The Manuscripts of the State and City Library Augsburg 2o Cod 101-250 (Manuscript catalogues of the State and City Library Augsburg Vol. 3)</w:t>
      </w:r>
      <w:r w:rsidRPr="00402A31">
        <w:t xml:space="preserve"> (Wiesbaden: Harrassowitz, 1984), 218-220.</w:t>
      </w:r>
    </w:p>
    <w:p w14:paraId="06CD69D0" w14:textId="77777777" w:rsidR="00242EFA" w:rsidRDefault="00242EFA" w:rsidP="00242EFA">
      <w:pPr>
        <w:pStyle w:val="FootnoteText"/>
        <w:ind w:firstLine="0"/>
      </w:pPr>
      <w:r>
        <w:t xml:space="preserve"> </w:t>
      </w:r>
    </w:p>
  </w:footnote>
  <w:footnote w:id="507">
    <w:p w14:paraId="11610FBB" w14:textId="77777777" w:rsidR="00242EFA" w:rsidRPr="001645BA" w:rsidRDefault="00242EFA" w:rsidP="00242EFA">
      <w:pPr>
        <w:pStyle w:val="FootnoteText"/>
        <w:ind w:firstLine="0"/>
        <w:rPr>
          <w:lang w:val="fr-FR"/>
        </w:rPr>
      </w:pPr>
      <w:r>
        <w:rPr>
          <w:rStyle w:val="FootnoteReference"/>
        </w:rPr>
        <w:footnoteRef/>
      </w:r>
      <w:r>
        <w:t xml:space="preserve"> See  </w:t>
      </w:r>
      <w:r w:rsidRPr="00402A31">
        <w:t xml:space="preserve">see </w:t>
      </w:r>
      <w:r w:rsidRPr="00402A31">
        <w:rPr>
          <w:i/>
          <w:iCs/>
        </w:rPr>
        <w:t>Catalogue of Manuscripts in The British Museum, New Series, 1 vol. in 2 parts,  part I: The Arundel Manuscripts</w:t>
      </w:r>
      <w:r w:rsidRPr="00402A31">
        <w:t xml:space="preserve"> (London: British Museum, 1834-1840), I (1834), 14; Walter de Gray Birch and Henry Jenner, </w:t>
      </w:r>
      <w:r w:rsidRPr="00402A31">
        <w:rPr>
          <w:i/>
          <w:iCs/>
        </w:rPr>
        <w:t>Early Drawings and Illuminations: An Introduction to the Study of Illustrated Manuscripts</w:t>
      </w:r>
      <w:r w:rsidRPr="00402A31">
        <w:t xml:space="preserve"> (London: Bagster and Sons, 1879),  16; H. L. D. Ward and J. A. Herbert, </w:t>
      </w:r>
      <w:r w:rsidRPr="00402A31">
        <w:rPr>
          <w:i/>
          <w:iCs/>
        </w:rPr>
        <w:t>Catalogue of Romances in the Department of Manuscripts in the British Museum, 3 vols</w:t>
      </w:r>
      <w:r w:rsidRPr="00402A31">
        <w:t xml:space="preserve"> (London: British Museum, 1883-1910), I, 301-02; Fritz Saxl and Hans Meier, </w:t>
      </w:r>
      <w:r w:rsidRPr="00402A31">
        <w:rPr>
          <w:i/>
          <w:iCs/>
        </w:rPr>
        <w:t xml:space="preserve">Verzeichnis astrologischer und mythologischer illustrierter Handschriften des lateinischen Mittelalters, </w:t>
      </w:r>
      <w:r w:rsidRPr="00402A31">
        <w:t>ed. by Harry Bober, 4 vols (London: Warburg Institute, 1916-1966),</w:t>
      </w:r>
      <w:r w:rsidRPr="00402A31">
        <w:rPr>
          <w:i/>
          <w:iCs/>
        </w:rPr>
        <w:t xml:space="preserve"> III: Handschriften in englischen Bibliotheken </w:t>
      </w:r>
      <w:r w:rsidRPr="00402A31">
        <w:t xml:space="preserve">(1953), 89-93, XLI, fig. 14; Paul Meyvaert, “John Erghome and the Vaticinium Roberti Bridlington”, in </w:t>
      </w:r>
      <w:r w:rsidRPr="00402A31">
        <w:rPr>
          <w:i/>
          <w:iCs/>
        </w:rPr>
        <w:t>Speculum, 41</w:t>
      </w:r>
      <w:r w:rsidRPr="00402A31">
        <w:t xml:space="preserve"> (1966), 659-60; T.S. Pattie, </w:t>
      </w:r>
      <w:r w:rsidRPr="00402A31">
        <w:rPr>
          <w:i/>
          <w:iCs/>
        </w:rPr>
        <w:t>Astrology as Illustrated in the Collections of the British Library and the British Museum</w:t>
      </w:r>
      <w:r w:rsidRPr="00402A31">
        <w:t xml:space="preserve"> (London: British Library, 1980), 25, pl. 12; Charmasson, </w:t>
      </w:r>
      <w:r w:rsidRPr="00402A31">
        <w:rPr>
          <w:i/>
          <w:iCs/>
        </w:rPr>
        <w:t xml:space="preserve">Recherches sur une technique divinatoire </w:t>
      </w:r>
      <w:r w:rsidRPr="00402A31">
        <w:t xml:space="preserve">(1980), 209; Hilary M. Carey, </w:t>
      </w:r>
      <w:r w:rsidRPr="00402A31">
        <w:rPr>
          <w:i/>
          <w:iCs/>
        </w:rPr>
        <w:t>Courting Disaster: Astrology at the English Court and University in the Later Middle Ages</w:t>
      </w:r>
      <w:r w:rsidRPr="00402A31">
        <w:t xml:space="preserve"> (New York: Macmillan, 1992), 106, 202; Kathleen L. Scott, </w:t>
      </w:r>
      <w:r w:rsidRPr="00402A31">
        <w:rPr>
          <w:i/>
          <w:iCs/>
        </w:rPr>
        <w:t>Later Gothic Manuscripts 1390-1490, A Survey of Manuscripts Illuminated in the British Isles, 6, 2 vols</w:t>
      </w:r>
      <w:r w:rsidRPr="00402A31">
        <w:t xml:space="preserve"> (London: Harvey Miller, 1996), II: 364-67, no. 140; Lesley Coote, </w:t>
      </w:r>
      <w:r w:rsidRPr="00402A31">
        <w:rPr>
          <w:i/>
          <w:iCs/>
        </w:rPr>
        <w:t xml:space="preserve">Prophecy in Public Affairs in Later Medieval England </w:t>
      </w:r>
      <w:r w:rsidRPr="00402A31">
        <w:t>(York: York Medieval Press, 2000), 235-36, 254; Sophie Page</w:t>
      </w:r>
      <w:r w:rsidRPr="00402A31">
        <w:rPr>
          <w:i/>
          <w:iCs/>
        </w:rPr>
        <w:t xml:space="preserve">, Astrology in Medieval Manuscripts </w:t>
      </w:r>
      <w:r w:rsidRPr="00402A31">
        <w:t xml:space="preserve">(London: British Library, 2002), 23-24, 26-28, 31, pls 16-17, 18, and 22 ; Kathleen L. Scott, </w:t>
      </w:r>
      <w:r w:rsidRPr="00402A31">
        <w:rPr>
          <w:i/>
          <w:iCs/>
        </w:rPr>
        <w:t>Dated &amp; Datable English Manuscript Borders c. 1395-1499</w:t>
      </w:r>
      <w:r w:rsidRPr="00402A31">
        <w:t xml:space="preserve"> (London: Bibliographical Society, 2002), 93. Andrew G. Watson, </w:t>
      </w:r>
      <w:r w:rsidRPr="00402A31">
        <w:rPr>
          <w:i/>
          <w:iCs/>
        </w:rPr>
        <w:t>Medieval Manuscripts in Post-Medieval England</w:t>
      </w:r>
      <w:r w:rsidRPr="00402A31">
        <w:t xml:space="preserve"> (Aldershot: Ashgate/Variorum, 2004), XIII, 216; Kathleen L. Scott, “The Decorated Letters of Two Cotton Manuscripts”, in </w:t>
      </w:r>
      <w:r w:rsidRPr="00402A31">
        <w:rPr>
          <w:i/>
          <w:iCs/>
        </w:rPr>
        <w:t xml:space="preserve">Tributes to Jonathan J. G. Alexander: The Making and Meaning of Illuminated Medieval &amp; Renaissance Manuscripts, Art &amp; Architecture, </w:t>
      </w:r>
      <w:r w:rsidRPr="00402A31">
        <w:t xml:space="preserve">ed. by Susan L’Engle and Gerald B. Guest (London: Harvey Miller, 2006), 99-110 (p. 104 n. 38) ; Carol M. Meale, “London, British Library, Harley MS 2252, John Colyns’ ‘Boke’: Structure and Content”, in </w:t>
      </w:r>
      <w:r w:rsidRPr="00402A31">
        <w:rPr>
          <w:i/>
          <w:iCs/>
        </w:rPr>
        <w:t>Tudor Manuscripts 1485-1603</w:t>
      </w:r>
      <w:r w:rsidRPr="00402A31">
        <w:t xml:space="preserve">, ed. by A. S. G. Edwards, English Manuscript Studies, 15 (London: British Library, 2009), 65-122 ; Scot McKendrick, John Lowden, and Kathleen Doyle, </w:t>
      </w:r>
      <w:r w:rsidRPr="00402A31">
        <w:rPr>
          <w:i/>
          <w:iCs/>
        </w:rPr>
        <w:t>Royal Manuscripts: The Genius of Illumination</w:t>
      </w:r>
      <w:r w:rsidRPr="00402A31">
        <w:t xml:space="preserve"> (London: British Library, 2011), no. 99 [exhibition catalogue]; Patrizia Deery Kurtz and Linda Ehrsam Voigts, “A Significance of Now-Dispersed Bute 13: A Mixed-Language Scientific Manuscript”, in </w:t>
      </w:r>
      <w:r w:rsidRPr="00402A31">
        <w:rPr>
          <w:i/>
          <w:iCs/>
        </w:rPr>
        <w:t xml:space="preserve">Communicating Early English Manuscripts, </w:t>
      </w:r>
      <w:r w:rsidRPr="00402A31">
        <w:t xml:space="preserve">ed. by Päivi Pahta and Andreas H. Jucker (Cambridge: Cambridge University Press, 2011), 38-54; Hilary M. Carey, “Henry VII’s Book of Astrology and the Tudor Renaissance”, </w:t>
      </w:r>
      <w:r w:rsidRPr="00402A31">
        <w:rPr>
          <w:i/>
          <w:iCs/>
        </w:rPr>
        <w:t>Renaissance Quarterly</w:t>
      </w:r>
      <w:r w:rsidRPr="00402A31">
        <w:t xml:space="preserve">, 65 (2012), 661-710; Joanna Frońska, “The Royal Image and Diplomacy: Henry VII’s Book of Astrology (British Library, Arundel 66)”, in </w:t>
      </w:r>
      <w:r w:rsidRPr="00402A31">
        <w:rPr>
          <w:i/>
          <w:iCs/>
        </w:rPr>
        <w:t>Electronic British Library Journal</w:t>
      </w:r>
      <w:r w:rsidRPr="00402A31">
        <w:t xml:space="preserve"> (2013); Katharina Glanz</w:t>
      </w:r>
      <w:r w:rsidRPr="00402A31">
        <w:rPr>
          <w:i/>
          <w:iCs/>
        </w:rPr>
        <w:t>, Sternbilder des Mittelalters und der Renaissance</w:t>
      </w:r>
      <w:r w:rsidRPr="00402A31">
        <w:t xml:space="preserve"> (Berlin: Walter de Gruyter 2016).</w:t>
      </w:r>
    </w:p>
  </w:footnote>
  <w:footnote w:id="508">
    <w:p w14:paraId="53A53121" w14:textId="77777777" w:rsidR="00242EFA" w:rsidRDefault="00242EFA" w:rsidP="00242EFA">
      <w:pPr>
        <w:pStyle w:val="FootnoteText"/>
        <w:ind w:firstLine="0"/>
      </w:pPr>
      <w:r>
        <w:rPr>
          <w:rStyle w:val="FootnoteReference"/>
        </w:rPr>
        <w:footnoteRef/>
      </w:r>
      <w:r>
        <w:t xml:space="preserve"> </w:t>
      </w:r>
      <w:r w:rsidRPr="00402A31">
        <w:t xml:space="preserve">See Charles Hugh Talbot and Eugene Ashby Hammond, </w:t>
      </w:r>
      <w:r w:rsidRPr="00402A31">
        <w:rPr>
          <w:i/>
          <w:iCs/>
        </w:rPr>
        <w:t>The Medical Practitioners in Medieval England: A Biographical Register, Publications of the Wellcome Historical Medical Librar</w:t>
      </w:r>
      <w:r w:rsidRPr="00402A31">
        <w:t>y, New Series 8 (London, 1965), 194. Moreover, on f.249r Arundel 66 reports the note “Finitur hic liber Guydonis Bonacti de Forlivio anno Christi 1490 30 die Iunii hora 12 minuta 24a per me Iohannem Wellys composit et renovat et anno H. vii 4to pontificatus sanctissimi in Christo patris nostri Innocentii pape [4to] 5to”.</w:t>
      </w:r>
      <w:r>
        <w:t xml:space="preserve"> </w:t>
      </w:r>
    </w:p>
  </w:footnote>
  <w:footnote w:id="509">
    <w:p w14:paraId="280EE035"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Incipit] </w:t>
      </w:r>
      <w:r w:rsidRPr="00F206C8">
        <w:rPr>
          <w:i/>
          <w:iCs/>
          <w:lang w:val="it-IT"/>
        </w:rPr>
        <w:t>om</w:t>
      </w:r>
      <w:r w:rsidRPr="00F206C8">
        <w:rPr>
          <w:lang w:val="it-IT"/>
        </w:rPr>
        <w:t xml:space="preserve">. </w:t>
      </w:r>
      <w:r w:rsidRPr="005813D1">
        <w:rPr>
          <w:lang w:val="it-IT"/>
        </w:rPr>
        <w:t>A</w:t>
      </w:r>
    </w:p>
  </w:footnote>
  <w:footnote w:id="510">
    <w:p w14:paraId="5DBC186F" w14:textId="77777777" w:rsidR="00242EFA" w:rsidRPr="004A7671" w:rsidRDefault="00242EFA" w:rsidP="00242EFA">
      <w:pPr>
        <w:pStyle w:val="FootnoteText"/>
        <w:ind w:firstLine="0"/>
        <w:rPr>
          <w:lang w:val="it-IT"/>
        </w:rPr>
      </w:pPr>
      <w:r>
        <w:rPr>
          <w:rStyle w:val="FootnoteReference"/>
        </w:rPr>
        <w:footnoteRef/>
      </w:r>
      <w:r w:rsidRPr="004A7671">
        <w:rPr>
          <w:lang w:val="it-IT"/>
        </w:rPr>
        <w:t xml:space="preserve"> arenalis] arnaldi O</w:t>
      </w:r>
    </w:p>
  </w:footnote>
  <w:footnote w:id="511">
    <w:p w14:paraId="14024999" w14:textId="77777777" w:rsidR="00242EFA" w:rsidRPr="002F3BED" w:rsidRDefault="00242EFA" w:rsidP="00242EFA">
      <w:pPr>
        <w:pStyle w:val="FootnoteText"/>
        <w:ind w:firstLine="0"/>
        <w:rPr>
          <w:lang w:val="it-IT"/>
        </w:rPr>
      </w:pPr>
      <w:r>
        <w:rPr>
          <w:rStyle w:val="FootnoteReference"/>
        </w:rPr>
        <w:footnoteRef/>
      </w:r>
      <w:r w:rsidRPr="002F3BED">
        <w:rPr>
          <w:lang w:val="it-IT"/>
        </w:rPr>
        <w:t xml:space="preserve"> </w:t>
      </w:r>
      <w:r>
        <w:rPr>
          <w:lang w:val="it-IT"/>
        </w:rPr>
        <w:t>a</w:t>
      </w:r>
      <w:r w:rsidRPr="002F3BED">
        <w:rPr>
          <w:lang w:val="it-IT"/>
        </w:rPr>
        <w:t>lfarino abizarch] alfudieno(?) filio a</w:t>
      </w:r>
      <w:r>
        <w:rPr>
          <w:lang w:val="it-IT"/>
        </w:rPr>
        <w:t>biczero A</w:t>
      </w:r>
    </w:p>
  </w:footnote>
  <w:footnote w:id="512">
    <w:p w14:paraId="36CE1BF1" w14:textId="77777777" w:rsidR="00242EFA" w:rsidRPr="004A7671" w:rsidRDefault="00242EFA" w:rsidP="00242EFA">
      <w:pPr>
        <w:pStyle w:val="FootnoteText"/>
        <w:ind w:firstLine="0"/>
        <w:rPr>
          <w:lang w:val="it-IT"/>
        </w:rPr>
      </w:pPr>
      <w:r>
        <w:rPr>
          <w:rStyle w:val="FootnoteReference"/>
        </w:rPr>
        <w:footnoteRef/>
      </w:r>
      <w:r w:rsidRPr="004A7671">
        <w:rPr>
          <w:lang w:val="it-IT"/>
        </w:rPr>
        <w:t xml:space="preserve"> tiburtino</w:t>
      </w:r>
      <w:r w:rsidRPr="002F3BED">
        <w:rPr>
          <w:lang w:val="it-IT"/>
        </w:rPr>
        <w:t>]</w:t>
      </w:r>
      <w:r>
        <w:rPr>
          <w:lang w:val="it-IT"/>
        </w:rPr>
        <w:t xml:space="preserve"> tiburane A</w:t>
      </w:r>
    </w:p>
  </w:footnote>
  <w:footnote w:id="513">
    <w:p w14:paraId="1C12D095"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translatus] translatus incipit A</w:t>
      </w:r>
    </w:p>
  </w:footnote>
  <w:footnote w:id="514">
    <w:p w14:paraId="18D8AA6A"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misericordis et pii] et pii eius O</w:t>
      </w:r>
    </w:p>
  </w:footnote>
  <w:footnote w:id="515">
    <w:p w14:paraId="4B0E6685" w14:textId="77777777" w:rsidR="00242EFA" w:rsidRPr="00456AD5" w:rsidRDefault="00242EFA" w:rsidP="00242EFA">
      <w:pPr>
        <w:pStyle w:val="FootnoteText"/>
        <w:ind w:firstLine="0"/>
        <w:rPr>
          <w:lang w:val="pt-PT"/>
        </w:rPr>
      </w:pPr>
      <w:r>
        <w:rPr>
          <w:rStyle w:val="FootnoteReference"/>
        </w:rPr>
        <w:footnoteRef/>
      </w:r>
      <w:r w:rsidRPr="00F206C8">
        <w:rPr>
          <w:lang w:val="pt-PT"/>
        </w:rPr>
        <w:t xml:space="preserve"> in lineis] </w:t>
      </w:r>
      <w:r w:rsidRPr="005813D1">
        <w:rPr>
          <w:lang w:val="pt-PT"/>
        </w:rPr>
        <w:t>inlin eius</w:t>
      </w:r>
      <w:r w:rsidRPr="00F206C8">
        <w:rPr>
          <w:lang w:val="pt-PT"/>
        </w:rPr>
        <w:t xml:space="preserve"> </w:t>
      </w:r>
      <w:r w:rsidRPr="00456AD5">
        <w:rPr>
          <w:lang w:val="pt-PT"/>
        </w:rPr>
        <w:t>O</w:t>
      </w:r>
    </w:p>
  </w:footnote>
  <w:footnote w:id="516">
    <w:p w14:paraId="027FD722" w14:textId="77777777" w:rsidR="00242EFA" w:rsidRPr="00214FD8" w:rsidRDefault="00242EFA" w:rsidP="00242EFA">
      <w:pPr>
        <w:pStyle w:val="FootnoteText"/>
        <w:ind w:firstLine="0"/>
        <w:rPr>
          <w:lang w:val="pt-PT"/>
        </w:rPr>
      </w:pPr>
      <w:r>
        <w:rPr>
          <w:rStyle w:val="FootnoteReference"/>
        </w:rPr>
        <w:footnoteRef/>
      </w:r>
      <w:r w:rsidRPr="00214FD8">
        <w:rPr>
          <w:lang w:val="pt-PT"/>
        </w:rPr>
        <w:t xml:space="preserve"> contineriV c</w:t>
      </w:r>
      <w:r>
        <w:rPr>
          <w:lang w:val="pt-PT"/>
        </w:rPr>
        <w:t>ontinentiam A</w:t>
      </w:r>
    </w:p>
  </w:footnote>
  <w:footnote w:id="517">
    <w:p w14:paraId="7D6CEC85" w14:textId="77777777" w:rsidR="00242EFA" w:rsidRPr="00214FD8" w:rsidRDefault="00242EFA" w:rsidP="00242EFA">
      <w:pPr>
        <w:pStyle w:val="FootnoteText"/>
        <w:ind w:firstLine="0"/>
        <w:rPr>
          <w:lang w:val="pt-PT"/>
        </w:rPr>
      </w:pPr>
      <w:r>
        <w:rPr>
          <w:rStyle w:val="FootnoteReference"/>
        </w:rPr>
        <w:footnoteRef/>
      </w:r>
      <w:r w:rsidRPr="00214FD8">
        <w:rPr>
          <w:lang w:val="pt-PT"/>
        </w:rPr>
        <w:t xml:space="preserve"> </w:t>
      </w:r>
      <w:r>
        <w:rPr>
          <w:lang w:val="pt-PT"/>
        </w:rPr>
        <w:t>scientiam</w:t>
      </w:r>
      <w:r w:rsidRPr="00E53E64">
        <w:rPr>
          <w:lang w:val="pt-PT"/>
        </w:rPr>
        <w:t xml:space="preserve">] </w:t>
      </w:r>
      <w:r w:rsidRPr="00E53E64">
        <w:rPr>
          <w:i/>
          <w:iCs/>
          <w:lang w:val="pt-PT"/>
        </w:rPr>
        <w:t>om</w:t>
      </w:r>
      <w:r w:rsidRPr="00E53E64">
        <w:rPr>
          <w:lang w:val="pt-PT"/>
        </w:rPr>
        <w:t>. A</w:t>
      </w:r>
    </w:p>
  </w:footnote>
  <w:footnote w:id="518">
    <w:p w14:paraId="56BA9ADC" w14:textId="77777777" w:rsidR="00242EFA" w:rsidRPr="00E53E64" w:rsidRDefault="00242EFA" w:rsidP="00242EFA">
      <w:pPr>
        <w:pStyle w:val="FootnoteText"/>
        <w:ind w:firstLine="0"/>
        <w:rPr>
          <w:lang w:val="pt-PT"/>
        </w:rPr>
      </w:pPr>
      <w:r>
        <w:rPr>
          <w:rStyle w:val="FootnoteReference"/>
        </w:rPr>
        <w:footnoteRef/>
      </w:r>
      <w:r w:rsidRPr="00E53E64">
        <w:rPr>
          <w:lang w:val="pt-PT"/>
        </w:rPr>
        <w:t xml:space="preserve"> </w:t>
      </w:r>
      <w:r>
        <w:rPr>
          <w:lang w:val="pt-PT"/>
        </w:rPr>
        <w:t>uni</w:t>
      </w:r>
      <w:r w:rsidRPr="00E53E64">
        <w:rPr>
          <w:lang w:val="pt-PT"/>
        </w:rPr>
        <w:t>] vim A</w:t>
      </w:r>
    </w:p>
  </w:footnote>
  <w:footnote w:id="519">
    <w:p w14:paraId="4FD3D418"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q</w:t>
      </w:r>
      <w:r w:rsidRPr="00456AD5">
        <w:rPr>
          <w:lang w:val="pt-PT"/>
        </w:rPr>
        <w:t>uicumque</w:t>
      </w:r>
      <w:r w:rsidRPr="00E53E64">
        <w:rPr>
          <w:lang w:val="pt-PT"/>
        </w:rPr>
        <w:t>]</w:t>
      </w:r>
      <w:r w:rsidRPr="00456AD5">
        <w:rPr>
          <w:lang w:val="pt-PT"/>
        </w:rPr>
        <w:t xml:space="preserve"> cum </w:t>
      </w:r>
      <w:r>
        <w:rPr>
          <w:lang w:val="pt-PT"/>
        </w:rPr>
        <w:t>O; quoque A</w:t>
      </w:r>
    </w:p>
  </w:footnote>
  <w:footnote w:id="520">
    <w:p w14:paraId="0C7C8552"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quamlibet istius]quemlibet ilius A </w:t>
      </w:r>
    </w:p>
  </w:footnote>
  <w:footnote w:id="521">
    <w:p w14:paraId="20136425" w14:textId="77777777" w:rsidR="00242EFA" w:rsidRPr="00C23F86" w:rsidRDefault="00242EFA" w:rsidP="00242EFA">
      <w:pPr>
        <w:pStyle w:val="FootnoteText"/>
        <w:ind w:firstLine="0"/>
        <w:rPr>
          <w:lang w:val="it-IT"/>
        </w:rPr>
      </w:pPr>
      <w:r>
        <w:rPr>
          <w:rStyle w:val="FootnoteReference"/>
        </w:rPr>
        <w:footnoteRef/>
      </w:r>
      <w:r w:rsidRPr="00C23F86">
        <w:rPr>
          <w:lang w:val="it-IT"/>
        </w:rPr>
        <w:t xml:space="preserve"> a vero pervenerit] pervenisti a</w:t>
      </w:r>
      <w:r>
        <w:rPr>
          <w:lang w:val="it-IT"/>
        </w:rPr>
        <w:t xml:space="preserve"> vero A</w:t>
      </w:r>
    </w:p>
  </w:footnote>
  <w:footnote w:id="522">
    <w:p w14:paraId="22F5B29D" w14:textId="77777777" w:rsidR="00242EFA" w:rsidRPr="00D8386E" w:rsidRDefault="00242EFA" w:rsidP="00242EFA">
      <w:pPr>
        <w:pStyle w:val="FootnoteText"/>
        <w:ind w:firstLine="0"/>
        <w:rPr>
          <w:lang w:val="pt-PT"/>
        </w:rPr>
      </w:pPr>
      <w:r>
        <w:rPr>
          <w:rStyle w:val="FootnoteReference"/>
        </w:rPr>
        <w:footnoteRef/>
      </w:r>
      <w:r w:rsidRPr="00D8386E">
        <w:rPr>
          <w:lang w:val="fr-FR"/>
        </w:rPr>
        <w:t xml:space="preserve"> </w:t>
      </w:r>
      <w:r>
        <w:rPr>
          <w:lang w:val="fr-FR"/>
        </w:rPr>
        <w:t>q</w:t>
      </w:r>
      <w:r w:rsidRPr="00D8386E">
        <w:rPr>
          <w:lang w:val="fr-FR"/>
        </w:rPr>
        <w:t>uamlibet istius…</w:t>
      </w:r>
      <w:r>
        <w:rPr>
          <w:lang w:val="fr-FR"/>
        </w:rPr>
        <w:t xml:space="preserve"> ad barbaros]</w:t>
      </w:r>
      <w:r w:rsidRPr="00D8386E">
        <w:rPr>
          <w:lang w:val="fr-FR"/>
        </w:rPr>
        <w:t xml:space="preserve"> </w:t>
      </w:r>
      <w:r>
        <w:rPr>
          <w:lang w:val="fr-FR"/>
        </w:rPr>
        <w:t>quam hic filio a deo missus est ad barbaros</w:t>
      </w:r>
      <w:r w:rsidRPr="00D8386E">
        <w:rPr>
          <w:lang w:val="fr-FR"/>
        </w:rPr>
        <w:t xml:space="preserve"> </w:t>
      </w:r>
      <w:r w:rsidRPr="00456AD5">
        <w:rPr>
          <w:lang w:val="pt-PT"/>
        </w:rPr>
        <w:t>O</w:t>
      </w:r>
    </w:p>
  </w:footnote>
  <w:footnote w:id="523">
    <w:p w14:paraId="46D1FC57" w14:textId="77777777" w:rsidR="00242EFA" w:rsidRPr="00E40E09" w:rsidRDefault="00242EFA" w:rsidP="00242EFA">
      <w:pPr>
        <w:pStyle w:val="FootnoteText"/>
        <w:ind w:firstLine="0"/>
        <w:rPr>
          <w:lang w:val="pt-PT"/>
        </w:rPr>
      </w:pPr>
      <w:r>
        <w:rPr>
          <w:rStyle w:val="FootnoteReference"/>
        </w:rPr>
        <w:footnoteRef/>
      </w:r>
      <w:r w:rsidRPr="00E40E09">
        <w:rPr>
          <w:lang w:val="pt-PT"/>
        </w:rPr>
        <w:t xml:space="preserve"> et ut aiunt…barbaros] </w:t>
      </w:r>
      <w:r w:rsidRPr="00E40E09">
        <w:rPr>
          <w:i/>
          <w:iCs/>
          <w:lang w:val="pt-PT"/>
        </w:rPr>
        <w:t>om</w:t>
      </w:r>
      <w:r w:rsidRPr="00E40E09">
        <w:rPr>
          <w:lang w:val="pt-PT"/>
        </w:rPr>
        <w:t>. A</w:t>
      </w:r>
    </w:p>
  </w:footnote>
  <w:footnote w:id="524">
    <w:p w14:paraId="00CA5E24" w14:textId="77777777" w:rsidR="00242EFA" w:rsidRPr="00E40E09" w:rsidRDefault="00242EFA" w:rsidP="00242EFA">
      <w:pPr>
        <w:pStyle w:val="FootnoteText"/>
        <w:ind w:firstLine="0"/>
        <w:rPr>
          <w:lang w:val="pt-PT"/>
        </w:rPr>
      </w:pPr>
      <w:r>
        <w:rPr>
          <w:rStyle w:val="FootnoteReference"/>
        </w:rPr>
        <w:footnoteRef/>
      </w:r>
      <w:r w:rsidRPr="00E40E09">
        <w:rPr>
          <w:lang w:val="pt-PT"/>
        </w:rPr>
        <w:t xml:space="preserve"> has itaque] nem</w:t>
      </w:r>
      <w:r>
        <w:rPr>
          <w:lang w:val="pt-PT"/>
        </w:rPr>
        <w:t>pe(?) A</w:t>
      </w:r>
    </w:p>
  </w:footnote>
  <w:footnote w:id="525">
    <w:p w14:paraId="6E8A37F5" w14:textId="77777777" w:rsidR="00242EFA" w:rsidRPr="00E40E09" w:rsidRDefault="00242EFA" w:rsidP="00242EFA">
      <w:pPr>
        <w:pStyle w:val="FootnoteText"/>
        <w:ind w:firstLine="0"/>
        <w:rPr>
          <w:lang w:val="pt-PT"/>
        </w:rPr>
      </w:pPr>
      <w:r>
        <w:rPr>
          <w:rStyle w:val="FootnoteReference"/>
        </w:rPr>
        <w:footnoteRef/>
      </w:r>
      <w:r w:rsidRPr="00E40E09">
        <w:rPr>
          <w:lang w:val="pt-PT"/>
        </w:rPr>
        <w:t xml:space="preserve"> </w:t>
      </w:r>
      <w:r>
        <w:rPr>
          <w:lang w:val="pt-PT"/>
        </w:rPr>
        <w:t>partes]</w:t>
      </w:r>
      <w:r w:rsidRPr="00E40E09">
        <w:rPr>
          <w:lang w:val="pt-PT"/>
        </w:rPr>
        <w:t xml:space="preserve"> parti</w:t>
      </w:r>
      <w:r>
        <w:rPr>
          <w:lang w:val="pt-PT"/>
        </w:rPr>
        <w:t xml:space="preserve"> O</w:t>
      </w:r>
    </w:p>
  </w:footnote>
  <w:footnote w:id="526">
    <w:p w14:paraId="4791AAA4"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provenientes]</w:t>
      </w:r>
      <w:r w:rsidRPr="00456AD5">
        <w:rPr>
          <w:lang w:val="pt-PT"/>
        </w:rPr>
        <w:t xml:space="preserve"> provenienti</w:t>
      </w:r>
      <w:r>
        <w:rPr>
          <w:lang w:val="pt-PT"/>
        </w:rPr>
        <w:t xml:space="preserve"> O</w:t>
      </w:r>
    </w:p>
  </w:footnote>
  <w:footnote w:id="527">
    <w:p w14:paraId="3A4C2587" w14:textId="77777777" w:rsidR="00242EFA" w:rsidRPr="006F5941" w:rsidRDefault="00242EFA" w:rsidP="00242EFA">
      <w:pPr>
        <w:pStyle w:val="FootnoteText"/>
        <w:ind w:firstLine="0"/>
        <w:rPr>
          <w:lang w:val="pt-PT"/>
        </w:rPr>
      </w:pPr>
      <w:r>
        <w:rPr>
          <w:rStyle w:val="FootnoteReference"/>
        </w:rPr>
        <w:footnoteRef/>
      </w:r>
      <w:r w:rsidRPr="006F5941">
        <w:rPr>
          <w:lang w:val="pt-PT"/>
        </w:rPr>
        <w:t xml:space="preserve"> </w:t>
      </w:r>
      <w:r>
        <w:rPr>
          <w:lang w:val="pt-PT"/>
        </w:rPr>
        <w:t>compertum] apertum A</w:t>
      </w:r>
    </w:p>
  </w:footnote>
  <w:footnote w:id="528">
    <w:p w14:paraId="16487E9E"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 xml:space="preserve">quarum] </w:t>
      </w:r>
      <w:r w:rsidRPr="00456AD5">
        <w:rPr>
          <w:lang w:val="pt-PT"/>
        </w:rPr>
        <w:t>quia</w:t>
      </w:r>
      <w:r>
        <w:rPr>
          <w:lang w:val="pt-PT"/>
        </w:rPr>
        <w:t xml:space="preserve"> O</w:t>
      </w:r>
    </w:p>
  </w:footnote>
  <w:footnote w:id="529">
    <w:p w14:paraId="762E2D51" w14:textId="77777777" w:rsidR="00242EFA" w:rsidRPr="006107FA" w:rsidRDefault="00242EFA" w:rsidP="00242EFA">
      <w:pPr>
        <w:pStyle w:val="FootnoteText"/>
        <w:ind w:firstLine="0"/>
        <w:rPr>
          <w:lang w:val="it-IT"/>
        </w:rPr>
      </w:pPr>
      <w:r>
        <w:rPr>
          <w:rStyle w:val="FootnoteReference"/>
        </w:rPr>
        <w:footnoteRef/>
      </w:r>
      <w:r w:rsidRPr="006107FA">
        <w:rPr>
          <w:lang w:val="it-IT"/>
        </w:rPr>
        <w:t xml:space="preserve"> figura l</w:t>
      </w:r>
      <w:r>
        <w:rPr>
          <w:lang w:val="it-IT"/>
        </w:rPr>
        <w:t xml:space="preserve">une et capricornii, orientalis, feminina </w:t>
      </w:r>
      <w:r w:rsidRPr="00356D0F">
        <w:rPr>
          <w:i/>
          <w:iCs/>
          <w:lang w:val="it-IT"/>
        </w:rPr>
        <w:t>add</w:t>
      </w:r>
      <w:r>
        <w:rPr>
          <w:lang w:val="it-IT"/>
        </w:rPr>
        <w:t>. A</w:t>
      </w:r>
    </w:p>
  </w:footnote>
  <w:footnote w:id="530">
    <w:p w14:paraId="648D65EC"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representat] presentat O</w:t>
      </w:r>
    </w:p>
  </w:footnote>
  <w:footnote w:id="531">
    <w:p w14:paraId="1F8C0559"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indicat] </w:t>
      </w:r>
      <w:r>
        <w:rPr>
          <w:lang w:val="it-IT"/>
        </w:rPr>
        <w:t>in</w:t>
      </w:r>
      <w:r w:rsidRPr="00F206C8">
        <w:rPr>
          <w:lang w:val="it-IT"/>
        </w:rPr>
        <w:t>ducit O</w:t>
      </w:r>
    </w:p>
  </w:footnote>
  <w:footnote w:id="532">
    <w:p w14:paraId="59B5EF69" w14:textId="77777777" w:rsidR="00242EFA" w:rsidRDefault="00242EFA" w:rsidP="00242EFA">
      <w:pPr>
        <w:pStyle w:val="FootnoteText"/>
        <w:ind w:firstLine="0"/>
      </w:pPr>
      <w:r>
        <w:rPr>
          <w:rStyle w:val="FootnoteReference"/>
        </w:rPr>
        <w:footnoteRef/>
      </w:r>
      <w:r>
        <w:t xml:space="preserve"> partes] parti O</w:t>
      </w:r>
    </w:p>
  </w:footnote>
  <w:footnote w:id="533">
    <w:p w14:paraId="33AE854F" w14:textId="77777777" w:rsidR="00242EFA" w:rsidRPr="00812958" w:rsidRDefault="00242EFA" w:rsidP="00242EFA">
      <w:pPr>
        <w:pStyle w:val="FootnoteText"/>
        <w:ind w:firstLine="0"/>
        <w:rPr>
          <w:lang w:val="it-IT"/>
        </w:rPr>
      </w:pPr>
      <w:r>
        <w:rPr>
          <w:rStyle w:val="FootnoteReference"/>
        </w:rPr>
        <w:footnoteRef/>
      </w:r>
      <w:r w:rsidRPr="00812958">
        <w:rPr>
          <w:lang w:val="it-IT"/>
        </w:rPr>
        <w:t xml:space="preserve"> secundum vero…proveniunt] </w:t>
      </w:r>
      <w:r w:rsidRPr="00812958">
        <w:rPr>
          <w:i/>
          <w:iCs/>
          <w:lang w:val="it-IT"/>
        </w:rPr>
        <w:t>om</w:t>
      </w:r>
      <w:r w:rsidRPr="00812958">
        <w:rPr>
          <w:lang w:val="it-IT"/>
        </w:rPr>
        <w:t>. A</w:t>
      </w:r>
    </w:p>
  </w:footnote>
  <w:footnote w:id="534">
    <w:p w14:paraId="493CEC55" w14:textId="77777777" w:rsidR="00242EFA" w:rsidRPr="00812958" w:rsidRDefault="00242EFA" w:rsidP="00242EFA">
      <w:pPr>
        <w:pStyle w:val="FootnoteText"/>
        <w:ind w:firstLine="0"/>
        <w:rPr>
          <w:lang w:val="it-IT"/>
        </w:rPr>
      </w:pPr>
      <w:r>
        <w:rPr>
          <w:rStyle w:val="FootnoteReference"/>
        </w:rPr>
        <w:footnoteRef/>
      </w:r>
      <w:r w:rsidRPr="00812958">
        <w:rPr>
          <w:lang w:val="it-IT"/>
        </w:rPr>
        <w:t xml:space="preserve"> </w:t>
      </w:r>
      <w:r>
        <w:rPr>
          <w:lang w:val="it-IT"/>
        </w:rPr>
        <w:t>p</w:t>
      </w:r>
      <w:r w:rsidRPr="00812958">
        <w:rPr>
          <w:lang w:val="it-IT"/>
        </w:rPr>
        <w:t>ri</w:t>
      </w:r>
      <w:r>
        <w:rPr>
          <w:lang w:val="it-IT"/>
        </w:rPr>
        <w:t>ma quidem] prima est A</w:t>
      </w:r>
    </w:p>
  </w:footnote>
  <w:footnote w:id="535">
    <w:p w14:paraId="41436167" w14:textId="77777777" w:rsidR="00242EFA" w:rsidRPr="00735960" w:rsidRDefault="00242EFA" w:rsidP="00242EFA">
      <w:pPr>
        <w:pStyle w:val="FootnoteText"/>
        <w:ind w:firstLine="0"/>
        <w:rPr>
          <w:lang w:val="it-IT"/>
        </w:rPr>
      </w:pPr>
      <w:r>
        <w:rPr>
          <w:rStyle w:val="FootnoteReference"/>
        </w:rPr>
        <w:footnoteRef/>
      </w:r>
      <w:r w:rsidRPr="00735960">
        <w:rPr>
          <w:lang w:val="it-IT"/>
        </w:rPr>
        <w:t xml:space="preserve"> </w:t>
      </w:r>
      <w:r>
        <w:rPr>
          <w:lang w:val="it-IT"/>
        </w:rPr>
        <w:t>itineris] itinere A</w:t>
      </w:r>
    </w:p>
  </w:footnote>
  <w:footnote w:id="536">
    <w:p w14:paraId="50FC952B"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gerit] agit A</w:t>
      </w:r>
    </w:p>
  </w:footnote>
  <w:footnote w:id="537">
    <w:p w14:paraId="04F369EB"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hec est] </w:t>
      </w:r>
      <w:r w:rsidRPr="00F206C8">
        <w:rPr>
          <w:i/>
          <w:iCs/>
          <w:lang w:val="it-IT"/>
        </w:rPr>
        <w:t>om</w:t>
      </w:r>
      <w:r w:rsidRPr="00F206C8">
        <w:rPr>
          <w:lang w:val="it-IT"/>
        </w:rPr>
        <w:t>. A</w:t>
      </w:r>
    </w:p>
  </w:footnote>
  <w:footnote w:id="538">
    <w:p w14:paraId="093300F1"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que si in punctando provenerit] que cum punctando pro quo vis redente(?) et multotions aparverit, timorem vieque A</w:t>
      </w:r>
    </w:p>
  </w:footnote>
  <w:footnote w:id="539">
    <w:p w14:paraId="04B7C33E"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huiusmodi] </w:t>
      </w:r>
      <w:r>
        <w:rPr>
          <w:lang w:val="it-IT"/>
        </w:rPr>
        <w:t>huius</w:t>
      </w:r>
      <w:r w:rsidRPr="00F206C8">
        <w:rPr>
          <w:lang w:val="it-IT"/>
        </w:rPr>
        <w:t xml:space="preserve"> O</w:t>
      </w:r>
    </w:p>
  </w:footnote>
  <w:footnote w:id="540">
    <w:p w14:paraId="18C9E303"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inveneris] </w:t>
      </w:r>
      <w:r>
        <w:rPr>
          <w:lang w:val="it-IT"/>
        </w:rPr>
        <w:t xml:space="preserve">invenerimus O; </w:t>
      </w:r>
      <w:r w:rsidRPr="00F206C8">
        <w:rPr>
          <w:lang w:val="it-IT"/>
        </w:rPr>
        <w:t>inveniremus A</w:t>
      </w:r>
    </w:p>
  </w:footnote>
  <w:footnote w:id="541">
    <w:p w14:paraId="1416BA7E"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motus]</w:t>
      </w:r>
      <w:r>
        <w:rPr>
          <w:lang w:val="it-IT"/>
        </w:rPr>
        <w:t xml:space="preserve"> mori O;</w:t>
      </w:r>
      <w:r w:rsidRPr="00F206C8">
        <w:rPr>
          <w:lang w:val="it-IT"/>
        </w:rPr>
        <w:t xml:space="preserve"> motus vel mala itinera A</w:t>
      </w:r>
    </w:p>
  </w:footnote>
  <w:footnote w:id="542">
    <w:p w14:paraId="46FD236E"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presignabunt] de significabunt. Figura capitis draconis et aquarii, merientalis, feminina A</w:t>
      </w:r>
    </w:p>
  </w:footnote>
  <w:footnote w:id="543">
    <w:p w14:paraId="7844FA84" w14:textId="77777777" w:rsidR="00242EFA" w:rsidRPr="002F7127" w:rsidRDefault="00242EFA" w:rsidP="00242EFA">
      <w:pPr>
        <w:pStyle w:val="FootnoteText"/>
        <w:ind w:firstLine="0"/>
        <w:rPr>
          <w:lang w:val="pt-PT"/>
        </w:rPr>
      </w:pPr>
      <w:r>
        <w:rPr>
          <w:rStyle w:val="FootnoteReference"/>
        </w:rPr>
        <w:footnoteRef/>
      </w:r>
      <w:r w:rsidRPr="002F7127">
        <w:rPr>
          <w:lang w:val="pt-PT"/>
        </w:rPr>
        <w:t xml:space="preserve"> vero] </w:t>
      </w:r>
      <w:r w:rsidRPr="002F7127">
        <w:rPr>
          <w:i/>
          <w:iCs/>
          <w:lang w:val="pt-PT"/>
        </w:rPr>
        <w:t>om</w:t>
      </w:r>
      <w:r w:rsidRPr="002F7127">
        <w:rPr>
          <w:lang w:val="pt-PT"/>
        </w:rPr>
        <w:t>. O</w:t>
      </w:r>
    </w:p>
  </w:footnote>
  <w:footnote w:id="544">
    <w:p w14:paraId="094B85B4" w14:textId="77777777" w:rsidR="00242EFA" w:rsidRPr="002F7127" w:rsidRDefault="00242EFA" w:rsidP="00242EFA">
      <w:pPr>
        <w:pStyle w:val="FootnoteText"/>
        <w:ind w:firstLine="0"/>
        <w:rPr>
          <w:lang w:val="pt-PT"/>
        </w:rPr>
      </w:pPr>
      <w:r>
        <w:rPr>
          <w:rStyle w:val="FootnoteReference"/>
        </w:rPr>
        <w:footnoteRef/>
      </w:r>
      <w:r w:rsidRPr="002F7127">
        <w:rPr>
          <w:lang w:val="pt-PT"/>
        </w:rPr>
        <w:t xml:space="preserve"> </w:t>
      </w:r>
      <w:r>
        <w:rPr>
          <w:lang w:val="pt-PT"/>
        </w:rPr>
        <w:t xml:space="preserve">quam] </w:t>
      </w:r>
      <w:r w:rsidRPr="00B67014">
        <w:rPr>
          <w:i/>
          <w:iCs/>
          <w:lang w:val="pt-PT"/>
        </w:rPr>
        <w:t>om</w:t>
      </w:r>
      <w:r>
        <w:rPr>
          <w:lang w:val="pt-PT"/>
        </w:rPr>
        <w:t>. O; quem A</w:t>
      </w:r>
    </w:p>
  </w:footnote>
  <w:footnote w:id="545">
    <w:p w14:paraId="315505A9" w14:textId="77777777" w:rsidR="00242EFA" w:rsidRPr="00AB75BE" w:rsidRDefault="00242EFA" w:rsidP="00242EFA">
      <w:pPr>
        <w:pStyle w:val="FootnoteText"/>
        <w:ind w:firstLine="0"/>
        <w:rPr>
          <w:lang w:val="it-IT"/>
        </w:rPr>
      </w:pPr>
      <w:r>
        <w:rPr>
          <w:rStyle w:val="FootnoteReference"/>
        </w:rPr>
        <w:footnoteRef/>
      </w:r>
      <w:r w:rsidRPr="00AB75BE">
        <w:rPr>
          <w:lang w:val="it-IT"/>
        </w:rPr>
        <w:t xml:space="preserve"> boni alacritatis] </w:t>
      </w:r>
      <w:r>
        <w:rPr>
          <w:lang w:val="it-IT"/>
        </w:rPr>
        <w:t xml:space="preserve">boni alacritati O; </w:t>
      </w:r>
      <w:r w:rsidRPr="00AB75BE">
        <w:rPr>
          <w:lang w:val="it-IT"/>
        </w:rPr>
        <w:t>bonum alecritatis A</w:t>
      </w:r>
    </w:p>
  </w:footnote>
  <w:footnote w:id="546">
    <w:p w14:paraId="25C6F1DF"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significatrix, hec est] significat A</w:t>
      </w:r>
    </w:p>
  </w:footnote>
  <w:footnote w:id="547">
    <w:p w14:paraId="5C39CACE"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significabit] indicabit A</w:t>
      </w:r>
    </w:p>
  </w:footnote>
  <w:footnote w:id="548">
    <w:p w14:paraId="30263606" w14:textId="77777777" w:rsidR="00242EFA" w:rsidRDefault="00242EFA" w:rsidP="00242EFA">
      <w:pPr>
        <w:pStyle w:val="FootnoteText"/>
        <w:ind w:firstLine="0"/>
      </w:pPr>
      <w:r>
        <w:rPr>
          <w:rStyle w:val="FootnoteReference"/>
        </w:rPr>
        <w:footnoteRef/>
      </w:r>
      <w:r>
        <w:t xml:space="preserve"> pro] per O.</w:t>
      </w:r>
    </w:p>
  </w:footnote>
  <w:footnote w:id="549">
    <w:p w14:paraId="44F36151"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agentibus] agentitis A</w:t>
      </w:r>
    </w:p>
  </w:footnote>
  <w:footnote w:id="550">
    <w:p w14:paraId="47E931CC"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quod] que O</w:t>
      </w:r>
    </w:p>
  </w:footnote>
  <w:footnote w:id="551">
    <w:p w14:paraId="582842FD"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cuilibet] cumlibet O; quolibet A</w:t>
      </w:r>
    </w:p>
  </w:footnote>
  <w:footnote w:id="552">
    <w:p w14:paraId="1B9EC29F" w14:textId="77777777" w:rsidR="00242EFA" w:rsidRPr="00C17732" w:rsidRDefault="00242EFA" w:rsidP="00242EFA">
      <w:pPr>
        <w:pStyle w:val="FootnoteText"/>
        <w:ind w:firstLine="0"/>
        <w:rPr>
          <w:lang w:val="it-IT"/>
        </w:rPr>
      </w:pPr>
      <w:r>
        <w:rPr>
          <w:rStyle w:val="FootnoteReference"/>
        </w:rPr>
        <w:footnoteRef/>
      </w:r>
      <w:r w:rsidRPr="00C17732">
        <w:rPr>
          <w:lang w:val="it-IT"/>
        </w:rPr>
        <w:t xml:space="preserve"> ire] ree A</w:t>
      </w:r>
    </w:p>
  </w:footnote>
  <w:footnote w:id="553">
    <w:p w14:paraId="349D1804" w14:textId="77777777" w:rsidR="00242EFA" w:rsidRPr="00C17732" w:rsidRDefault="00242EFA" w:rsidP="00242EFA">
      <w:pPr>
        <w:pStyle w:val="FootnoteText"/>
        <w:ind w:firstLine="0"/>
        <w:rPr>
          <w:lang w:val="it-IT"/>
        </w:rPr>
      </w:pPr>
      <w:r>
        <w:rPr>
          <w:rStyle w:val="FootnoteReference"/>
        </w:rPr>
        <w:footnoteRef/>
      </w:r>
      <w:r w:rsidRPr="00C17732">
        <w:rPr>
          <w:lang w:val="it-IT"/>
        </w:rPr>
        <w:t xml:space="preserve"> </w:t>
      </w:r>
      <w:r>
        <w:rPr>
          <w:lang w:val="it-IT"/>
        </w:rPr>
        <w:t>c</w:t>
      </w:r>
      <w:r w:rsidRPr="00C17732">
        <w:rPr>
          <w:lang w:val="it-IT"/>
        </w:rPr>
        <w:t>on</w:t>
      </w:r>
      <w:r>
        <w:rPr>
          <w:lang w:val="it-IT"/>
        </w:rPr>
        <w:t>tingerit] evenerit A</w:t>
      </w:r>
    </w:p>
  </w:footnote>
  <w:footnote w:id="554">
    <w:p w14:paraId="09AF2B85" w14:textId="77777777" w:rsidR="00242EFA" w:rsidRDefault="00242EFA" w:rsidP="00242EFA">
      <w:pPr>
        <w:pStyle w:val="FootnoteText"/>
        <w:ind w:firstLine="0"/>
      </w:pPr>
      <w:r>
        <w:rPr>
          <w:rStyle w:val="FootnoteReference"/>
        </w:rPr>
        <w:footnoteRef/>
      </w:r>
      <w:r>
        <w:t xml:space="preserve"> eum] eorum O</w:t>
      </w:r>
    </w:p>
  </w:footnote>
  <w:footnote w:id="555">
    <w:p w14:paraId="20254D88" w14:textId="77777777" w:rsidR="00242EFA" w:rsidRDefault="00242EFA" w:rsidP="00242EFA">
      <w:pPr>
        <w:pStyle w:val="FootnoteText"/>
        <w:ind w:firstLine="0"/>
      </w:pPr>
      <w:r>
        <w:rPr>
          <w:rStyle w:val="FootnoteReference"/>
        </w:rPr>
        <w:footnoteRef/>
      </w:r>
      <w:r>
        <w:t xml:space="preserve"> Ciro] citum redditum</w:t>
      </w:r>
    </w:p>
  </w:footnote>
  <w:footnote w:id="556">
    <w:p w14:paraId="521C276F"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dissessurum] </w:t>
      </w:r>
      <w:r>
        <w:rPr>
          <w:i/>
          <w:iCs/>
          <w:lang w:val="it-IT"/>
        </w:rPr>
        <w:t>con.</w:t>
      </w:r>
      <w:r w:rsidRPr="00F206C8">
        <w:rPr>
          <w:i/>
          <w:iCs/>
          <w:lang w:val="it-IT"/>
        </w:rPr>
        <w:t>:</w:t>
      </w:r>
      <w:r w:rsidRPr="00F206C8">
        <w:rPr>
          <w:lang w:val="it-IT"/>
        </w:rPr>
        <w:t xml:space="preserve"> discessurum; decessurum O</w:t>
      </w:r>
    </w:p>
  </w:footnote>
  <w:footnote w:id="557">
    <w:p w14:paraId="1D219CAD"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figura veneris et leonis occidentalis feminina</w:t>
      </w:r>
      <w:r>
        <w:rPr>
          <w:lang w:val="it-IT"/>
        </w:rPr>
        <w:t xml:space="preserve">, </w:t>
      </w:r>
      <w:r w:rsidRPr="00F206C8">
        <w:rPr>
          <w:lang w:val="it-IT"/>
        </w:rPr>
        <w:t>A</w:t>
      </w:r>
      <w:r>
        <w:rPr>
          <w:lang w:val="it-IT"/>
        </w:rPr>
        <w:t xml:space="preserve">; </w:t>
      </w:r>
      <w:r>
        <w:t>cito dissessurum anunciabit] citum redditum demonstrabit, O.</w:t>
      </w:r>
    </w:p>
  </w:footnote>
  <w:footnote w:id="558">
    <w:p w14:paraId="2D845A09"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pars autem tertia] tertia autem pars A</w:t>
      </w:r>
    </w:p>
  </w:footnote>
  <w:footnote w:id="559">
    <w:p w14:paraId="497EE628" w14:textId="77777777" w:rsidR="00242EFA" w:rsidRPr="009B3B68" w:rsidRDefault="00242EFA" w:rsidP="00242EFA">
      <w:pPr>
        <w:pStyle w:val="FootnoteText"/>
        <w:ind w:firstLine="0"/>
        <w:rPr>
          <w:lang w:val="fr-FR"/>
        </w:rPr>
      </w:pPr>
      <w:r>
        <w:rPr>
          <w:rStyle w:val="FootnoteReference"/>
        </w:rPr>
        <w:footnoteRef/>
      </w:r>
      <w:r w:rsidRPr="009B3B68">
        <w:rPr>
          <w:lang w:val="fr-FR"/>
        </w:rPr>
        <w:t xml:space="preserve"> </w:t>
      </w:r>
      <w:r>
        <w:rPr>
          <w:lang w:val="fr-FR"/>
        </w:rPr>
        <w:t>quam sultan, id est] que sultan vel A</w:t>
      </w:r>
    </w:p>
  </w:footnote>
  <w:footnote w:id="560">
    <w:p w14:paraId="24507309" w14:textId="77777777" w:rsidR="00242EFA" w:rsidRDefault="00242EFA" w:rsidP="00242EFA">
      <w:pPr>
        <w:pStyle w:val="FootnoteText"/>
        <w:ind w:firstLine="0"/>
      </w:pPr>
      <w:r>
        <w:rPr>
          <w:rStyle w:val="FootnoteReference"/>
        </w:rPr>
        <w:footnoteRef/>
      </w:r>
      <w:r>
        <w:t xml:space="preserve"> pars autem tertia…regem] que si in rege O</w:t>
      </w:r>
    </w:p>
  </w:footnote>
  <w:footnote w:id="561">
    <w:p w14:paraId="3D59E654" w14:textId="77777777" w:rsidR="00242EFA" w:rsidRPr="00A9300C" w:rsidRDefault="00242EFA" w:rsidP="00242EFA">
      <w:pPr>
        <w:pStyle w:val="FootnoteText"/>
        <w:ind w:firstLine="0"/>
        <w:rPr>
          <w:lang w:val="fr-FR"/>
        </w:rPr>
      </w:pPr>
      <w:r>
        <w:rPr>
          <w:rStyle w:val="FootnoteReference"/>
        </w:rPr>
        <w:footnoteRef/>
      </w:r>
      <w:r w:rsidRPr="00A9300C">
        <w:rPr>
          <w:lang w:val="fr-FR"/>
        </w:rPr>
        <w:t xml:space="preserve"> </w:t>
      </w:r>
      <w:r>
        <w:rPr>
          <w:lang w:val="fr-FR"/>
        </w:rPr>
        <w:t>ad reges et</w:t>
      </w:r>
      <w:r w:rsidRPr="00A9300C">
        <w:rPr>
          <w:lang w:val="fr-FR"/>
        </w:rPr>
        <w:t xml:space="preserve"> potentes pertinet</w:t>
      </w:r>
      <w:r>
        <w:rPr>
          <w:lang w:val="fr-FR"/>
        </w:rPr>
        <w:t>]ad reges</w:t>
      </w:r>
      <w:r w:rsidRPr="00A9300C">
        <w:rPr>
          <w:lang w:val="fr-FR"/>
        </w:rPr>
        <w:t xml:space="preserve"> pertinet et potentis</w:t>
      </w:r>
      <w:r>
        <w:rPr>
          <w:lang w:val="fr-FR"/>
        </w:rPr>
        <w:t xml:space="preserve"> O; regibus vel potentibus pertinet A </w:t>
      </w:r>
    </w:p>
  </w:footnote>
  <w:footnote w:id="562">
    <w:p w14:paraId="3CE5F7FC" w14:textId="77777777" w:rsidR="00242EFA" w:rsidRPr="00F206C8" w:rsidRDefault="00242EFA" w:rsidP="00242EFA">
      <w:pPr>
        <w:pStyle w:val="FootnoteText"/>
        <w:ind w:firstLine="0"/>
        <w:rPr>
          <w:lang w:val="pt-PT"/>
        </w:rPr>
      </w:pPr>
      <w:r>
        <w:rPr>
          <w:rStyle w:val="FootnoteReference"/>
        </w:rPr>
        <w:footnoteRef/>
      </w:r>
      <w:r w:rsidRPr="00DE1FDB">
        <w:rPr>
          <w:lang w:val="fr-FR"/>
        </w:rPr>
        <w:t xml:space="preserve"> formatur]</w:t>
      </w:r>
      <w:r>
        <w:rPr>
          <w:lang w:val="fr-FR"/>
        </w:rPr>
        <w:t xml:space="preserve"> con. formatur O;</w:t>
      </w:r>
      <w:r w:rsidRPr="00DE1FDB">
        <w:rPr>
          <w:lang w:val="fr-FR"/>
        </w:rPr>
        <w:t xml:space="preserve"> </w:t>
      </w:r>
      <w:r w:rsidRPr="00DE1FDB">
        <w:rPr>
          <w:i/>
          <w:iCs/>
          <w:lang w:val="fr-FR"/>
        </w:rPr>
        <w:t>om</w:t>
      </w:r>
      <w:r w:rsidRPr="00DE1FDB">
        <w:rPr>
          <w:lang w:val="fr-FR"/>
        </w:rPr>
        <w:t xml:space="preserve">. A; figura iovis et tauri, merientalis masculina </w:t>
      </w:r>
      <w:r w:rsidRPr="00DE1FDB">
        <w:rPr>
          <w:i/>
          <w:iCs/>
          <w:lang w:val="fr-FR"/>
        </w:rPr>
        <w:t>add</w:t>
      </w:r>
      <w:r w:rsidRPr="00DE1FDB">
        <w:rPr>
          <w:lang w:val="fr-FR"/>
        </w:rPr>
        <w:t xml:space="preserve">. </w:t>
      </w:r>
      <w:r w:rsidRPr="00F206C8">
        <w:rPr>
          <w:lang w:val="pt-PT"/>
        </w:rPr>
        <w:t xml:space="preserve">A </w:t>
      </w:r>
    </w:p>
  </w:footnote>
  <w:footnote w:id="563">
    <w:p w14:paraId="5D6765B9" w14:textId="77777777" w:rsidR="00242EFA" w:rsidRPr="00DE1FDB" w:rsidRDefault="00242EFA" w:rsidP="00242EFA">
      <w:pPr>
        <w:pStyle w:val="FootnoteText"/>
        <w:ind w:firstLine="0"/>
        <w:rPr>
          <w:lang w:val="pt-PT"/>
        </w:rPr>
      </w:pPr>
      <w:r>
        <w:rPr>
          <w:rStyle w:val="FootnoteReference"/>
        </w:rPr>
        <w:footnoteRef/>
      </w:r>
      <w:r w:rsidRPr="00DE1FDB">
        <w:rPr>
          <w:lang w:val="pt-PT"/>
        </w:rPr>
        <w:t xml:space="preserve"> quarta qui] quarta cuius que O; quarta vero que A</w:t>
      </w:r>
    </w:p>
  </w:footnote>
  <w:footnote w:id="564">
    <w:p w14:paraId="62B6489D"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dicitur alagen] dicitur allagem O; vocatur algagen vel barbam A</w:t>
      </w:r>
    </w:p>
  </w:footnote>
  <w:footnote w:id="565">
    <w:p w14:paraId="060CAA25" w14:textId="77777777" w:rsidR="00242EFA" w:rsidRPr="00DE0F3C" w:rsidRDefault="00242EFA" w:rsidP="00242EFA">
      <w:pPr>
        <w:pStyle w:val="FootnoteText"/>
        <w:ind w:firstLine="0"/>
      </w:pPr>
      <w:r>
        <w:rPr>
          <w:rStyle w:val="FootnoteReference"/>
        </w:rPr>
        <w:footnoteRef/>
      </w:r>
      <w:r w:rsidRPr="00DE0F3C">
        <w:t xml:space="preserve"> </w:t>
      </w:r>
      <w:r>
        <w:t>Con.</w:t>
      </w:r>
      <w:r w:rsidRPr="00DE0F3C">
        <w:t xml:space="preserve"> fit] </w:t>
      </w:r>
      <w:r>
        <w:t>con.</w:t>
      </w:r>
      <w:r w:rsidRPr="00DE0F3C">
        <w:t xml:space="preserve"> fecit O; </w:t>
      </w:r>
      <w:r>
        <w:t>con. formatur</w:t>
      </w:r>
    </w:p>
  </w:footnote>
  <w:footnote w:id="566">
    <w:p w14:paraId="2EE811A1" w14:textId="77777777" w:rsidR="00242EFA" w:rsidRDefault="00242EFA" w:rsidP="00242EFA">
      <w:pPr>
        <w:pStyle w:val="FootnoteText"/>
        <w:ind w:firstLine="0"/>
      </w:pPr>
      <w:r>
        <w:rPr>
          <w:rStyle w:val="FootnoteReference"/>
        </w:rPr>
        <w:footnoteRef/>
      </w:r>
      <w:r>
        <w:t xml:space="preserve"> vice comitibus] vicommitibus O</w:t>
      </w:r>
    </w:p>
  </w:footnote>
  <w:footnote w:id="567">
    <w:p w14:paraId="17F90C35" w14:textId="77777777" w:rsidR="00242EFA" w:rsidRPr="00F206C8" w:rsidRDefault="00242EFA" w:rsidP="00242EFA">
      <w:pPr>
        <w:pStyle w:val="FootnoteText"/>
        <w:ind w:firstLine="0"/>
      </w:pPr>
      <w:r>
        <w:rPr>
          <w:rStyle w:val="FootnoteReference"/>
        </w:rPr>
        <w:footnoteRef/>
      </w:r>
      <w:r w:rsidRPr="00F206C8">
        <w:t xml:space="preserve"> </w:t>
      </w:r>
      <w:r>
        <w:rPr>
          <w:i/>
          <w:iCs/>
        </w:rPr>
        <w:t>con.</w:t>
      </w:r>
      <w:r w:rsidRPr="00630E73">
        <w:t>grandiaque</w:t>
      </w:r>
    </w:p>
  </w:footnote>
  <w:footnote w:id="568">
    <w:p w14:paraId="48560201" w14:textId="77777777" w:rsidR="00242EFA" w:rsidRPr="00F206C8" w:rsidRDefault="00242EFA" w:rsidP="00242EFA">
      <w:pPr>
        <w:pStyle w:val="FootnoteText"/>
        <w:ind w:firstLine="0"/>
      </w:pPr>
      <w:r>
        <w:rPr>
          <w:rStyle w:val="FootnoteReference"/>
        </w:rPr>
        <w:footnoteRef/>
      </w:r>
      <w:r w:rsidRPr="00F206C8">
        <w:t xml:space="preserve"> habentibus] habens A</w:t>
      </w:r>
    </w:p>
  </w:footnote>
  <w:footnote w:id="569">
    <w:p w14:paraId="2697B569" w14:textId="77777777" w:rsidR="00242EFA" w:rsidRPr="00F206C8" w:rsidRDefault="00242EFA" w:rsidP="00242EFA">
      <w:pPr>
        <w:pStyle w:val="FootnoteText"/>
        <w:ind w:firstLine="0"/>
      </w:pPr>
      <w:r>
        <w:rPr>
          <w:rStyle w:val="FootnoteReference"/>
        </w:rPr>
        <w:footnoteRef/>
      </w:r>
      <w:r w:rsidRPr="00F206C8">
        <w:t xml:space="preserve"> significationem portat] significacio imponit O; significationem ponat A</w:t>
      </w:r>
    </w:p>
  </w:footnote>
  <w:footnote w:id="570">
    <w:p w14:paraId="251736D7" w14:textId="77777777" w:rsidR="00242EFA" w:rsidRPr="00F206C8" w:rsidRDefault="00242EFA" w:rsidP="00242EFA">
      <w:pPr>
        <w:pStyle w:val="FootnoteText"/>
        <w:ind w:firstLine="0"/>
      </w:pPr>
      <w:r>
        <w:rPr>
          <w:rStyle w:val="FootnoteReference"/>
        </w:rPr>
        <w:footnoteRef/>
      </w:r>
      <w:r w:rsidRPr="00F206C8">
        <w:t xml:space="preserve"> in] et O</w:t>
      </w:r>
    </w:p>
  </w:footnote>
  <w:footnote w:id="571">
    <w:p w14:paraId="069FAAB4" w14:textId="77777777" w:rsidR="00242EFA" w:rsidRPr="00F206C8" w:rsidRDefault="00242EFA" w:rsidP="00242EFA">
      <w:pPr>
        <w:pStyle w:val="FootnoteText"/>
        <w:ind w:firstLine="0"/>
      </w:pPr>
      <w:r>
        <w:rPr>
          <w:rStyle w:val="FootnoteReference"/>
        </w:rPr>
        <w:footnoteRef/>
      </w:r>
      <w:r w:rsidRPr="00F206C8">
        <w:t xml:space="preserve"> figura martis e taquari, occidentalis, masculina </w:t>
      </w:r>
      <w:r w:rsidRPr="00F206C8">
        <w:rPr>
          <w:i/>
          <w:iCs/>
        </w:rPr>
        <w:t>add</w:t>
      </w:r>
      <w:r w:rsidRPr="00F206C8">
        <w:t>. A</w:t>
      </w:r>
    </w:p>
  </w:footnote>
  <w:footnote w:id="572">
    <w:p w14:paraId="366471A4" w14:textId="77777777" w:rsidR="00242EFA" w:rsidRPr="00F206C8" w:rsidRDefault="00242EFA" w:rsidP="00242EFA">
      <w:pPr>
        <w:pStyle w:val="FootnoteText"/>
        <w:ind w:firstLine="0"/>
      </w:pPr>
      <w:r>
        <w:rPr>
          <w:rStyle w:val="FootnoteReference"/>
        </w:rPr>
        <w:footnoteRef/>
      </w:r>
      <w:r w:rsidRPr="00F206C8">
        <w:t xml:space="preserve"> habentem] habencium C</w:t>
      </w:r>
    </w:p>
  </w:footnote>
  <w:footnote w:id="573">
    <w:p w14:paraId="46686789" w14:textId="77777777" w:rsidR="00242EFA" w:rsidRPr="00F206C8" w:rsidRDefault="00242EFA" w:rsidP="00242EFA">
      <w:pPr>
        <w:pStyle w:val="FootnoteText"/>
        <w:ind w:firstLine="0"/>
      </w:pPr>
      <w:r>
        <w:rPr>
          <w:rStyle w:val="FootnoteReference"/>
        </w:rPr>
        <w:footnoteRef/>
      </w:r>
      <w:r w:rsidRPr="00F206C8">
        <w:t xml:space="preserve"> quinta vero…epheborum] quinta que alascar id est videre dicunt rerum viridum colorem habencium A</w:t>
      </w:r>
    </w:p>
  </w:footnote>
  <w:footnote w:id="574">
    <w:p w14:paraId="2E58CD22" w14:textId="77777777" w:rsidR="00242EFA" w:rsidRPr="00BB5005" w:rsidRDefault="00242EFA" w:rsidP="00242EFA">
      <w:pPr>
        <w:pStyle w:val="FootnoteText"/>
        <w:ind w:firstLine="0"/>
        <w:rPr>
          <w:lang w:val="it-IT"/>
        </w:rPr>
      </w:pPr>
      <w:r>
        <w:rPr>
          <w:rStyle w:val="FootnoteReference"/>
        </w:rPr>
        <w:footnoteRef/>
      </w:r>
      <w:r w:rsidRPr="00BB5005">
        <w:rPr>
          <w:lang w:val="it-IT"/>
        </w:rPr>
        <w:t xml:space="preserve"> significatrix] significat O</w:t>
      </w:r>
    </w:p>
  </w:footnote>
  <w:footnote w:id="575">
    <w:p w14:paraId="1FC26D71" w14:textId="77777777" w:rsidR="00242EFA" w:rsidRDefault="00242EFA" w:rsidP="00242EFA">
      <w:pPr>
        <w:pStyle w:val="FootnoteText"/>
        <w:ind w:firstLine="0"/>
      </w:pPr>
      <w:r>
        <w:rPr>
          <w:rStyle w:val="FootnoteReference"/>
        </w:rPr>
        <w:footnoteRef/>
      </w:r>
      <w:r>
        <w:t xml:space="preserve"> que] quo O</w:t>
      </w:r>
    </w:p>
  </w:footnote>
  <w:footnote w:id="576">
    <w:p w14:paraId="00ED4499" w14:textId="77777777" w:rsidR="00242EFA" w:rsidRPr="00BB5005" w:rsidRDefault="00242EFA" w:rsidP="00242EFA">
      <w:pPr>
        <w:pStyle w:val="FootnoteText"/>
        <w:ind w:firstLine="0"/>
        <w:rPr>
          <w:lang w:val="it-IT"/>
        </w:rPr>
      </w:pPr>
      <w:r>
        <w:rPr>
          <w:rStyle w:val="FootnoteReference"/>
        </w:rPr>
        <w:footnoteRef/>
      </w:r>
      <w:r w:rsidRPr="00BB5005">
        <w:rPr>
          <w:lang w:val="it-IT"/>
        </w:rPr>
        <w:t xml:space="preserve"> accidit] acciderit C</w:t>
      </w:r>
    </w:p>
  </w:footnote>
  <w:footnote w:id="577">
    <w:p w14:paraId="296D4C11"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 xml:space="preserve">fulgura] </w:t>
      </w:r>
      <w:r>
        <w:rPr>
          <w:i/>
          <w:iCs/>
          <w:lang w:val="pt-PT"/>
        </w:rPr>
        <w:t>con</w:t>
      </w:r>
      <w:r w:rsidRPr="00456AD5">
        <w:rPr>
          <w:lang w:val="pt-PT"/>
        </w:rPr>
        <w:t xml:space="preserve"> </w:t>
      </w:r>
      <w:r>
        <w:rPr>
          <w:lang w:val="pt-PT"/>
        </w:rPr>
        <w:t>f</w:t>
      </w:r>
      <w:r w:rsidRPr="00456AD5">
        <w:rPr>
          <w:lang w:val="pt-PT"/>
        </w:rPr>
        <w:t>ulgurum</w:t>
      </w:r>
      <w:r>
        <w:rPr>
          <w:lang w:val="pt-PT"/>
        </w:rPr>
        <w:t>; fugam A</w:t>
      </w:r>
    </w:p>
  </w:footnote>
  <w:footnote w:id="578">
    <w:p w14:paraId="610C01A4" w14:textId="0AFF94D1" w:rsidR="00242EFA" w:rsidRPr="00F206C8" w:rsidRDefault="00242EFA" w:rsidP="00242EFA">
      <w:pPr>
        <w:pStyle w:val="FootnoteText"/>
        <w:ind w:firstLine="0"/>
        <w:rPr>
          <w:lang w:val="it-IT"/>
        </w:rPr>
      </w:pPr>
      <w:r>
        <w:rPr>
          <w:rStyle w:val="FootnoteReference"/>
        </w:rPr>
        <w:footnoteRef/>
      </w:r>
      <w:r w:rsidRPr="00F8324F">
        <w:rPr>
          <w:lang w:val="it-IT"/>
        </w:rPr>
        <w:t xml:space="preserve"> </w:t>
      </w:r>
      <w:r>
        <w:rPr>
          <w:lang w:val="it-IT"/>
        </w:rPr>
        <w:t>a</w:t>
      </w:r>
      <w:r w:rsidRPr="00F8324F">
        <w:rPr>
          <w:lang w:val="it-IT"/>
        </w:rPr>
        <w:t>d dolorem…significabit] ad dolorem et tristitiam per</w:t>
      </w:r>
      <w:r>
        <w:rPr>
          <w:lang w:val="it-IT"/>
        </w:rPr>
        <w:t xml:space="preserve">tinet significat. </w:t>
      </w:r>
      <w:r w:rsidRPr="00F206C8">
        <w:rPr>
          <w:lang w:val="it-IT"/>
        </w:rPr>
        <w:t>Figura solis et terroginus(?)</w:t>
      </w:r>
      <w:r w:rsidR="00A73F68">
        <w:rPr>
          <w:lang w:val="it-IT"/>
        </w:rPr>
        <w:t xml:space="preserve"> </w:t>
      </w:r>
      <w:r w:rsidRPr="00F206C8">
        <w:rPr>
          <w:lang w:val="it-IT"/>
        </w:rPr>
        <w:t>merientalis</w:t>
      </w:r>
      <w:r w:rsidR="00A73F68">
        <w:rPr>
          <w:lang w:val="it-IT"/>
        </w:rPr>
        <w:t xml:space="preserve"> (?)</w:t>
      </w:r>
      <w:r w:rsidRPr="00F206C8">
        <w:rPr>
          <w:lang w:val="it-IT"/>
        </w:rPr>
        <w:t>, masculina A</w:t>
      </w:r>
    </w:p>
  </w:footnote>
  <w:footnote w:id="579">
    <w:p w14:paraId="24A7D146"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pars] </w:t>
      </w:r>
      <w:r w:rsidRPr="00F206C8">
        <w:rPr>
          <w:i/>
          <w:iCs/>
          <w:lang w:val="it-IT"/>
        </w:rPr>
        <w:t>om</w:t>
      </w:r>
      <w:r w:rsidRPr="00F206C8">
        <w:rPr>
          <w:lang w:val="it-IT"/>
        </w:rPr>
        <w:t>. A</w:t>
      </w:r>
    </w:p>
  </w:footnote>
  <w:footnote w:id="580">
    <w:p w14:paraId="551440BF"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que almatitus dicitur] que almancus A</w:t>
      </w:r>
    </w:p>
  </w:footnote>
  <w:footnote w:id="581">
    <w:p w14:paraId="0504C2D2"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signatio] significatio A</w:t>
      </w:r>
    </w:p>
  </w:footnote>
  <w:footnote w:id="582">
    <w:p w14:paraId="22B2A731"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rebus] est rebus A</w:t>
      </w:r>
    </w:p>
  </w:footnote>
  <w:footnote w:id="583">
    <w:p w14:paraId="3AC4BF6B" w14:textId="77777777" w:rsidR="00242EFA" w:rsidRPr="00F973D3" w:rsidRDefault="00242EFA" w:rsidP="00242EFA">
      <w:pPr>
        <w:pStyle w:val="FootnoteText"/>
        <w:ind w:firstLine="0"/>
        <w:rPr>
          <w:lang w:val="pt-PT"/>
        </w:rPr>
      </w:pPr>
      <w:r>
        <w:rPr>
          <w:rStyle w:val="FootnoteReference"/>
        </w:rPr>
        <w:footnoteRef/>
      </w:r>
      <w:r w:rsidRPr="00F973D3">
        <w:rPr>
          <w:lang w:val="pt-PT"/>
        </w:rPr>
        <w:t xml:space="preserve"> </w:t>
      </w:r>
      <w:r>
        <w:rPr>
          <w:lang w:val="pt-PT"/>
        </w:rPr>
        <w:t>femineis]</w:t>
      </w:r>
      <w:r w:rsidRPr="00F973D3">
        <w:rPr>
          <w:lang w:val="pt-PT"/>
        </w:rPr>
        <w:t xml:space="preserve"> femininis</w:t>
      </w:r>
      <w:r>
        <w:rPr>
          <w:lang w:val="pt-PT"/>
        </w:rPr>
        <w:t xml:space="preserve"> O</w:t>
      </w:r>
    </w:p>
  </w:footnote>
  <w:footnote w:id="584">
    <w:p w14:paraId="28F043B0" w14:textId="77777777" w:rsidR="00242EFA" w:rsidRPr="00E75151" w:rsidRDefault="00242EFA" w:rsidP="00242EFA">
      <w:pPr>
        <w:pStyle w:val="FootnoteText"/>
        <w:ind w:firstLine="0"/>
        <w:rPr>
          <w:lang w:val="pt-PT"/>
        </w:rPr>
      </w:pPr>
      <w:r>
        <w:rPr>
          <w:rStyle w:val="FootnoteReference"/>
        </w:rPr>
        <w:footnoteRef/>
      </w:r>
      <w:r w:rsidRPr="00E75151">
        <w:rPr>
          <w:lang w:val="pt-PT"/>
        </w:rPr>
        <w:t xml:space="preserve"> </w:t>
      </w:r>
      <w:r>
        <w:rPr>
          <w:lang w:val="pt-PT"/>
        </w:rPr>
        <w:t>a</w:t>
      </w:r>
      <w:r w:rsidRPr="00E75151">
        <w:rPr>
          <w:lang w:val="pt-PT"/>
        </w:rPr>
        <w:t xml:space="preserve"> nigro] a </w:t>
      </w:r>
      <w:r>
        <w:rPr>
          <w:lang w:val="pt-PT"/>
        </w:rPr>
        <w:t>magno A</w:t>
      </w:r>
    </w:p>
  </w:footnote>
  <w:footnote w:id="585">
    <w:p w14:paraId="24618C48" w14:textId="77777777" w:rsidR="00242EFA" w:rsidRPr="00F206C8" w:rsidRDefault="00242EFA" w:rsidP="00242EFA">
      <w:pPr>
        <w:pStyle w:val="FootnoteText"/>
        <w:ind w:firstLine="0"/>
        <w:rPr>
          <w:lang w:val="fr-FR"/>
        </w:rPr>
      </w:pPr>
      <w:r>
        <w:rPr>
          <w:rStyle w:val="FootnoteReference"/>
        </w:rPr>
        <w:footnoteRef/>
      </w:r>
      <w:r w:rsidRPr="00F206C8">
        <w:rPr>
          <w:lang w:val="fr-FR"/>
        </w:rPr>
        <w:t xml:space="preserve"> ordinat] ordinatum O; ordinatur A</w:t>
      </w:r>
    </w:p>
  </w:footnote>
  <w:footnote w:id="586">
    <w:p w14:paraId="4D4F7BB9" w14:textId="77777777" w:rsidR="00242EFA" w:rsidRPr="00F206C8" w:rsidRDefault="00242EFA" w:rsidP="00242EFA">
      <w:pPr>
        <w:pStyle w:val="FootnoteText"/>
        <w:ind w:firstLine="0"/>
        <w:rPr>
          <w:lang w:val="pt-PT"/>
        </w:rPr>
      </w:pPr>
      <w:r>
        <w:rPr>
          <w:rStyle w:val="FootnoteReference"/>
        </w:rPr>
        <w:footnoteRef/>
      </w:r>
      <w:r w:rsidRPr="00612B01">
        <w:rPr>
          <w:lang w:val="fr-FR"/>
        </w:rPr>
        <w:t xml:space="preserve"> </w:t>
      </w:r>
      <w:r>
        <w:rPr>
          <w:lang w:val="fr-FR"/>
        </w:rPr>
        <w:t>f</w:t>
      </w:r>
      <w:r w:rsidRPr="00612B01">
        <w:rPr>
          <w:lang w:val="fr-FR"/>
        </w:rPr>
        <w:t xml:space="preserve">igure cauda tioconis(?) et leonis, orientalis masculine </w:t>
      </w:r>
      <w:r w:rsidRPr="00612B01">
        <w:rPr>
          <w:i/>
          <w:iCs/>
          <w:lang w:val="fr-FR"/>
        </w:rPr>
        <w:t>add</w:t>
      </w:r>
      <w:r>
        <w:rPr>
          <w:lang w:val="fr-FR"/>
        </w:rPr>
        <w:t xml:space="preserve">. </w:t>
      </w:r>
      <w:r w:rsidRPr="00F206C8">
        <w:rPr>
          <w:lang w:val="pt-PT"/>
        </w:rPr>
        <w:t>A</w:t>
      </w:r>
    </w:p>
  </w:footnote>
  <w:footnote w:id="587">
    <w:p w14:paraId="7D4A52AD" w14:textId="77777777" w:rsidR="00242EFA" w:rsidRPr="00B0649B" w:rsidRDefault="00242EFA" w:rsidP="00242EFA">
      <w:pPr>
        <w:pStyle w:val="FootnoteText"/>
        <w:ind w:firstLine="0"/>
        <w:rPr>
          <w:lang w:val="pt-PT"/>
        </w:rPr>
      </w:pPr>
      <w:r>
        <w:rPr>
          <w:rStyle w:val="FootnoteReference"/>
        </w:rPr>
        <w:footnoteRef/>
      </w:r>
      <w:r w:rsidRPr="00B0649B">
        <w:rPr>
          <w:lang w:val="pt-PT"/>
        </w:rPr>
        <w:t xml:space="preserve"> </w:t>
      </w:r>
      <w:r>
        <w:rPr>
          <w:lang w:val="pt-PT"/>
        </w:rPr>
        <w:t>q</w:t>
      </w:r>
      <w:r w:rsidRPr="00B0649B">
        <w:rPr>
          <w:lang w:val="pt-PT"/>
        </w:rPr>
        <w:t>uam tanzel] q</w:t>
      </w:r>
      <w:r>
        <w:rPr>
          <w:lang w:val="pt-PT"/>
        </w:rPr>
        <w:t>ue tantel A</w:t>
      </w:r>
    </w:p>
  </w:footnote>
  <w:footnote w:id="588">
    <w:p w14:paraId="2752BB53" w14:textId="77777777" w:rsidR="00242EFA" w:rsidRPr="00670BA0" w:rsidRDefault="00242EFA" w:rsidP="00242EFA">
      <w:pPr>
        <w:pStyle w:val="FootnoteText"/>
        <w:ind w:firstLine="0"/>
        <w:rPr>
          <w:lang w:val="pt-PT"/>
        </w:rPr>
      </w:pPr>
      <w:r>
        <w:rPr>
          <w:rStyle w:val="FootnoteReference"/>
        </w:rPr>
        <w:footnoteRef/>
      </w:r>
      <w:r w:rsidRPr="00670BA0">
        <w:rPr>
          <w:lang w:val="pt-PT"/>
        </w:rPr>
        <w:t xml:space="preserve"> </w:t>
      </w:r>
      <w:r>
        <w:rPr>
          <w:lang w:val="pt-PT"/>
        </w:rPr>
        <w:t>firmitatem] firmitatis A</w:t>
      </w:r>
    </w:p>
  </w:footnote>
  <w:footnote w:id="589">
    <w:p w14:paraId="2BE91806"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 xml:space="preserve">in] </w:t>
      </w:r>
      <w:r>
        <w:rPr>
          <w:i/>
          <w:iCs/>
          <w:lang w:val="pt-PT"/>
        </w:rPr>
        <w:t>o</w:t>
      </w:r>
      <w:r w:rsidRPr="00456AD5">
        <w:rPr>
          <w:i/>
          <w:iCs/>
          <w:lang w:val="pt-PT"/>
        </w:rPr>
        <w:t>m</w:t>
      </w:r>
      <w:r w:rsidRPr="00456AD5">
        <w:rPr>
          <w:lang w:val="pt-PT"/>
        </w:rPr>
        <w:t>. O</w:t>
      </w:r>
    </w:p>
  </w:footnote>
  <w:footnote w:id="590">
    <w:p w14:paraId="284B72DA" w14:textId="77777777" w:rsidR="00242EFA" w:rsidRPr="00D500B1" w:rsidRDefault="00242EFA" w:rsidP="00242EFA">
      <w:pPr>
        <w:pStyle w:val="FootnoteText"/>
        <w:ind w:firstLine="0"/>
        <w:rPr>
          <w:lang w:val="pt-PT"/>
        </w:rPr>
      </w:pPr>
      <w:r>
        <w:rPr>
          <w:rStyle w:val="FootnoteReference"/>
        </w:rPr>
        <w:footnoteRef/>
      </w:r>
      <w:r w:rsidRPr="00D500B1">
        <w:rPr>
          <w:lang w:val="pt-PT"/>
        </w:rPr>
        <w:t xml:space="preserve"> </w:t>
      </w:r>
      <w:r>
        <w:rPr>
          <w:lang w:val="pt-PT"/>
        </w:rPr>
        <w:t>f</w:t>
      </w:r>
      <w:r w:rsidRPr="00D500B1">
        <w:rPr>
          <w:lang w:val="pt-PT"/>
        </w:rPr>
        <w:t>orma tardum i</w:t>
      </w:r>
      <w:r>
        <w:rPr>
          <w:lang w:val="pt-PT"/>
        </w:rPr>
        <w:t>ter indicabit] tarde iter iudicabit A</w:t>
      </w:r>
    </w:p>
  </w:footnote>
  <w:footnote w:id="591">
    <w:p w14:paraId="7181D269"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egrotationis] egrotanti A</w:t>
      </w:r>
    </w:p>
  </w:footnote>
  <w:footnote w:id="592">
    <w:p w14:paraId="1C71EF59"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presignificat] </w:t>
      </w:r>
      <w:r>
        <w:rPr>
          <w:lang w:val="it-IT"/>
        </w:rPr>
        <w:t xml:space="preserve">presignat O; </w:t>
      </w:r>
      <w:r w:rsidRPr="00F206C8">
        <w:rPr>
          <w:lang w:val="it-IT"/>
        </w:rPr>
        <w:t>presignabit A</w:t>
      </w:r>
    </w:p>
  </w:footnote>
  <w:footnote w:id="593">
    <w:p w14:paraId="59F7DDB5"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quod] et A</w:t>
      </w:r>
    </w:p>
  </w:footnote>
  <w:footnote w:id="594">
    <w:p w14:paraId="15014152" w14:textId="77777777" w:rsidR="00242EFA" w:rsidRPr="001B0F1C" w:rsidRDefault="00242EFA" w:rsidP="00242EFA">
      <w:pPr>
        <w:pStyle w:val="FootnoteText"/>
        <w:ind w:firstLine="0"/>
        <w:rPr>
          <w:lang w:val="it-IT"/>
        </w:rPr>
      </w:pPr>
      <w:r>
        <w:rPr>
          <w:rStyle w:val="FootnoteReference"/>
        </w:rPr>
        <w:footnoteRef/>
      </w:r>
      <w:r w:rsidRPr="001B0F1C">
        <w:rPr>
          <w:lang w:val="it-IT"/>
        </w:rPr>
        <w:t xml:space="preserve"> provenerit] evenerit A</w:t>
      </w:r>
    </w:p>
  </w:footnote>
  <w:footnote w:id="595">
    <w:p w14:paraId="6C33B516"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promissorem] promissionis A</w:t>
      </w:r>
    </w:p>
  </w:footnote>
  <w:footnote w:id="596">
    <w:p w14:paraId="16B70614" w14:textId="77777777" w:rsidR="00242EFA" w:rsidRDefault="00242EFA" w:rsidP="00242EFA">
      <w:pPr>
        <w:pStyle w:val="FootnoteText"/>
        <w:ind w:firstLine="0"/>
      </w:pPr>
      <w:r>
        <w:rPr>
          <w:rStyle w:val="FootnoteReference"/>
        </w:rPr>
        <w:footnoteRef/>
      </w:r>
      <w:r>
        <w:t xml:space="preserve"> mendacem] mendacio O</w:t>
      </w:r>
    </w:p>
  </w:footnote>
  <w:footnote w:id="597">
    <w:p w14:paraId="0670F520"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indicat] indicabit. Figura saturni et scorpionis septentrionsalis, feminina A</w:t>
      </w:r>
    </w:p>
  </w:footnote>
  <w:footnote w:id="598">
    <w:p w14:paraId="36788785" w14:textId="77777777" w:rsidR="00242EFA" w:rsidRPr="007819DE" w:rsidRDefault="00242EFA" w:rsidP="00242EFA">
      <w:pPr>
        <w:pStyle w:val="FootnoteText"/>
        <w:ind w:firstLine="0"/>
        <w:rPr>
          <w:lang w:val="it-IT"/>
        </w:rPr>
      </w:pPr>
      <w:r>
        <w:rPr>
          <w:rStyle w:val="FootnoteReference"/>
        </w:rPr>
        <w:footnoteRef/>
      </w:r>
      <w:r w:rsidRPr="007819DE">
        <w:rPr>
          <w:lang w:val="it-IT"/>
        </w:rPr>
        <w:t xml:space="preserve"> </w:t>
      </w:r>
      <w:r>
        <w:rPr>
          <w:lang w:val="it-IT"/>
        </w:rPr>
        <w:t>v</w:t>
      </w:r>
      <w:r w:rsidRPr="007819DE">
        <w:rPr>
          <w:lang w:val="it-IT"/>
        </w:rPr>
        <w:t xml:space="preserve">ero] </w:t>
      </w:r>
      <w:r w:rsidRPr="007819DE">
        <w:rPr>
          <w:i/>
          <w:iCs/>
          <w:lang w:val="it-IT"/>
        </w:rPr>
        <w:t>om</w:t>
      </w:r>
      <w:r w:rsidRPr="007819DE">
        <w:rPr>
          <w:lang w:val="it-IT"/>
        </w:rPr>
        <w:t>. A</w:t>
      </w:r>
    </w:p>
  </w:footnote>
  <w:footnote w:id="599">
    <w:p w14:paraId="48F3CA50"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harafam] </w:t>
      </w:r>
      <w:r>
        <w:rPr>
          <w:lang w:val="it-IT"/>
        </w:rPr>
        <w:t xml:space="preserve">hasaram O; </w:t>
      </w:r>
      <w:r w:rsidRPr="00F206C8">
        <w:rPr>
          <w:lang w:val="it-IT"/>
        </w:rPr>
        <w:t>capharam A</w:t>
      </w:r>
    </w:p>
  </w:footnote>
  <w:footnote w:id="600">
    <w:p w14:paraId="4BA54677"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vocatur] vocabitur C; vociforas A</w:t>
      </w:r>
    </w:p>
  </w:footnote>
  <w:footnote w:id="601">
    <w:p w14:paraId="1E8D102F" w14:textId="77777777" w:rsidR="00242EFA" w:rsidRPr="00F206C8" w:rsidRDefault="00242EFA" w:rsidP="00242EFA">
      <w:pPr>
        <w:pStyle w:val="FootnoteText"/>
        <w:ind w:firstLine="0"/>
        <w:rPr>
          <w:lang w:val="fr-FR"/>
        </w:rPr>
      </w:pPr>
      <w:r>
        <w:rPr>
          <w:rStyle w:val="FootnoteReference"/>
        </w:rPr>
        <w:footnoteRef/>
      </w:r>
      <w:r w:rsidRPr="00F206C8">
        <w:rPr>
          <w:lang w:val="fr-FR"/>
        </w:rPr>
        <w:t xml:space="preserve"> hec est] </w:t>
      </w:r>
      <w:r w:rsidRPr="00F206C8">
        <w:rPr>
          <w:i/>
          <w:iCs/>
          <w:lang w:val="fr-FR"/>
        </w:rPr>
        <w:t>om</w:t>
      </w:r>
      <w:r w:rsidRPr="00F206C8">
        <w:rPr>
          <w:lang w:val="fr-FR"/>
        </w:rPr>
        <w:t>. A</w:t>
      </w:r>
    </w:p>
  </w:footnote>
  <w:footnote w:id="602">
    <w:p w14:paraId="24B2A375" w14:textId="77777777" w:rsidR="00242EFA" w:rsidRPr="00F206C8" w:rsidRDefault="00242EFA" w:rsidP="00242EFA">
      <w:pPr>
        <w:pStyle w:val="FootnoteText"/>
        <w:ind w:firstLine="0"/>
        <w:rPr>
          <w:lang w:val="fr-FR"/>
        </w:rPr>
      </w:pPr>
      <w:r>
        <w:rPr>
          <w:rStyle w:val="FootnoteReference"/>
        </w:rPr>
        <w:footnoteRef/>
      </w:r>
      <w:r w:rsidRPr="00F206C8">
        <w:rPr>
          <w:lang w:val="fr-FR"/>
        </w:rPr>
        <w:t xml:space="preserve"> femineis] femininis O</w:t>
      </w:r>
    </w:p>
  </w:footnote>
  <w:footnote w:id="603">
    <w:p w14:paraId="743584CF" w14:textId="77777777" w:rsidR="00242EFA" w:rsidRPr="00F206C8" w:rsidRDefault="00242EFA" w:rsidP="00242EFA">
      <w:pPr>
        <w:pStyle w:val="FootnoteText"/>
        <w:ind w:firstLine="0"/>
        <w:rPr>
          <w:lang w:val="pt-PT"/>
        </w:rPr>
      </w:pPr>
      <w:r>
        <w:rPr>
          <w:rStyle w:val="FootnoteReference"/>
        </w:rPr>
        <w:footnoteRef/>
      </w:r>
      <w:r w:rsidRPr="001F43CA">
        <w:rPr>
          <w:lang w:val="fr-FR"/>
        </w:rPr>
        <w:t xml:space="preserve"> </w:t>
      </w:r>
      <w:r>
        <w:rPr>
          <w:lang w:val="fr-FR"/>
        </w:rPr>
        <w:t>f</w:t>
      </w:r>
      <w:r w:rsidRPr="001F43CA">
        <w:rPr>
          <w:lang w:val="fr-FR"/>
        </w:rPr>
        <w:t>igura solis et pistis occ</w:t>
      </w:r>
      <w:r>
        <w:rPr>
          <w:lang w:val="fr-FR"/>
        </w:rPr>
        <w:t xml:space="preserve">identalis masculina </w:t>
      </w:r>
      <w:r w:rsidRPr="001F43CA">
        <w:rPr>
          <w:i/>
          <w:iCs/>
          <w:lang w:val="fr-FR"/>
        </w:rPr>
        <w:t>add</w:t>
      </w:r>
      <w:r>
        <w:rPr>
          <w:lang w:val="fr-FR"/>
        </w:rPr>
        <w:t xml:space="preserve">. </w:t>
      </w:r>
      <w:r w:rsidRPr="00F206C8">
        <w:rPr>
          <w:lang w:val="pt-PT"/>
        </w:rPr>
        <w:t>A</w:t>
      </w:r>
    </w:p>
  </w:footnote>
  <w:footnote w:id="604">
    <w:p w14:paraId="4434FA13" w14:textId="77777777" w:rsidR="00242EFA" w:rsidRPr="00456AD5" w:rsidRDefault="00242EFA" w:rsidP="00242EFA">
      <w:pPr>
        <w:pStyle w:val="FootnoteText"/>
        <w:ind w:firstLine="0"/>
        <w:rPr>
          <w:lang w:val="pt-PT"/>
        </w:rPr>
      </w:pPr>
      <w:r>
        <w:rPr>
          <w:rStyle w:val="FootnoteReference"/>
        </w:rPr>
        <w:footnoteRef/>
      </w:r>
      <w:r>
        <w:rPr>
          <w:lang w:val="pt-PT"/>
        </w:rPr>
        <w:t xml:space="preserve"> mustanar] muscamar A</w:t>
      </w:r>
    </w:p>
  </w:footnote>
  <w:footnote w:id="605">
    <w:p w14:paraId="3F6A94ED" w14:textId="77777777" w:rsidR="00242EFA" w:rsidRPr="00F3015E" w:rsidRDefault="00242EFA" w:rsidP="00242EFA">
      <w:pPr>
        <w:pStyle w:val="FootnoteText"/>
        <w:ind w:firstLine="0"/>
        <w:rPr>
          <w:lang w:val="fr-FR"/>
        </w:rPr>
      </w:pPr>
      <w:r>
        <w:rPr>
          <w:rStyle w:val="FootnoteReference"/>
        </w:rPr>
        <w:footnoteRef/>
      </w:r>
      <w:r w:rsidRPr="00F3015E">
        <w:rPr>
          <w:lang w:val="fr-FR"/>
        </w:rPr>
        <w:t xml:space="preserve"> </w:t>
      </w:r>
      <w:r>
        <w:rPr>
          <w:lang w:val="fr-FR"/>
        </w:rPr>
        <w:t>i</w:t>
      </w:r>
      <w:r w:rsidRPr="00F3015E">
        <w:rPr>
          <w:lang w:val="fr-FR"/>
        </w:rPr>
        <w:t xml:space="preserve">d est veri] </w:t>
      </w:r>
      <w:r>
        <w:rPr>
          <w:lang w:val="fr-FR"/>
        </w:rPr>
        <w:t>voneri ?</w:t>
      </w:r>
      <w:r w:rsidRPr="00F3015E">
        <w:rPr>
          <w:lang w:val="fr-FR"/>
        </w:rPr>
        <w:t xml:space="preserve"> O; </w:t>
      </w:r>
      <w:r>
        <w:rPr>
          <w:lang w:val="fr-FR"/>
        </w:rPr>
        <w:t>nomer A</w:t>
      </w:r>
    </w:p>
  </w:footnote>
  <w:footnote w:id="606">
    <w:p w14:paraId="76E022C2" w14:textId="77777777" w:rsidR="00242EFA" w:rsidRPr="00E31658" w:rsidRDefault="00242EFA" w:rsidP="00242EFA">
      <w:pPr>
        <w:pStyle w:val="FootnoteText"/>
        <w:ind w:firstLine="0"/>
        <w:rPr>
          <w:lang w:val="fr-FR"/>
        </w:rPr>
      </w:pPr>
      <w:r>
        <w:rPr>
          <w:rStyle w:val="FootnoteReference"/>
        </w:rPr>
        <w:footnoteRef/>
      </w:r>
      <w:r w:rsidRPr="00E31658">
        <w:rPr>
          <w:lang w:val="fr-FR"/>
        </w:rPr>
        <w:t xml:space="preserve"> </w:t>
      </w:r>
      <w:r>
        <w:rPr>
          <w:lang w:val="fr-FR"/>
        </w:rPr>
        <w:t>b</w:t>
      </w:r>
      <w:r w:rsidRPr="00E31658">
        <w:rPr>
          <w:lang w:val="fr-FR"/>
        </w:rPr>
        <w:t>oni et quietis] dicitur b</w:t>
      </w:r>
      <w:r>
        <w:rPr>
          <w:lang w:val="fr-FR"/>
        </w:rPr>
        <w:t>onum et quietis A</w:t>
      </w:r>
    </w:p>
  </w:footnote>
  <w:footnote w:id="607">
    <w:p w14:paraId="0FA26471" w14:textId="77777777" w:rsidR="00242EFA" w:rsidRPr="00B87852" w:rsidRDefault="00242EFA" w:rsidP="00242EFA">
      <w:pPr>
        <w:pStyle w:val="FootnoteText"/>
        <w:ind w:firstLine="0"/>
        <w:rPr>
          <w:lang w:val="pt-PT"/>
        </w:rPr>
      </w:pPr>
      <w:r>
        <w:rPr>
          <w:rStyle w:val="FootnoteReference"/>
        </w:rPr>
        <w:footnoteRef/>
      </w:r>
      <w:r w:rsidRPr="00B87852">
        <w:rPr>
          <w:lang w:val="pt-PT"/>
        </w:rPr>
        <w:t xml:space="preserve"> hoc modo formatur] hoc modo formatum O; </w:t>
      </w:r>
      <w:r w:rsidRPr="00B87852">
        <w:rPr>
          <w:i/>
          <w:iCs/>
          <w:lang w:val="pt-PT"/>
        </w:rPr>
        <w:t>om</w:t>
      </w:r>
      <w:r w:rsidRPr="00B87852">
        <w:rPr>
          <w:lang w:val="pt-PT"/>
        </w:rPr>
        <w:t>. A</w:t>
      </w:r>
    </w:p>
  </w:footnote>
  <w:footnote w:id="608">
    <w:p w14:paraId="63F3EF2F" w14:textId="77777777" w:rsidR="00242EFA" w:rsidRPr="00B87852" w:rsidRDefault="00242EFA" w:rsidP="00242EFA">
      <w:pPr>
        <w:pStyle w:val="FootnoteText"/>
        <w:ind w:firstLine="0"/>
        <w:rPr>
          <w:lang w:val="pt-PT"/>
        </w:rPr>
      </w:pPr>
      <w:r>
        <w:rPr>
          <w:rStyle w:val="FootnoteReference"/>
        </w:rPr>
        <w:footnoteRef/>
      </w:r>
      <w:r w:rsidRPr="00B87852">
        <w:rPr>
          <w:lang w:val="pt-PT"/>
        </w:rPr>
        <w:t xml:space="preserve"> </w:t>
      </w:r>
      <w:r>
        <w:rPr>
          <w:lang w:val="pt-PT"/>
        </w:rPr>
        <w:t>quod] que A</w:t>
      </w:r>
    </w:p>
  </w:footnote>
  <w:footnote w:id="609">
    <w:p w14:paraId="202BB764" w14:textId="77777777" w:rsidR="00242EFA" w:rsidRPr="00321FD0" w:rsidRDefault="00242EFA" w:rsidP="00242EFA">
      <w:pPr>
        <w:pStyle w:val="FootnoteText"/>
        <w:ind w:firstLine="0"/>
        <w:rPr>
          <w:lang w:val="pt-PT"/>
        </w:rPr>
      </w:pPr>
      <w:r>
        <w:rPr>
          <w:rStyle w:val="FootnoteReference"/>
        </w:rPr>
        <w:footnoteRef/>
      </w:r>
      <w:r w:rsidRPr="00321FD0">
        <w:rPr>
          <w:lang w:val="pt-PT"/>
        </w:rPr>
        <w:t xml:space="preserve"> </w:t>
      </w:r>
      <w:r>
        <w:rPr>
          <w:lang w:val="pt-PT"/>
        </w:rPr>
        <w:t>vel] et A</w:t>
      </w:r>
    </w:p>
  </w:footnote>
  <w:footnote w:id="610">
    <w:p w14:paraId="48273E96" w14:textId="77777777" w:rsidR="00242EFA" w:rsidRPr="00E1204E" w:rsidRDefault="00242EFA" w:rsidP="00242EFA">
      <w:pPr>
        <w:pStyle w:val="FootnoteText"/>
        <w:ind w:firstLine="0"/>
        <w:rPr>
          <w:lang w:val="pt-PT"/>
        </w:rPr>
      </w:pPr>
      <w:r>
        <w:rPr>
          <w:rStyle w:val="FootnoteReference"/>
        </w:rPr>
        <w:footnoteRef/>
      </w:r>
      <w:r w:rsidRPr="00E1204E">
        <w:rPr>
          <w:lang w:val="pt-PT"/>
        </w:rPr>
        <w:t xml:space="preserve"> </w:t>
      </w:r>
      <w:r>
        <w:rPr>
          <w:lang w:val="pt-PT"/>
        </w:rPr>
        <w:t>evenerit] contingerit A</w:t>
      </w:r>
    </w:p>
  </w:footnote>
  <w:footnote w:id="611">
    <w:p w14:paraId="2498D05E" w14:textId="77777777" w:rsidR="00242EFA" w:rsidRPr="008E78E9" w:rsidRDefault="00242EFA" w:rsidP="00242EFA">
      <w:pPr>
        <w:pStyle w:val="FootnoteText"/>
        <w:ind w:firstLine="0"/>
        <w:rPr>
          <w:lang w:val="pt-PT"/>
        </w:rPr>
      </w:pPr>
      <w:r>
        <w:rPr>
          <w:rStyle w:val="FootnoteReference"/>
        </w:rPr>
        <w:footnoteRef/>
      </w:r>
      <w:r w:rsidRPr="008E78E9">
        <w:rPr>
          <w:lang w:val="pt-PT"/>
        </w:rPr>
        <w:t xml:space="preserve"> </w:t>
      </w:r>
      <w:r>
        <w:rPr>
          <w:lang w:val="pt-PT"/>
        </w:rPr>
        <w:t>huius] cuius A</w:t>
      </w:r>
    </w:p>
  </w:footnote>
  <w:footnote w:id="612">
    <w:p w14:paraId="157E71C1"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 xml:space="preserve">huius itineris] </w:t>
      </w:r>
      <w:r w:rsidRPr="00456AD5">
        <w:rPr>
          <w:lang w:val="pt-PT"/>
        </w:rPr>
        <w:t>huius circulis</w:t>
      </w:r>
      <w:r>
        <w:rPr>
          <w:lang w:val="pt-PT"/>
        </w:rPr>
        <w:t xml:space="preserve"> O</w:t>
      </w:r>
    </w:p>
  </w:footnote>
  <w:footnote w:id="613">
    <w:p w14:paraId="2EDEB728" w14:textId="77777777" w:rsidR="00242EFA" w:rsidRPr="00AD4D97" w:rsidRDefault="00242EFA" w:rsidP="00242EFA">
      <w:pPr>
        <w:pStyle w:val="FootnoteText"/>
        <w:ind w:firstLine="0"/>
        <w:rPr>
          <w:lang w:val="pt-PT"/>
        </w:rPr>
      </w:pPr>
      <w:r>
        <w:rPr>
          <w:rStyle w:val="FootnoteReference"/>
        </w:rPr>
        <w:footnoteRef/>
      </w:r>
      <w:r w:rsidRPr="00AD4D97">
        <w:rPr>
          <w:lang w:val="pt-PT"/>
        </w:rPr>
        <w:t xml:space="preserve"> indicabit] anunciabit A; figura mercurii et tauri in orientalis masculina </w:t>
      </w:r>
      <w:r w:rsidRPr="00AD4D97">
        <w:rPr>
          <w:i/>
          <w:iCs/>
          <w:lang w:val="pt-PT"/>
        </w:rPr>
        <w:t>add</w:t>
      </w:r>
      <w:r w:rsidRPr="00AD4D97">
        <w:rPr>
          <w:lang w:val="pt-PT"/>
        </w:rPr>
        <w:t>. A</w:t>
      </w:r>
    </w:p>
  </w:footnote>
  <w:footnote w:id="614">
    <w:p w14:paraId="31253C4B" w14:textId="77777777" w:rsidR="00242EFA" w:rsidRPr="00AD4D97" w:rsidRDefault="00242EFA" w:rsidP="00242EFA">
      <w:pPr>
        <w:pStyle w:val="FootnoteText"/>
        <w:ind w:firstLine="0"/>
        <w:rPr>
          <w:lang w:val="pt-PT"/>
        </w:rPr>
      </w:pPr>
      <w:r>
        <w:rPr>
          <w:rStyle w:val="FootnoteReference"/>
        </w:rPr>
        <w:footnoteRef/>
      </w:r>
      <w:r>
        <w:rPr>
          <w:lang w:val="pt-PT"/>
        </w:rPr>
        <w:t xml:space="preserve"> </w:t>
      </w:r>
      <w:r w:rsidRPr="00AD4D97">
        <w:rPr>
          <w:lang w:val="pt-PT"/>
        </w:rPr>
        <w:t>almast] almasti O; n</w:t>
      </w:r>
      <w:r>
        <w:rPr>
          <w:lang w:val="pt-PT"/>
        </w:rPr>
        <w:t>omen alicismat A</w:t>
      </w:r>
    </w:p>
  </w:footnote>
  <w:footnote w:id="615">
    <w:p w14:paraId="7C86DD03" w14:textId="77777777" w:rsidR="00242EFA" w:rsidRPr="00AD4D97" w:rsidRDefault="00242EFA" w:rsidP="00242EFA">
      <w:pPr>
        <w:pStyle w:val="FootnoteText"/>
        <w:ind w:firstLine="0"/>
        <w:rPr>
          <w:lang w:val="pt-PT"/>
        </w:rPr>
      </w:pPr>
      <w:r>
        <w:rPr>
          <w:rStyle w:val="FootnoteReference"/>
        </w:rPr>
        <w:footnoteRef/>
      </w:r>
      <w:r w:rsidRPr="00AD4D97">
        <w:rPr>
          <w:lang w:val="pt-PT"/>
        </w:rPr>
        <w:t xml:space="preserve"> </w:t>
      </w:r>
      <w:r>
        <w:rPr>
          <w:lang w:val="pt-PT"/>
        </w:rPr>
        <w:t>taliter] con. A</w:t>
      </w:r>
    </w:p>
  </w:footnote>
  <w:footnote w:id="616">
    <w:p w14:paraId="5CD9BF23" w14:textId="77777777" w:rsidR="00242EFA" w:rsidRPr="009D7F6F" w:rsidRDefault="00242EFA" w:rsidP="00242EFA">
      <w:pPr>
        <w:pStyle w:val="FootnoteText"/>
        <w:ind w:firstLine="0"/>
        <w:rPr>
          <w:lang w:val="pt-PT"/>
        </w:rPr>
      </w:pPr>
      <w:r>
        <w:rPr>
          <w:rStyle w:val="FootnoteReference"/>
        </w:rPr>
        <w:footnoteRef/>
      </w:r>
      <w:r w:rsidRPr="009D7F6F">
        <w:rPr>
          <w:lang w:val="pt-PT"/>
        </w:rPr>
        <w:t xml:space="preserve"> </w:t>
      </w:r>
      <w:r>
        <w:rPr>
          <w:lang w:val="pt-PT"/>
        </w:rPr>
        <w:t>a</w:t>
      </w:r>
      <w:r w:rsidRPr="009D7F6F">
        <w:rPr>
          <w:lang w:val="pt-PT"/>
        </w:rPr>
        <w:t>u</w:t>
      </w:r>
      <w:r>
        <w:rPr>
          <w:lang w:val="pt-PT"/>
        </w:rPr>
        <w:t xml:space="preserve">tem] </w:t>
      </w:r>
      <w:r w:rsidRPr="009D7F6F">
        <w:rPr>
          <w:i/>
          <w:iCs/>
          <w:lang w:val="pt-PT"/>
        </w:rPr>
        <w:t>om</w:t>
      </w:r>
      <w:r>
        <w:rPr>
          <w:lang w:val="pt-PT"/>
        </w:rPr>
        <w:t>. A</w:t>
      </w:r>
    </w:p>
  </w:footnote>
  <w:footnote w:id="617">
    <w:p w14:paraId="28869615" w14:textId="77777777" w:rsidR="00242EFA" w:rsidRPr="000E5F7E" w:rsidRDefault="00242EFA" w:rsidP="00242EFA">
      <w:pPr>
        <w:pStyle w:val="FootnoteText"/>
        <w:ind w:firstLine="0"/>
        <w:rPr>
          <w:lang w:val="pt-PT"/>
        </w:rPr>
      </w:pPr>
      <w:r>
        <w:rPr>
          <w:rStyle w:val="FootnoteReference"/>
        </w:rPr>
        <w:footnoteRef/>
      </w:r>
      <w:r w:rsidRPr="000E5F7E">
        <w:rPr>
          <w:lang w:val="pt-PT"/>
        </w:rPr>
        <w:t xml:space="preserve"> </w:t>
      </w:r>
      <w:r>
        <w:rPr>
          <w:lang w:val="pt-PT"/>
        </w:rPr>
        <w:t>hec] bis A</w:t>
      </w:r>
    </w:p>
  </w:footnote>
  <w:footnote w:id="618">
    <w:p w14:paraId="4E385A7A" w14:textId="77777777" w:rsidR="00242EFA" w:rsidRDefault="00242EFA" w:rsidP="00242EFA">
      <w:pPr>
        <w:pStyle w:val="FootnoteText"/>
        <w:ind w:firstLine="0"/>
      </w:pPr>
      <w:r>
        <w:rPr>
          <w:rStyle w:val="FootnoteReference"/>
        </w:rPr>
        <w:footnoteRef/>
      </w:r>
      <w:r>
        <w:t xml:space="preserve"> </w:t>
      </w:r>
      <w:r w:rsidRPr="00845E62">
        <w:rPr>
          <w:lang w:val="pt-PT"/>
        </w:rPr>
        <w:t>significat.</w:t>
      </w:r>
      <w:r>
        <w:rPr>
          <w:lang w:val="pt-PT"/>
        </w:rPr>
        <w:t xml:space="preserve"> </w:t>
      </w:r>
      <w:r w:rsidRPr="00845E62">
        <w:rPr>
          <w:lang w:val="pt-PT"/>
        </w:rPr>
        <w:t>Cumque in eadem questione hec</w:t>
      </w:r>
      <w:r>
        <w:rPr>
          <w:rStyle w:val="FootnoteReference"/>
          <w:lang w:val="pt-PT"/>
        </w:rPr>
        <w:footnoteRef/>
      </w:r>
      <w:r w:rsidRPr="00845E62">
        <w:rPr>
          <w:lang w:val="pt-PT"/>
        </w:rPr>
        <w:t xml:space="preserve"> appar</w:t>
      </w:r>
      <w:r>
        <w:rPr>
          <w:lang w:val="pt-PT"/>
        </w:rPr>
        <w:t>u</w:t>
      </w:r>
      <w:r w:rsidRPr="00845E62">
        <w:rPr>
          <w:lang w:val="pt-PT"/>
        </w:rPr>
        <w:t>erit, coadunationem</w:t>
      </w:r>
      <w:r>
        <w:rPr>
          <w:lang w:val="pt-PT"/>
        </w:rPr>
        <w:t xml:space="preserve">] </w:t>
      </w:r>
      <w:r w:rsidRPr="00E80B2A">
        <w:rPr>
          <w:i/>
          <w:iCs/>
          <w:lang w:val="pt-PT"/>
        </w:rPr>
        <w:t>om</w:t>
      </w:r>
      <w:r>
        <w:rPr>
          <w:lang w:val="pt-PT"/>
        </w:rPr>
        <w:t>. O</w:t>
      </w:r>
    </w:p>
  </w:footnote>
  <w:footnote w:id="619">
    <w:p w14:paraId="62F3D2A9" w14:textId="77777777" w:rsidR="00242EFA" w:rsidRPr="00A9300C" w:rsidRDefault="00242EFA" w:rsidP="00242EFA">
      <w:pPr>
        <w:pStyle w:val="FootnoteText"/>
        <w:ind w:firstLine="0"/>
        <w:rPr>
          <w:lang w:val="pt-PT"/>
        </w:rPr>
      </w:pPr>
      <w:r>
        <w:rPr>
          <w:rStyle w:val="FootnoteReference"/>
        </w:rPr>
        <w:footnoteRef/>
      </w:r>
      <w:r w:rsidRPr="00A9300C">
        <w:rPr>
          <w:lang w:val="pt-PT"/>
        </w:rPr>
        <w:t xml:space="preserve"> </w:t>
      </w:r>
      <w:r>
        <w:rPr>
          <w:lang w:val="pt-PT"/>
        </w:rPr>
        <w:t>et]</w:t>
      </w:r>
      <w:r w:rsidRPr="00A9300C">
        <w:rPr>
          <w:lang w:val="pt-PT"/>
        </w:rPr>
        <w:t xml:space="preserve"> vel</w:t>
      </w:r>
      <w:r>
        <w:rPr>
          <w:lang w:val="pt-PT"/>
        </w:rPr>
        <w:t xml:space="preserve"> O</w:t>
      </w:r>
    </w:p>
  </w:footnote>
  <w:footnote w:id="620">
    <w:p w14:paraId="3EE57D27" w14:textId="77777777" w:rsidR="00242EFA" w:rsidRPr="0094173F" w:rsidRDefault="00242EFA" w:rsidP="00242EFA">
      <w:pPr>
        <w:pStyle w:val="FootnoteText"/>
        <w:ind w:firstLine="0"/>
        <w:rPr>
          <w:lang w:val="pt-PT"/>
        </w:rPr>
      </w:pPr>
      <w:r>
        <w:rPr>
          <w:rStyle w:val="FootnoteReference"/>
        </w:rPr>
        <w:footnoteRef/>
      </w:r>
      <w:r w:rsidRPr="0094173F">
        <w:rPr>
          <w:lang w:val="pt-PT"/>
        </w:rPr>
        <w:t xml:space="preserve"> </w:t>
      </w:r>
      <w:r>
        <w:rPr>
          <w:lang w:val="pt-PT"/>
        </w:rPr>
        <w:t>et tentoria] temporique quoque A</w:t>
      </w:r>
    </w:p>
  </w:footnote>
  <w:footnote w:id="621">
    <w:p w14:paraId="04FF2042" w14:textId="77777777" w:rsidR="00242EFA" w:rsidRPr="00366873" w:rsidRDefault="00242EFA" w:rsidP="00242EFA">
      <w:pPr>
        <w:pStyle w:val="FootnoteText"/>
        <w:ind w:firstLine="0"/>
        <w:rPr>
          <w:lang w:val="pt-PT"/>
        </w:rPr>
      </w:pPr>
      <w:r>
        <w:rPr>
          <w:rStyle w:val="FootnoteReference"/>
        </w:rPr>
        <w:footnoteRef/>
      </w:r>
      <w:r w:rsidRPr="00366873">
        <w:rPr>
          <w:lang w:val="pt-PT"/>
        </w:rPr>
        <w:t xml:space="preserve"> </w:t>
      </w:r>
      <w:r>
        <w:rPr>
          <w:lang w:val="pt-PT"/>
        </w:rPr>
        <w:t xml:space="preserve">figura iovis, arietis, orientalis, masculina </w:t>
      </w:r>
      <w:r w:rsidRPr="00366873">
        <w:rPr>
          <w:i/>
          <w:iCs/>
          <w:lang w:val="pt-PT"/>
        </w:rPr>
        <w:t>add</w:t>
      </w:r>
      <w:r>
        <w:rPr>
          <w:lang w:val="pt-PT"/>
        </w:rPr>
        <w:t>. A</w:t>
      </w:r>
    </w:p>
  </w:footnote>
  <w:footnote w:id="622">
    <w:p w14:paraId="4A852458"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althandhe] alchalde A</w:t>
      </w:r>
    </w:p>
  </w:footnote>
  <w:footnote w:id="623">
    <w:p w14:paraId="70D02FCA"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preceptor] acceptio A</w:t>
      </w:r>
    </w:p>
  </w:footnote>
  <w:footnote w:id="624">
    <w:p w14:paraId="7DC640D4"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hec acceptationem] hec autem aquisitionem A</w:t>
      </w:r>
    </w:p>
  </w:footnote>
  <w:footnote w:id="625">
    <w:p w14:paraId="39B20D50" w14:textId="77777777" w:rsidR="00242EFA" w:rsidRPr="003C240A" w:rsidRDefault="00242EFA" w:rsidP="00242EFA">
      <w:pPr>
        <w:pStyle w:val="FootnoteText"/>
        <w:ind w:firstLine="0"/>
        <w:rPr>
          <w:lang w:val="pt-PT"/>
        </w:rPr>
      </w:pPr>
      <w:r>
        <w:rPr>
          <w:rStyle w:val="FootnoteReference"/>
        </w:rPr>
        <w:footnoteRef/>
      </w:r>
      <w:r w:rsidRPr="003C240A">
        <w:rPr>
          <w:lang w:val="pt-PT"/>
        </w:rPr>
        <w:t xml:space="preserve"> negotii] negociis C</w:t>
      </w:r>
    </w:p>
  </w:footnote>
  <w:footnote w:id="626">
    <w:p w14:paraId="7EB5791F" w14:textId="77777777" w:rsidR="00242EFA" w:rsidRPr="003C240A" w:rsidRDefault="00242EFA" w:rsidP="00242EFA">
      <w:pPr>
        <w:pStyle w:val="FootnoteText"/>
        <w:ind w:firstLine="0"/>
        <w:rPr>
          <w:lang w:val="pt-PT"/>
        </w:rPr>
      </w:pPr>
      <w:r>
        <w:rPr>
          <w:rStyle w:val="FootnoteReference"/>
        </w:rPr>
        <w:footnoteRef/>
      </w:r>
      <w:r w:rsidRPr="00F206C8">
        <w:rPr>
          <w:lang w:val="fr-FR"/>
        </w:rPr>
        <w:t xml:space="preserve"> figura veneris et libre, septentrionis, masculina </w:t>
      </w:r>
      <w:r w:rsidRPr="00F206C8">
        <w:rPr>
          <w:i/>
          <w:iCs/>
          <w:lang w:val="fr-FR"/>
        </w:rPr>
        <w:t>add</w:t>
      </w:r>
      <w:r w:rsidRPr="00F206C8">
        <w:rPr>
          <w:lang w:val="fr-FR"/>
        </w:rPr>
        <w:t xml:space="preserve">. </w:t>
      </w:r>
      <w:r w:rsidRPr="003C240A">
        <w:rPr>
          <w:lang w:val="pt-PT"/>
        </w:rPr>
        <w:t>A</w:t>
      </w:r>
    </w:p>
  </w:footnote>
  <w:footnote w:id="627">
    <w:p w14:paraId="12F489E8"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quam alveste] quam a</w:t>
      </w:r>
      <w:r w:rsidRPr="00456AD5">
        <w:rPr>
          <w:lang w:val="pt-PT"/>
        </w:rPr>
        <w:t>l</w:t>
      </w:r>
      <w:r>
        <w:rPr>
          <w:lang w:val="pt-PT"/>
        </w:rPr>
        <w:t>vestem O; que dicitur altiesceni A</w:t>
      </w:r>
    </w:p>
  </w:footnote>
  <w:footnote w:id="628">
    <w:p w14:paraId="4A5B55A2"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melioratorem] melioratio A</w:t>
      </w:r>
    </w:p>
  </w:footnote>
  <w:footnote w:id="629">
    <w:p w14:paraId="2CF10537" w14:textId="77777777" w:rsidR="00242EFA" w:rsidRPr="008A4D3C" w:rsidRDefault="00242EFA" w:rsidP="00242EFA">
      <w:pPr>
        <w:pStyle w:val="FootnoteText"/>
        <w:ind w:firstLine="0"/>
        <w:rPr>
          <w:lang w:val="pt-PT"/>
        </w:rPr>
      </w:pPr>
      <w:r>
        <w:rPr>
          <w:rStyle w:val="FootnoteReference"/>
        </w:rPr>
        <w:footnoteRef/>
      </w:r>
      <w:r w:rsidRPr="00F206C8">
        <w:rPr>
          <w:lang w:val="it-IT"/>
        </w:rPr>
        <w:t xml:space="preserve"> dicunt] </w:t>
      </w:r>
      <w:r w:rsidRPr="00F206C8">
        <w:rPr>
          <w:i/>
          <w:iCs/>
          <w:lang w:val="it-IT"/>
        </w:rPr>
        <w:t>om</w:t>
      </w:r>
      <w:r w:rsidRPr="00F206C8">
        <w:rPr>
          <w:lang w:val="it-IT"/>
        </w:rPr>
        <w:t xml:space="preserve">. </w:t>
      </w:r>
      <w:r>
        <w:rPr>
          <w:lang w:val="pt-PT"/>
        </w:rPr>
        <w:t>A</w:t>
      </w:r>
    </w:p>
  </w:footnote>
  <w:footnote w:id="630">
    <w:p w14:paraId="3561CEE5" w14:textId="77777777" w:rsidR="00242EFA" w:rsidRPr="00456AD5" w:rsidRDefault="00242EFA" w:rsidP="00242EFA">
      <w:pPr>
        <w:pStyle w:val="FootnoteText"/>
        <w:ind w:firstLine="0"/>
        <w:rPr>
          <w:lang w:val="pt-PT"/>
        </w:rPr>
      </w:pPr>
      <w:r>
        <w:rPr>
          <w:rStyle w:val="FootnoteReference"/>
        </w:rPr>
        <w:footnoteRef/>
      </w:r>
      <w:r w:rsidRPr="00456AD5">
        <w:rPr>
          <w:lang w:val="pt-PT"/>
        </w:rPr>
        <w:t xml:space="preserve"> </w:t>
      </w:r>
      <w:r>
        <w:rPr>
          <w:lang w:val="pt-PT"/>
        </w:rPr>
        <w:t>h</w:t>
      </w:r>
      <w:r w:rsidRPr="00456AD5">
        <w:rPr>
          <w:lang w:val="pt-PT"/>
        </w:rPr>
        <w:t>abet formam</w:t>
      </w:r>
      <w:r>
        <w:rPr>
          <w:lang w:val="pt-PT"/>
        </w:rPr>
        <w:t>]</w:t>
      </w:r>
      <w:r w:rsidRPr="00456AD5">
        <w:rPr>
          <w:lang w:val="pt-PT"/>
        </w:rPr>
        <w:t xml:space="preserve"> huius fortunam</w:t>
      </w:r>
      <w:r>
        <w:rPr>
          <w:lang w:val="pt-PT"/>
        </w:rPr>
        <w:t xml:space="preserve"> O; hec formam A</w:t>
      </w:r>
    </w:p>
  </w:footnote>
  <w:footnote w:id="631">
    <w:p w14:paraId="044AFEB6" w14:textId="77777777" w:rsidR="00242EFA" w:rsidRPr="00F206C8" w:rsidRDefault="00242EFA" w:rsidP="00242EFA">
      <w:pPr>
        <w:pStyle w:val="FootnoteText"/>
        <w:ind w:firstLine="0"/>
        <w:rPr>
          <w:lang w:val="pt-PT"/>
        </w:rPr>
      </w:pPr>
      <w:r>
        <w:rPr>
          <w:rStyle w:val="FootnoteReference"/>
        </w:rPr>
        <w:footnoteRef/>
      </w:r>
      <w:r w:rsidRPr="00361169">
        <w:rPr>
          <w:lang w:val="it-IT"/>
        </w:rPr>
        <w:t xml:space="preserve"> </w:t>
      </w:r>
      <w:r>
        <w:rPr>
          <w:lang w:val="it-IT"/>
        </w:rPr>
        <w:t>n</w:t>
      </w:r>
      <w:r w:rsidRPr="00361169">
        <w:rPr>
          <w:lang w:val="it-IT"/>
        </w:rPr>
        <w:t xml:space="preserve">on pertinet] non pertinenti O; </w:t>
      </w:r>
      <w:r w:rsidRPr="00361169">
        <w:rPr>
          <w:i/>
          <w:iCs/>
          <w:lang w:val="it-IT"/>
        </w:rPr>
        <w:t>om</w:t>
      </w:r>
      <w:r>
        <w:rPr>
          <w:lang w:val="it-IT"/>
        </w:rPr>
        <w:t xml:space="preserve">. </w:t>
      </w:r>
      <w:r w:rsidRPr="00F206C8">
        <w:rPr>
          <w:lang w:val="pt-PT"/>
        </w:rPr>
        <w:t>A</w:t>
      </w:r>
    </w:p>
  </w:footnote>
  <w:footnote w:id="632">
    <w:p w14:paraId="4C1A4596"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regnum]</w:t>
      </w:r>
      <w:r w:rsidRPr="00BE5145">
        <w:rPr>
          <w:lang w:val="pt-PT"/>
        </w:rPr>
        <w:t xml:space="preserve"> </w:t>
      </w:r>
      <w:r>
        <w:rPr>
          <w:lang w:val="pt-PT"/>
        </w:rPr>
        <w:t>regimen O</w:t>
      </w:r>
    </w:p>
  </w:footnote>
  <w:footnote w:id="633">
    <w:p w14:paraId="26EC718C"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et] ac A</w:t>
      </w:r>
    </w:p>
  </w:footnote>
  <w:footnote w:id="634">
    <w:p w14:paraId="57CCCA78"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exaltationem] exultationes A</w:t>
      </w:r>
    </w:p>
  </w:footnote>
  <w:footnote w:id="635">
    <w:p w14:paraId="668049CA"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summumque] summum C</w:t>
      </w:r>
    </w:p>
  </w:footnote>
  <w:footnote w:id="636">
    <w:p w14:paraId="629BAF4F"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questionem] questioni C</w:t>
      </w:r>
    </w:p>
  </w:footnote>
  <w:footnote w:id="637">
    <w:p w14:paraId="09A15D3E" w14:textId="77777777" w:rsidR="00242EFA" w:rsidRPr="00172974" w:rsidRDefault="00242EFA" w:rsidP="00242EFA">
      <w:pPr>
        <w:pStyle w:val="FootnoteText"/>
        <w:ind w:firstLine="0"/>
        <w:rPr>
          <w:lang w:val="pt-PT"/>
        </w:rPr>
      </w:pPr>
      <w:r>
        <w:rPr>
          <w:rStyle w:val="FootnoteReference"/>
        </w:rPr>
        <w:footnoteRef/>
      </w:r>
      <w:r w:rsidRPr="00172974">
        <w:rPr>
          <w:lang w:val="pt-PT"/>
        </w:rPr>
        <w:t xml:space="preserve"> ipsum] ipsam A</w:t>
      </w:r>
    </w:p>
  </w:footnote>
  <w:footnote w:id="638">
    <w:p w14:paraId="0E82CA73"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pertinet] pertinenti O</w:t>
      </w:r>
    </w:p>
  </w:footnote>
  <w:footnote w:id="639">
    <w:p w14:paraId="4A9D56B9"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nullum… presigrabit] </w:t>
      </w:r>
      <w:r w:rsidRPr="00F206C8">
        <w:rPr>
          <w:i/>
          <w:iCs/>
          <w:lang w:val="it-IT"/>
        </w:rPr>
        <w:t>om</w:t>
      </w:r>
      <w:r w:rsidRPr="00F206C8">
        <w:rPr>
          <w:lang w:val="it-IT"/>
        </w:rPr>
        <w:t xml:space="preserve">. O; figura saturni et scorpionis, septentrionalis, feminina </w:t>
      </w:r>
      <w:r w:rsidRPr="00F206C8">
        <w:rPr>
          <w:i/>
          <w:iCs/>
          <w:lang w:val="it-IT"/>
        </w:rPr>
        <w:t>add</w:t>
      </w:r>
      <w:r w:rsidRPr="00F206C8">
        <w:rPr>
          <w:lang w:val="it-IT"/>
        </w:rPr>
        <w:t>. A</w:t>
      </w:r>
    </w:p>
  </w:footnote>
  <w:footnote w:id="640">
    <w:p w14:paraId="1114D2D9"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quam almattati vocant]  que almetracia A</w:t>
      </w:r>
    </w:p>
  </w:footnote>
  <w:footnote w:id="641">
    <w:p w14:paraId="66E987ED"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declinatio] declinando O</w:t>
      </w:r>
    </w:p>
  </w:footnote>
  <w:footnote w:id="642">
    <w:p w14:paraId="281078AC" w14:textId="77777777" w:rsidR="00242EFA" w:rsidRPr="00F206C8" w:rsidRDefault="00242EFA" w:rsidP="00242EFA">
      <w:pPr>
        <w:pStyle w:val="FootnoteText"/>
        <w:ind w:firstLine="0"/>
        <w:rPr>
          <w:lang w:val="it-IT"/>
        </w:rPr>
      </w:pPr>
      <w:r>
        <w:rPr>
          <w:rStyle w:val="FootnoteReference"/>
        </w:rPr>
        <w:footnoteRef/>
      </w:r>
      <w:r w:rsidRPr="00F206C8">
        <w:rPr>
          <w:lang w:val="it-IT"/>
        </w:rPr>
        <w:t xml:space="preserve"> hec est] nuncupatur hec est A</w:t>
      </w:r>
    </w:p>
  </w:footnote>
  <w:footnote w:id="643">
    <w:p w14:paraId="1AF235B4" w14:textId="77777777" w:rsidR="00242EFA" w:rsidRPr="000C622F" w:rsidRDefault="00242EFA" w:rsidP="00242EFA">
      <w:pPr>
        <w:pStyle w:val="FootnoteText"/>
        <w:ind w:firstLine="0"/>
        <w:rPr>
          <w:lang w:val="pt-PT"/>
        </w:rPr>
      </w:pPr>
      <w:r>
        <w:rPr>
          <w:rStyle w:val="FootnoteReference"/>
        </w:rPr>
        <w:footnoteRef/>
      </w:r>
      <w:r w:rsidRPr="000C622F">
        <w:rPr>
          <w:lang w:val="pt-PT"/>
        </w:rPr>
        <w:t xml:space="preserve"> </w:t>
      </w:r>
      <w:r>
        <w:rPr>
          <w:lang w:val="pt-PT"/>
        </w:rPr>
        <w:t>h</w:t>
      </w:r>
      <w:r w:rsidRPr="000C622F">
        <w:rPr>
          <w:lang w:val="pt-PT"/>
        </w:rPr>
        <w:t>uius] cuius A</w:t>
      </w:r>
    </w:p>
  </w:footnote>
  <w:footnote w:id="644">
    <w:p w14:paraId="5902FE59"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 xml:space="preserve">que] </w:t>
      </w:r>
      <w:r w:rsidRPr="00BE5145">
        <w:rPr>
          <w:lang w:val="pt-PT"/>
        </w:rPr>
        <w:t>qui</w:t>
      </w:r>
      <w:r>
        <w:rPr>
          <w:lang w:val="pt-PT"/>
        </w:rPr>
        <w:t xml:space="preserve"> O</w:t>
      </w:r>
    </w:p>
  </w:footnote>
  <w:footnote w:id="645">
    <w:p w14:paraId="62E492DE" w14:textId="77777777" w:rsidR="00242EFA" w:rsidRPr="00BD4585" w:rsidRDefault="00242EFA" w:rsidP="00242EFA">
      <w:pPr>
        <w:pStyle w:val="FootnoteText"/>
        <w:ind w:firstLine="0"/>
        <w:rPr>
          <w:lang w:val="pt-PT"/>
        </w:rPr>
      </w:pPr>
      <w:r>
        <w:rPr>
          <w:rStyle w:val="FootnoteReference"/>
        </w:rPr>
        <w:footnoteRef/>
      </w:r>
      <w:r w:rsidRPr="00BD4585">
        <w:rPr>
          <w:lang w:val="pt-PT"/>
        </w:rPr>
        <w:t xml:space="preserve"> </w:t>
      </w:r>
      <w:r>
        <w:rPr>
          <w:lang w:val="pt-PT"/>
        </w:rPr>
        <w:t>a</w:t>
      </w:r>
      <w:r w:rsidRPr="00BD4585">
        <w:rPr>
          <w:lang w:val="pt-PT"/>
        </w:rPr>
        <w:t xml:space="preserve">b] </w:t>
      </w:r>
      <w:r w:rsidRPr="00BD4585">
        <w:rPr>
          <w:i/>
          <w:iCs/>
          <w:lang w:val="pt-PT"/>
        </w:rPr>
        <w:t>om</w:t>
      </w:r>
      <w:r w:rsidRPr="00BD4585">
        <w:rPr>
          <w:lang w:val="pt-PT"/>
        </w:rPr>
        <w:t>. A</w:t>
      </w:r>
    </w:p>
  </w:footnote>
  <w:footnote w:id="646">
    <w:p w14:paraId="75E3361F" w14:textId="77777777" w:rsidR="00242EFA" w:rsidRPr="00F206C8" w:rsidRDefault="00242EFA" w:rsidP="00242EFA">
      <w:pPr>
        <w:pStyle w:val="FootnoteText"/>
        <w:ind w:firstLine="0"/>
        <w:rPr>
          <w:lang w:val="pt-PT"/>
        </w:rPr>
      </w:pPr>
      <w:r>
        <w:rPr>
          <w:rStyle w:val="FootnoteReference"/>
        </w:rPr>
        <w:footnoteRef/>
      </w:r>
      <w:r w:rsidRPr="00F206C8">
        <w:rPr>
          <w:lang w:val="pt-PT"/>
        </w:rPr>
        <w:t xml:space="preserve"> differunt] deferint O</w:t>
      </w:r>
    </w:p>
  </w:footnote>
  <w:footnote w:id="647">
    <w:p w14:paraId="28A03D8C" w14:textId="77777777" w:rsidR="00242EFA" w:rsidRPr="00F206C8" w:rsidRDefault="00242EFA" w:rsidP="00242EFA">
      <w:pPr>
        <w:pStyle w:val="FootnoteText"/>
        <w:ind w:firstLine="0"/>
        <w:rPr>
          <w:lang w:val="it-IT"/>
        </w:rPr>
      </w:pPr>
      <w:r>
        <w:rPr>
          <w:rStyle w:val="FootnoteReference"/>
        </w:rPr>
        <w:footnoteRef/>
      </w:r>
      <w:r w:rsidRPr="009C1260">
        <w:rPr>
          <w:lang w:val="pt-PT"/>
        </w:rPr>
        <w:t xml:space="preserve"> etiam] est O</w:t>
      </w:r>
      <w:r>
        <w:rPr>
          <w:lang w:val="pt-PT"/>
        </w:rPr>
        <w:t xml:space="preserve">; </w:t>
      </w:r>
      <w:r w:rsidRPr="009C1260">
        <w:rPr>
          <w:i/>
          <w:iCs/>
          <w:lang w:val="pt-PT"/>
        </w:rPr>
        <w:t>om</w:t>
      </w:r>
      <w:r>
        <w:rPr>
          <w:lang w:val="pt-PT"/>
        </w:rPr>
        <w:t xml:space="preserve">. </w:t>
      </w:r>
      <w:r w:rsidRPr="00F206C8">
        <w:rPr>
          <w:lang w:val="it-IT"/>
        </w:rPr>
        <w:t>A</w:t>
      </w:r>
    </w:p>
  </w:footnote>
  <w:footnote w:id="648">
    <w:p w14:paraId="2665E81F" w14:textId="77777777" w:rsidR="00242EFA" w:rsidRPr="00F5711F" w:rsidRDefault="00242EFA" w:rsidP="00242EFA">
      <w:pPr>
        <w:pStyle w:val="FootnoteText"/>
        <w:ind w:firstLine="0"/>
        <w:rPr>
          <w:lang w:val="it-IT"/>
        </w:rPr>
      </w:pPr>
      <w:r>
        <w:rPr>
          <w:rStyle w:val="FootnoteReference"/>
        </w:rPr>
        <w:footnoteRef/>
      </w:r>
      <w:r w:rsidRPr="00F5711F">
        <w:rPr>
          <w:lang w:val="it-IT"/>
        </w:rPr>
        <w:t xml:space="preserve"> qui demisso] qui dimisso C; que dimisio A </w:t>
      </w:r>
    </w:p>
  </w:footnote>
  <w:footnote w:id="649">
    <w:p w14:paraId="2E86B2F2" w14:textId="77777777" w:rsidR="00242EFA" w:rsidRPr="00F5711F" w:rsidRDefault="00242EFA" w:rsidP="00242EFA">
      <w:pPr>
        <w:pStyle w:val="FootnoteText"/>
        <w:ind w:firstLine="0"/>
        <w:rPr>
          <w:lang w:val="it-IT"/>
        </w:rPr>
      </w:pPr>
      <w:r>
        <w:rPr>
          <w:rStyle w:val="FootnoteReference"/>
        </w:rPr>
        <w:footnoteRef/>
      </w:r>
      <w:r w:rsidRPr="00F5711F">
        <w:rPr>
          <w:lang w:val="it-IT"/>
        </w:rPr>
        <w:t xml:space="preserve"> </w:t>
      </w:r>
      <w:r>
        <w:rPr>
          <w:lang w:val="it-IT"/>
        </w:rPr>
        <w:t>s</w:t>
      </w:r>
      <w:r w:rsidRPr="00F5711F">
        <w:rPr>
          <w:lang w:val="it-IT"/>
        </w:rPr>
        <w:t>olli</w:t>
      </w:r>
      <w:r>
        <w:rPr>
          <w:lang w:val="it-IT"/>
        </w:rPr>
        <w:t>citantur] solicitant A</w:t>
      </w:r>
    </w:p>
  </w:footnote>
  <w:footnote w:id="650">
    <w:p w14:paraId="726D8FFE" w14:textId="1B72121D" w:rsidR="008A78FA" w:rsidRDefault="008A78FA" w:rsidP="008A78FA">
      <w:pPr>
        <w:pStyle w:val="FootnoteText"/>
        <w:ind w:firstLine="0"/>
      </w:pPr>
      <w:r>
        <w:rPr>
          <w:rStyle w:val="FootnoteReference"/>
        </w:rPr>
        <w:footnoteRef/>
      </w:r>
      <w:r>
        <w:t xml:space="preserve"> </w:t>
      </w:r>
      <w:r w:rsidRPr="008A78FA">
        <w:rPr>
          <w:i/>
          <w:iCs/>
        </w:rPr>
        <w:t>recte:</w:t>
      </w:r>
      <w:r>
        <w:t xml:space="preserve"> qui</w:t>
      </w:r>
    </w:p>
  </w:footnote>
  <w:footnote w:id="651">
    <w:p w14:paraId="008BC4E9" w14:textId="77777777" w:rsidR="00242EFA" w:rsidRPr="00F5711F" w:rsidRDefault="00242EFA" w:rsidP="00242EFA">
      <w:pPr>
        <w:pStyle w:val="FootnoteText"/>
        <w:ind w:firstLine="0"/>
        <w:rPr>
          <w:lang w:val="it-IT"/>
        </w:rPr>
      </w:pPr>
      <w:r>
        <w:rPr>
          <w:rStyle w:val="FootnoteReference"/>
        </w:rPr>
        <w:footnoteRef/>
      </w:r>
      <w:r w:rsidRPr="00F5711F">
        <w:rPr>
          <w:lang w:val="it-IT"/>
        </w:rPr>
        <w:t xml:space="preserve"> </w:t>
      </w:r>
      <w:r>
        <w:rPr>
          <w:lang w:val="it-IT"/>
        </w:rPr>
        <w:t xml:space="preserve">almuscamar] </w:t>
      </w:r>
      <w:r w:rsidRPr="00F5711F">
        <w:rPr>
          <w:lang w:val="it-IT"/>
        </w:rPr>
        <w:t>almustanar</w:t>
      </w:r>
      <w:r>
        <w:rPr>
          <w:lang w:val="it-IT"/>
        </w:rPr>
        <w:t xml:space="preserve"> O; almus scaminar A</w:t>
      </w:r>
    </w:p>
  </w:footnote>
  <w:footnote w:id="652">
    <w:p w14:paraId="0D0DCDB4" w14:textId="77777777" w:rsidR="00242EFA" w:rsidRPr="00C95AB8" w:rsidRDefault="00242EFA" w:rsidP="00242EFA">
      <w:pPr>
        <w:pStyle w:val="FootnoteText"/>
        <w:ind w:firstLine="0"/>
        <w:rPr>
          <w:lang w:val="it-IT"/>
        </w:rPr>
      </w:pPr>
      <w:r>
        <w:rPr>
          <w:rStyle w:val="FootnoteReference"/>
        </w:rPr>
        <w:footnoteRef/>
      </w:r>
      <w:r w:rsidRPr="00C95AB8">
        <w:rPr>
          <w:lang w:val="it-IT"/>
        </w:rPr>
        <w:t xml:space="preserve"> si commiscetur] si </w:t>
      </w:r>
      <w:r w:rsidRPr="00C95AB8">
        <w:rPr>
          <w:szCs w:val="24"/>
          <w:lang w:val="it-IT"/>
        </w:rPr>
        <w:t>comittetur C; commistet A</w:t>
      </w:r>
    </w:p>
  </w:footnote>
  <w:footnote w:id="653">
    <w:p w14:paraId="65992890" w14:textId="77777777" w:rsidR="00242EFA" w:rsidRPr="000B6647" w:rsidRDefault="00242EFA" w:rsidP="00242EFA">
      <w:pPr>
        <w:pStyle w:val="FootnoteText"/>
        <w:ind w:firstLine="0"/>
        <w:rPr>
          <w:lang w:val="pt-PT"/>
        </w:rPr>
      </w:pPr>
      <w:r>
        <w:rPr>
          <w:rStyle w:val="FootnoteReference"/>
        </w:rPr>
        <w:footnoteRef/>
      </w:r>
      <w:r w:rsidRPr="00C055A8">
        <w:rPr>
          <w:lang w:val="fr-FR"/>
        </w:rPr>
        <w:t xml:space="preserve"> </w:t>
      </w:r>
      <w:r>
        <w:rPr>
          <w:lang w:val="fr-FR"/>
        </w:rPr>
        <w:t>f</w:t>
      </w:r>
      <w:r w:rsidRPr="00C055A8">
        <w:rPr>
          <w:lang w:val="fr-FR"/>
        </w:rPr>
        <w:t xml:space="preserve">igura martis et sagitaris. </w:t>
      </w:r>
      <w:r w:rsidRPr="00622935">
        <w:rPr>
          <w:lang w:val="fr-FR"/>
        </w:rPr>
        <w:t xml:space="preserve">Occidentalis, masculina </w:t>
      </w:r>
      <w:r w:rsidRPr="00622935">
        <w:rPr>
          <w:i/>
          <w:iCs/>
          <w:lang w:val="fr-FR"/>
        </w:rPr>
        <w:t>add</w:t>
      </w:r>
      <w:r w:rsidRPr="00622935">
        <w:rPr>
          <w:lang w:val="fr-FR"/>
        </w:rPr>
        <w:t xml:space="preserve">. </w:t>
      </w:r>
      <w:r w:rsidRPr="000B6647">
        <w:rPr>
          <w:lang w:val="pt-PT"/>
        </w:rPr>
        <w:t>A</w:t>
      </w:r>
    </w:p>
  </w:footnote>
  <w:footnote w:id="654">
    <w:p w14:paraId="3FB60E2B"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quam almustarcam] quam almustandam O; que almusaram A</w:t>
      </w:r>
    </w:p>
  </w:footnote>
  <w:footnote w:id="655">
    <w:p w14:paraId="464A4E5A" w14:textId="77777777" w:rsidR="00242EFA" w:rsidRPr="00A95F7E" w:rsidRDefault="00242EFA" w:rsidP="00242EFA">
      <w:pPr>
        <w:pStyle w:val="FootnoteText"/>
        <w:ind w:firstLine="0"/>
        <w:rPr>
          <w:lang w:val="pt-PT"/>
        </w:rPr>
      </w:pPr>
      <w:r>
        <w:rPr>
          <w:rStyle w:val="FootnoteReference"/>
        </w:rPr>
        <w:footnoteRef/>
      </w:r>
      <w:r w:rsidRPr="00A95F7E">
        <w:rPr>
          <w:lang w:val="pt-PT"/>
        </w:rPr>
        <w:t xml:space="preserve"> </w:t>
      </w:r>
      <w:r>
        <w:rPr>
          <w:lang w:val="pt-PT"/>
        </w:rPr>
        <w:t>nominant] nominatur A</w:t>
      </w:r>
    </w:p>
  </w:footnote>
  <w:footnote w:id="656">
    <w:p w14:paraId="2BACBE85" w14:textId="77777777" w:rsidR="00242EFA" w:rsidRPr="00C26139" w:rsidRDefault="00242EFA" w:rsidP="00242EFA">
      <w:pPr>
        <w:pStyle w:val="FootnoteText"/>
        <w:ind w:firstLine="0"/>
        <w:rPr>
          <w:lang w:val="pt-PT"/>
        </w:rPr>
      </w:pPr>
      <w:r>
        <w:rPr>
          <w:rStyle w:val="FootnoteReference"/>
        </w:rPr>
        <w:footnoteRef/>
      </w:r>
      <w:r w:rsidRPr="00F03504">
        <w:rPr>
          <w:lang w:val="pt-PT"/>
        </w:rPr>
        <w:t xml:space="preserve"> </w:t>
      </w:r>
      <w:r>
        <w:rPr>
          <w:lang w:val="pt-PT"/>
        </w:rPr>
        <w:t xml:space="preserve">significatio] </w:t>
      </w:r>
      <w:r w:rsidRPr="00C26139">
        <w:rPr>
          <w:lang w:val="pt-PT"/>
        </w:rPr>
        <w:t>significaris A</w:t>
      </w:r>
    </w:p>
  </w:footnote>
  <w:footnote w:id="657">
    <w:p w14:paraId="1D15B668" w14:textId="77777777" w:rsidR="00242EFA" w:rsidRPr="007B55F1" w:rsidRDefault="00242EFA" w:rsidP="00242EFA">
      <w:pPr>
        <w:pStyle w:val="FootnoteText"/>
        <w:ind w:firstLine="0"/>
        <w:rPr>
          <w:lang w:val="pt-PT"/>
        </w:rPr>
      </w:pPr>
      <w:r>
        <w:rPr>
          <w:rStyle w:val="FootnoteReference"/>
        </w:rPr>
        <w:footnoteRef/>
      </w:r>
      <w:r w:rsidRPr="007B55F1">
        <w:rPr>
          <w:lang w:val="pt-PT"/>
        </w:rPr>
        <w:t xml:space="preserve"> sanguineo] sanguini A</w:t>
      </w:r>
    </w:p>
  </w:footnote>
  <w:footnote w:id="658">
    <w:p w14:paraId="65036F33" w14:textId="77777777" w:rsidR="00242EFA" w:rsidRPr="007B55F1" w:rsidRDefault="00242EFA" w:rsidP="00242EFA">
      <w:pPr>
        <w:pStyle w:val="FootnoteText"/>
        <w:ind w:firstLine="0"/>
        <w:rPr>
          <w:lang w:val="pt-PT"/>
        </w:rPr>
      </w:pPr>
      <w:r>
        <w:rPr>
          <w:rStyle w:val="FootnoteReference"/>
        </w:rPr>
        <w:footnoteRef/>
      </w:r>
      <w:r w:rsidRPr="007B55F1">
        <w:rPr>
          <w:lang w:val="pt-PT"/>
        </w:rPr>
        <w:t xml:space="preserve"> etiam corallo] et coralio A</w:t>
      </w:r>
    </w:p>
  </w:footnote>
  <w:footnote w:id="659">
    <w:p w14:paraId="4FCDD2F0"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 xml:space="preserve">omnique] </w:t>
      </w:r>
      <w:r>
        <w:rPr>
          <w:i/>
          <w:iCs/>
          <w:lang w:val="pt-PT"/>
        </w:rPr>
        <w:t>o</w:t>
      </w:r>
      <w:r w:rsidRPr="00BE5145">
        <w:rPr>
          <w:i/>
          <w:iCs/>
          <w:lang w:val="pt-PT"/>
        </w:rPr>
        <w:t>m</w:t>
      </w:r>
      <w:r w:rsidRPr="00BE5145">
        <w:rPr>
          <w:lang w:val="pt-PT"/>
        </w:rPr>
        <w:t>. O</w:t>
      </w:r>
    </w:p>
  </w:footnote>
  <w:footnote w:id="660">
    <w:p w14:paraId="2622321B"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rubee]</w:t>
      </w:r>
      <w:r w:rsidRPr="00BE5145">
        <w:rPr>
          <w:lang w:val="pt-PT"/>
        </w:rPr>
        <w:t xml:space="preserve"> rubei</w:t>
      </w:r>
      <w:r>
        <w:rPr>
          <w:lang w:val="pt-PT"/>
        </w:rPr>
        <w:t xml:space="preserve"> O</w:t>
      </w:r>
    </w:p>
  </w:footnote>
  <w:footnote w:id="661">
    <w:p w14:paraId="08E90563" w14:textId="77777777" w:rsidR="00242EFA" w:rsidRPr="00622935" w:rsidRDefault="00242EFA" w:rsidP="00242EFA">
      <w:pPr>
        <w:pStyle w:val="FootnoteText"/>
        <w:ind w:firstLine="0"/>
        <w:rPr>
          <w:lang w:val="pt-PT"/>
        </w:rPr>
      </w:pPr>
      <w:r>
        <w:rPr>
          <w:rStyle w:val="FootnoteReference"/>
        </w:rPr>
        <w:footnoteRef/>
      </w:r>
      <w:r w:rsidRPr="00622935">
        <w:rPr>
          <w:lang w:val="pt-PT"/>
        </w:rPr>
        <w:t xml:space="preserve"> infirmo] in finis C; in feminis A</w:t>
      </w:r>
    </w:p>
  </w:footnote>
  <w:footnote w:id="662">
    <w:p w14:paraId="6E8056B1" w14:textId="77777777" w:rsidR="00242EFA" w:rsidRPr="0083662D" w:rsidRDefault="00242EFA" w:rsidP="00242EFA">
      <w:pPr>
        <w:pStyle w:val="FootnoteText"/>
        <w:ind w:firstLine="0"/>
        <w:rPr>
          <w:lang w:val="pt-PT"/>
        </w:rPr>
      </w:pPr>
      <w:r>
        <w:rPr>
          <w:rStyle w:val="FootnoteReference"/>
        </w:rPr>
        <w:footnoteRef/>
      </w:r>
      <w:r w:rsidRPr="0083662D">
        <w:rPr>
          <w:lang w:val="pt-PT"/>
        </w:rPr>
        <w:t xml:space="preserve"> figura mercurii et gemini, septentrionalis, feminina </w:t>
      </w:r>
      <w:r w:rsidRPr="0083662D">
        <w:rPr>
          <w:i/>
          <w:iCs/>
          <w:lang w:val="pt-PT"/>
        </w:rPr>
        <w:t>add</w:t>
      </w:r>
      <w:r w:rsidRPr="0083662D">
        <w:rPr>
          <w:lang w:val="pt-PT"/>
        </w:rPr>
        <w:t>. A</w:t>
      </w:r>
    </w:p>
  </w:footnote>
  <w:footnote w:id="663">
    <w:p w14:paraId="4C8AB930" w14:textId="77777777" w:rsidR="00242EFA" w:rsidRPr="006E104C" w:rsidRDefault="00242EFA" w:rsidP="00242EFA">
      <w:pPr>
        <w:pStyle w:val="FootnoteText"/>
        <w:ind w:firstLine="0"/>
        <w:rPr>
          <w:lang w:val="pt-PT"/>
        </w:rPr>
      </w:pPr>
      <w:r>
        <w:rPr>
          <w:rStyle w:val="FootnoteReference"/>
        </w:rPr>
        <w:footnoteRef/>
      </w:r>
      <w:r w:rsidRPr="006E104C">
        <w:rPr>
          <w:lang w:val="pt-PT"/>
        </w:rPr>
        <w:t xml:space="preserve"> quam alleallonus zahim] quam vocant allealenus zachim O</w:t>
      </w:r>
      <w:r>
        <w:rPr>
          <w:lang w:val="pt-PT"/>
        </w:rPr>
        <w:t>; que vocatur alemalr(?) stachim A</w:t>
      </w:r>
    </w:p>
  </w:footnote>
  <w:footnote w:id="664">
    <w:p w14:paraId="00EF4E11"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lucri]</w:t>
      </w:r>
      <w:r w:rsidRPr="00BE5145">
        <w:rPr>
          <w:lang w:val="pt-PT"/>
        </w:rPr>
        <w:t xml:space="preserve"> lucri e</w:t>
      </w:r>
      <w:r>
        <w:rPr>
          <w:lang w:val="pt-PT"/>
        </w:rPr>
        <w:t>t</w:t>
      </w:r>
      <w:r w:rsidRPr="00BE5145">
        <w:rPr>
          <w:lang w:val="pt-PT"/>
        </w:rPr>
        <w:t>iam</w:t>
      </w:r>
      <w:r>
        <w:rPr>
          <w:lang w:val="pt-PT"/>
        </w:rPr>
        <w:t xml:space="preserve"> O</w:t>
      </w:r>
    </w:p>
  </w:footnote>
  <w:footnote w:id="665">
    <w:p w14:paraId="77929DAA" w14:textId="77777777" w:rsidR="00242EFA" w:rsidRPr="00622935" w:rsidRDefault="00242EFA" w:rsidP="00242EFA">
      <w:pPr>
        <w:pStyle w:val="FootnoteText"/>
        <w:ind w:firstLine="0"/>
        <w:rPr>
          <w:lang w:val="pt-PT"/>
        </w:rPr>
      </w:pPr>
      <w:r>
        <w:rPr>
          <w:rStyle w:val="FootnoteReference"/>
        </w:rPr>
        <w:footnoteRef/>
      </w:r>
      <w:r w:rsidRPr="00622935">
        <w:rPr>
          <w:lang w:val="pt-PT"/>
        </w:rPr>
        <w:t xml:space="preserve"> magnique] </w:t>
      </w:r>
      <w:r w:rsidRPr="006804C5">
        <w:rPr>
          <w:i/>
          <w:iCs/>
          <w:lang w:val="pt-PT"/>
        </w:rPr>
        <w:t>om</w:t>
      </w:r>
      <w:r>
        <w:rPr>
          <w:lang w:val="pt-PT"/>
        </w:rPr>
        <w:t xml:space="preserve">. O; </w:t>
      </w:r>
      <w:r w:rsidRPr="00622935">
        <w:rPr>
          <w:lang w:val="pt-PT"/>
        </w:rPr>
        <w:t>que et magni A</w:t>
      </w:r>
    </w:p>
  </w:footnote>
  <w:footnote w:id="666">
    <w:p w14:paraId="4EB78B81" w14:textId="77777777" w:rsidR="00242EFA" w:rsidRPr="00622935" w:rsidRDefault="00242EFA" w:rsidP="00242EFA">
      <w:pPr>
        <w:pStyle w:val="FootnoteText"/>
        <w:ind w:firstLine="0"/>
        <w:rPr>
          <w:lang w:val="it-IT"/>
        </w:rPr>
      </w:pPr>
      <w:r>
        <w:rPr>
          <w:rStyle w:val="FootnoteReference"/>
        </w:rPr>
        <w:footnoteRef/>
      </w:r>
      <w:r w:rsidRPr="00622935">
        <w:rPr>
          <w:lang w:val="it-IT"/>
        </w:rPr>
        <w:t xml:space="preserve"> proficui] </w:t>
      </w:r>
      <w:r w:rsidRPr="00622935">
        <w:rPr>
          <w:szCs w:val="24"/>
          <w:lang w:val="it-IT"/>
        </w:rPr>
        <w:t>profecerit O</w:t>
      </w:r>
    </w:p>
  </w:footnote>
  <w:footnote w:id="667">
    <w:p w14:paraId="726FA5E8" w14:textId="77777777" w:rsidR="00242EFA" w:rsidRPr="00622935" w:rsidRDefault="00242EFA" w:rsidP="00242EFA">
      <w:pPr>
        <w:pStyle w:val="FootnoteText"/>
        <w:ind w:firstLine="0"/>
        <w:rPr>
          <w:lang w:val="it-IT"/>
        </w:rPr>
      </w:pPr>
      <w:r>
        <w:rPr>
          <w:rStyle w:val="FootnoteReference"/>
        </w:rPr>
        <w:footnoteRef/>
      </w:r>
      <w:r w:rsidRPr="00622935">
        <w:rPr>
          <w:lang w:val="it-IT"/>
        </w:rPr>
        <w:t xml:space="preserve"> significatrix] et significatrix fare A</w:t>
      </w:r>
    </w:p>
  </w:footnote>
  <w:footnote w:id="668">
    <w:p w14:paraId="403CB183" w14:textId="77777777" w:rsidR="00242EFA" w:rsidRPr="00622935" w:rsidRDefault="00242EFA" w:rsidP="00242EFA">
      <w:pPr>
        <w:pStyle w:val="FootnoteText"/>
        <w:ind w:firstLine="0"/>
        <w:rPr>
          <w:lang w:val="it-IT"/>
        </w:rPr>
      </w:pPr>
      <w:r>
        <w:rPr>
          <w:rStyle w:val="FootnoteReference"/>
        </w:rPr>
        <w:footnoteRef/>
      </w:r>
      <w:r w:rsidRPr="00622935">
        <w:rPr>
          <w:lang w:val="it-IT"/>
        </w:rPr>
        <w:t xml:space="preserve"> dicitur] </w:t>
      </w:r>
      <w:r w:rsidRPr="00622935">
        <w:rPr>
          <w:szCs w:val="24"/>
          <w:lang w:val="it-IT"/>
        </w:rPr>
        <w:t>est C</w:t>
      </w:r>
    </w:p>
  </w:footnote>
  <w:footnote w:id="669">
    <w:p w14:paraId="7372CEB8" w14:textId="77777777" w:rsidR="00242EFA" w:rsidRPr="0085297C" w:rsidRDefault="00242EFA" w:rsidP="00242EFA">
      <w:pPr>
        <w:pStyle w:val="FootnoteText"/>
        <w:ind w:firstLine="0"/>
        <w:rPr>
          <w:lang w:val="it-IT"/>
        </w:rPr>
      </w:pPr>
      <w:r>
        <w:rPr>
          <w:rStyle w:val="FootnoteReference"/>
        </w:rPr>
        <w:footnoteRef/>
      </w:r>
      <w:r w:rsidRPr="0085297C">
        <w:rPr>
          <w:lang w:val="it-IT"/>
        </w:rPr>
        <w:t xml:space="preserve"> sub]</w:t>
      </w:r>
      <w:r w:rsidRPr="0085297C">
        <w:rPr>
          <w:szCs w:val="24"/>
          <w:lang w:val="it-IT"/>
        </w:rPr>
        <w:t xml:space="preserve"> simili C</w:t>
      </w:r>
    </w:p>
  </w:footnote>
  <w:footnote w:id="670">
    <w:p w14:paraId="16716AC6" w14:textId="77777777" w:rsidR="00242EFA" w:rsidRPr="0085297C" w:rsidRDefault="00242EFA" w:rsidP="00242EFA">
      <w:pPr>
        <w:pStyle w:val="FootnoteText"/>
        <w:ind w:firstLine="0"/>
        <w:rPr>
          <w:lang w:val="it-IT"/>
        </w:rPr>
      </w:pPr>
      <w:r>
        <w:rPr>
          <w:rStyle w:val="FootnoteReference"/>
        </w:rPr>
        <w:footnoteRef/>
      </w:r>
      <w:r w:rsidRPr="0085297C">
        <w:rPr>
          <w:lang w:val="it-IT"/>
        </w:rPr>
        <w:t xml:space="preserve"> </w:t>
      </w:r>
      <w:r>
        <w:rPr>
          <w:lang w:val="it-IT"/>
        </w:rPr>
        <w:t>mala] vero mala A</w:t>
      </w:r>
    </w:p>
  </w:footnote>
  <w:footnote w:id="671">
    <w:p w14:paraId="1819E036" w14:textId="77777777" w:rsidR="00242EFA" w:rsidRPr="0085297C" w:rsidRDefault="00242EFA" w:rsidP="00242EFA">
      <w:pPr>
        <w:pStyle w:val="FootnoteText"/>
        <w:ind w:firstLine="0"/>
        <w:rPr>
          <w:lang w:val="it-IT"/>
        </w:rPr>
      </w:pPr>
      <w:r>
        <w:rPr>
          <w:rStyle w:val="FootnoteReference"/>
        </w:rPr>
        <w:footnoteRef/>
      </w:r>
      <w:r w:rsidRPr="0085297C">
        <w:rPr>
          <w:lang w:val="it-IT"/>
        </w:rPr>
        <w:t xml:space="preserve"> </w:t>
      </w:r>
      <w:r>
        <w:rPr>
          <w:lang w:val="it-IT"/>
        </w:rPr>
        <w:t xml:space="preserve">figura lune, cancri, merientalis, feminina </w:t>
      </w:r>
      <w:r w:rsidRPr="00D40EE6">
        <w:rPr>
          <w:i/>
          <w:iCs/>
          <w:lang w:val="it-IT"/>
        </w:rPr>
        <w:t>add</w:t>
      </w:r>
      <w:r>
        <w:rPr>
          <w:lang w:val="it-IT"/>
        </w:rPr>
        <w:t>. A</w:t>
      </w:r>
    </w:p>
  </w:footnote>
  <w:footnote w:id="672">
    <w:p w14:paraId="33BB2686" w14:textId="77777777" w:rsidR="00242EFA" w:rsidRPr="00622935" w:rsidRDefault="00242EFA" w:rsidP="00242EFA">
      <w:pPr>
        <w:pStyle w:val="FootnoteText"/>
        <w:ind w:firstLine="0"/>
        <w:rPr>
          <w:lang w:val="it-IT"/>
        </w:rPr>
      </w:pPr>
      <w:r>
        <w:rPr>
          <w:rStyle w:val="FootnoteReference"/>
        </w:rPr>
        <w:footnoteRef/>
      </w:r>
      <w:r w:rsidRPr="00622935">
        <w:rPr>
          <w:lang w:val="it-IT"/>
        </w:rPr>
        <w:t xml:space="preserve"> algemaha] algemaccha A</w:t>
      </w:r>
    </w:p>
  </w:footnote>
  <w:footnote w:id="673">
    <w:p w14:paraId="2DC1B148" w14:textId="77777777" w:rsidR="00242EFA" w:rsidRPr="00622935" w:rsidRDefault="00242EFA" w:rsidP="00242EFA">
      <w:pPr>
        <w:pStyle w:val="FootnoteText"/>
        <w:ind w:firstLine="0"/>
        <w:rPr>
          <w:lang w:val="pt-PT"/>
        </w:rPr>
      </w:pPr>
      <w:r>
        <w:rPr>
          <w:rStyle w:val="FootnoteReference"/>
        </w:rPr>
        <w:footnoteRef/>
      </w:r>
      <w:r w:rsidRPr="00622935">
        <w:rPr>
          <w:lang w:val="pt-PT"/>
        </w:rPr>
        <w:t xml:space="preserve"> espeditionibus, ex[c]ercitibus] exercitibus et expeditionibus A </w:t>
      </w:r>
    </w:p>
  </w:footnote>
  <w:footnote w:id="674">
    <w:p w14:paraId="7ABADF62" w14:textId="77777777" w:rsidR="00242EFA" w:rsidRPr="003D16B0" w:rsidRDefault="00242EFA" w:rsidP="00242EFA">
      <w:pPr>
        <w:pStyle w:val="FootnoteText"/>
        <w:ind w:firstLine="0"/>
        <w:rPr>
          <w:lang w:val="pt-PT"/>
        </w:rPr>
      </w:pPr>
      <w:r>
        <w:rPr>
          <w:rStyle w:val="FootnoteReference"/>
        </w:rPr>
        <w:footnoteRef/>
      </w:r>
      <w:r w:rsidRPr="003D16B0">
        <w:rPr>
          <w:lang w:val="pt-PT"/>
        </w:rPr>
        <w:t xml:space="preserve"> collectionibus] </w:t>
      </w:r>
      <w:r w:rsidRPr="003D16B0">
        <w:rPr>
          <w:i/>
          <w:iCs/>
          <w:lang w:val="pt-PT"/>
        </w:rPr>
        <w:t>om</w:t>
      </w:r>
      <w:r w:rsidRPr="003D16B0">
        <w:rPr>
          <w:lang w:val="pt-PT"/>
        </w:rPr>
        <w:t>. A</w:t>
      </w:r>
    </w:p>
  </w:footnote>
  <w:footnote w:id="675">
    <w:p w14:paraId="6E18B6B3" w14:textId="77777777" w:rsidR="00242EFA" w:rsidRPr="003D16B0" w:rsidRDefault="00242EFA" w:rsidP="00242EFA">
      <w:pPr>
        <w:pStyle w:val="FootnoteText"/>
        <w:ind w:firstLine="0"/>
        <w:rPr>
          <w:lang w:val="pt-PT"/>
        </w:rPr>
      </w:pPr>
      <w:r>
        <w:rPr>
          <w:rStyle w:val="FootnoteReference"/>
        </w:rPr>
        <w:footnoteRef/>
      </w:r>
      <w:r w:rsidRPr="003D16B0">
        <w:rPr>
          <w:lang w:val="pt-PT"/>
        </w:rPr>
        <w:t xml:space="preserve"> pertinet] </w:t>
      </w:r>
      <w:r w:rsidRPr="003D16B0">
        <w:rPr>
          <w:szCs w:val="24"/>
          <w:lang w:val="pt-PT"/>
        </w:rPr>
        <w:t>partium C</w:t>
      </w:r>
    </w:p>
  </w:footnote>
  <w:footnote w:id="676">
    <w:p w14:paraId="4525D3DC" w14:textId="77777777" w:rsidR="00242EFA" w:rsidRPr="003D16B0" w:rsidRDefault="00242EFA" w:rsidP="00242EFA">
      <w:pPr>
        <w:pStyle w:val="FootnoteText"/>
        <w:ind w:firstLine="0"/>
        <w:rPr>
          <w:lang w:val="pt-PT"/>
        </w:rPr>
      </w:pPr>
      <w:r>
        <w:rPr>
          <w:rStyle w:val="FootnoteReference"/>
        </w:rPr>
        <w:footnoteRef/>
      </w:r>
      <w:r w:rsidRPr="003D16B0">
        <w:rPr>
          <w:lang w:val="pt-PT"/>
        </w:rPr>
        <w:t xml:space="preserve"> </w:t>
      </w:r>
      <w:r>
        <w:rPr>
          <w:lang w:val="pt-PT"/>
        </w:rPr>
        <w:t>raphegas] raphogas O; rafagas A</w:t>
      </w:r>
    </w:p>
  </w:footnote>
  <w:footnote w:id="677">
    <w:p w14:paraId="573D68E0" w14:textId="77777777" w:rsidR="00242EFA" w:rsidRPr="00DF4DAE" w:rsidRDefault="00242EFA" w:rsidP="00242EFA">
      <w:pPr>
        <w:pStyle w:val="FootnoteText"/>
        <w:ind w:firstLine="0"/>
        <w:rPr>
          <w:lang w:val="pt-PT"/>
        </w:rPr>
      </w:pPr>
      <w:r>
        <w:rPr>
          <w:rStyle w:val="FootnoteReference"/>
        </w:rPr>
        <w:footnoteRef/>
      </w:r>
      <w:r w:rsidRPr="00DF4DAE">
        <w:rPr>
          <w:lang w:val="pt-PT"/>
        </w:rPr>
        <w:t xml:space="preserve"> </w:t>
      </w:r>
      <w:r>
        <w:rPr>
          <w:lang w:val="pt-PT"/>
        </w:rPr>
        <w:t xml:space="preserve">et] </w:t>
      </w:r>
      <w:r w:rsidRPr="00DF4DAE">
        <w:rPr>
          <w:i/>
          <w:iCs/>
          <w:lang w:val="pt-PT"/>
        </w:rPr>
        <w:t>om.</w:t>
      </w:r>
      <w:r>
        <w:rPr>
          <w:lang w:val="pt-PT"/>
        </w:rPr>
        <w:t xml:space="preserve"> A</w:t>
      </w:r>
    </w:p>
  </w:footnote>
  <w:footnote w:id="678">
    <w:p w14:paraId="69ED3DED"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 xml:space="preserve">viatores] </w:t>
      </w:r>
      <w:r w:rsidRPr="00BE5145">
        <w:rPr>
          <w:lang w:val="pt-PT"/>
        </w:rPr>
        <w:t>mercatores</w:t>
      </w:r>
      <w:r>
        <w:rPr>
          <w:lang w:val="pt-PT"/>
        </w:rPr>
        <w:t xml:space="preserve"> O; mercationes A</w:t>
      </w:r>
    </w:p>
  </w:footnote>
  <w:footnote w:id="679">
    <w:p w14:paraId="4D6DA429" w14:textId="77777777" w:rsidR="00242EFA" w:rsidRPr="002C527B" w:rsidRDefault="00242EFA" w:rsidP="00242EFA">
      <w:pPr>
        <w:pStyle w:val="FootnoteText"/>
        <w:ind w:firstLine="0"/>
        <w:rPr>
          <w:lang w:val="pt-PT"/>
        </w:rPr>
      </w:pPr>
      <w:r>
        <w:rPr>
          <w:rStyle w:val="FootnoteReference"/>
        </w:rPr>
        <w:footnoteRef/>
      </w:r>
      <w:r w:rsidRPr="002C527B">
        <w:rPr>
          <w:lang w:val="pt-PT"/>
        </w:rPr>
        <w:t xml:space="preserve"> </w:t>
      </w:r>
      <w:r>
        <w:rPr>
          <w:lang w:val="pt-PT"/>
        </w:rPr>
        <w:t xml:space="preserve">naves et] </w:t>
      </w:r>
      <w:r w:rsidRPr="002C527B">
        <w:rPr>
          <w:i/>
          <w:iCs/>
          <w:lang w:val="pt-PT"/>
        </w:rPr>
        <w:t>om</w:t>
      </w:r>
      <w:r>
        <w:rPr>
          <w:lang w:val="pt-PT"/>
        </w:rPr>
        <w:t>. A</w:t>
      </w:r>
    </w:p>
  </w:footnote>
  <w:footnote w:id="680">
    <w:p w14:paraId="023F846D" w14:textId="77777777" w:rsidR="00242EFA" w:rsidRPr="00BE5145" w:rsidRDefault="00242EFA" w:rsidP="00242EFA">
      <w:pPr>
        <w:pStyle w:val="FootnoteText"/>
        <w:ind w:firstLine="0"/>
        <w:rPr>
          <w:lang w:val="pt-PT"/>
        </w:rPr>
      </w:pPr>
      <w:r>
        <w:rPr>
          <w:rStyle w:val="FootnoteReference"/>
        </w:rPr>
        <w:footnoteRef/>
      </w:r>
      <w:r w:rsidRPr="00BE5145">
        <w:rPr>
          <w:lang w:val="pt-PT"/>
        </w:rPr>
        <w:t xml:space="preserve"> </w:t>
      </w:r>
      <w:r>
        <w:rPr>
          <w:lang w:val="pt-PT"/>
        </w:rPr>
        <w:t xml:space="preserve">fulgura] </w:t>
      </w:r>
      <w:r w:rsidRPr="00BE5145">
        <w:rPr>
          <w:lang w:val="pt-PT"/>
        </w:rPr>
        <w:t>fulgore</w:t>
      </w:r>
      <w:r>
        <w:rPr>
          <w:lang w:val="pt-PT"/>
        </w:rPr>
        <w:t xml:space="preserve"> O</w:t>
      </w:r>
    </w:p>
  </w:footnote>
  <w:footnote w:id="681">
    <w:p w14:paraId="59C800AB" w14:textId="77777777" w:rsidR="00242EFA" w:rsidRPr="003E23CF" w:rsidRDefault="00242EFA" w:rsidP="00242EFA">
      <w:pPr>
        <w:pStyle w:val="FootnoteText"/>
        <w:ind w:firstLine="0"/>
        <w:rPr>
          <w:lang w:val="pt-PT"/>
        </w:rPr>
      </w:pPr>
      <w:r>
        <w:rPr>
          <w:rStyle w:val="FootnoteReference"/>
        </w:rPr>
        <w:footnoteRef/>
      </w:r>
      <w:r w:rsidRPr="003E23CF">
        <w:rPr>
          <w:lang w:val="pt-PT"/>
        </w:rPr>
        <w:t xml:space="preserve"> </w:t>
      </w:r>
      <w:r>
        <w:rPr>
          <w:lang w:val="pt-PT"/>
        </w:rPr>
        <w:t>domini] dominum A</w:t>
      </w:r>
    </w:p>
  </w:footnote>
  <w:footnote w:id="682">
    <w:p w14:paraId="68CE8D5E" w14:textId="77777777" w:rsidR="00242EFA" w:rsidRPr="00622935" w:rsidRDefault="00242EFA" w:rsidP="00242EFA">
      <w:pPr>
        <w:pStyle w:val="FootnoteText"/>
        <w:ind w:firstLine="0"/>
        <w:rPr>
          <w:lang w:val="fr-FR"/>
        </w:rPr>
      </w:pPr>
      <w:r>
        <w:rPr>
          <w:rStyle w:val="FootnoteReference"/>
        </w:rPr>
        <w:footnoteRef/>
      </w:r>
      <w:r w:rsidRPr="00622935">
        <w:rPr>
          <w:lang w:val="fr-FR"/>
        </w:rPr>
        <w:t xml:space="preserve"> adunatur] </w:t>
      </w:r>
      <w:r w:rsidRPr="00622935">
        <w:rPr>
          <w:szCs w:val="24"/>
          <w:lang w:val="fr-FR"/>
        </w:rPr>
        <w:t>adunationem O</w:t>
      </w:r>
    </w:p>
  </w:footnote>
  <w:footnote w:id="683">
    <w:p w14:paraId="5712398C" w14:textId="77777777" w:rsidR="00242EFA" w:rsidRPr="00622935" w:rsidRDefault="00242EFA" w:rsidP="00242EFA">
      <w:pPr>
        <w:pStyle w:val="FootnoteText"/>
        <w:ind w:firstLine="0"/>
        <w:rPr>
          <w:lang w:val="fr-FR"/>
        </w:rPr>
      </w:pPr>
      <w:r>
        <w:rPr>
          <w:rStyle w:val="FootnoteReference"/>
        </w:rPr>
        <w:footnoteRef/>
      </w:r>
      <w:r w:rsidRPr="00622935">
        <w:rPr>
          <w:lang w:val="fr-FR"/>
        </w:rPr>
        <w:t xml:space="preserve"> signatio]</w:t>
      </w:r>
      <w:r>
        <w:rPr>
          <w:lang w:val="fr-FR"/>
        </w:rPr>
        <w:t xml:space="preserve"> signat O;</w:t>
      </w:r>
      <w:r w:rsidRPr="00622935">
        <w:rPr>
          <w:lang w:val="fr-FR"/>
        </w:rPr>
        <w:t xml:space="preserve"> significant A</w:t>
      </w:r>
    </w:p>
  </w:footnote>
  <w:footnote w:id="684">
    <w:p w14:paraId="71368700" w14:textId="77777777" w:rsidR="00242EFA" w:rsidRDefault="00242EFA" w:rsidP="00242EFA">
      <w:pPr>
        <w:pStyle w:val="FootnoteText"/>
        <w:ind w:firstLine="0"/>
      </w:pPr>
      <w:r>
        <w:rPr>
          <w:rStyle w:val="FootnoteReference"/>
        </w:rPr>
        <w:footnoteRef/>
      </w:r>
      <w:r>
        <w:t xml:space="preserve"> cumque] cum O</w:t>
      </w:r>
    </w:p>
  </w:footnote>
  <w:footnote w:id="685">
    <w:p w14:paraId="53E5EE5B" w14:textId="77777777" w:rsidR="00242EFA" w:rsidRPr="009A3FB7" w:rsidRDefault="00242EFA" w:rsidP="00242EFA">
      <w:pPr>
        <w:pStyle w:val="FootnoteText"/>
        <w:ind w:firstLine="0"/>
        <w:rPr>
          <w:lang w:val="pt-PT"/>
        </w:rPr>
      </w:pPr>
      <w:r>
        <w:rPr>
          <w:rStyle w:val="FootnoteReference"/>
        </w:rPr>
        <w:footnoteRef/>
      </w:r>
      <w:r w:rsidRPr="009A3FB7">
        <w:rPr>
          <w:lang w:val="pt-PT"/>
        </w:rPr>
        <w:t xml:space="preserve"> </w:t>
      </w:r>
      <w:r>
        <w:rPr>
          <w:lang w:val="pt-PT"/>
        </w:rPr>
        <w:t>a</w:t>
      </w:r>
      <w:r w:rsidRPr="009A3FB7">
        <w:rPr>
          <w:lang w:val="pt-PT"/>
        </w:rPr>
        <w:t>utem</w:t>
      </w:r>
      <w:r>
        <w:rPr>
          <w:lang w:val="pt-PT"/>
        </w:rPr>
        <w:t xml:space="preserve">] </w:t>
      </w:r>
      <w:r w:rsidRPr="009A3FB7">
        <w:rPr>
          <w:i/>
          <w:iCs/>
          <w:lang w:val="pt-PT"/>
        </w:rPr>
        <w:t>om</w:t>
      </w:r>
      <w:r>
        <w:rPr>
          <w:lang w:val="pt-PT"/>
        </w:rPr>
        <w:t>. A</w:t>
      </w:r>
    </w:p>
  </w:footnote>
  <w:footnote w:id="686">
    <w:p w14:paraId="36F5ED81" w14:textId="77777777" w:rsidR="00242EFA" w:rsidRPr="00DE3EE6" w:rsidRDefault="00242EFA" w:rsidP="00242EFA">
      <w:pPr>
        <w:pStyle w:val="FootnoteText"/>
        <w:ind w:firstLine="0"/>
        <w:rPr>
          <w:lang w:val="pt-PT"/>
        </w:rPr>
      </w:pPr>
      <w:r>
        <w:rPr>
          <w:rStyle w:val="FootnoteReference"/>
        </w:rPr>
        <w:footnoteRef/>
      </w:r>
      <w:r w:rsidRPr="00DE3EE6">
        <w:rPr>
          <w:lang w:val="pt-PT"/>
        </w:rPr>
        <w:t xml:space="preserve"> dicitur alchalhe] dicitur altalhe O; vocatur alcalde A</w:t>
      </w:r>
    </w:p>
  </w:footnote>
  <w:footnote w:id="687">
    <w:p w14:paraId="13A53C8B" w14:textId="77777777" w:rsidR="00242EFA" w:rsidRPr="00A71ACA" w:rsidRDefault="00242EFA" w:rsidP="00242EFA">
      <w:pPr>
        <w:pStyle w:val="FootnoteText"/>
        <w:ind w:firstLine="0"/>
        <w:rPr>
          <w:lang w:val="pt-PT"/>
        </w:rPr>
      </w:pPr>
      <w:r>
        <w:rPr>
          <w:rStyle w:val="FootnoteReference"/>
        </w:rPr>
        <w:footnoteRef/>
      </w:r>
      <w:r w:rsidRPr="00A71ACA">
        <w:rPr>
          <w:lang w:val="pt-PT"/>
        </w:rPr>
        <w:t xml:space="preserve"> </w:t>
      </w:r>
      <w:r>
        <w:rPr>
          <w:lang w:val="pt-PT"/>
        </w:rPr>
        <w:t>c</w:t>
      </w:r>
      <w:r w:rsidRPr="00A71ACA">
        <w:rPr>
          <w:lang w:val="pt-PT"/>
        </w:rPr>
        <w:t>oniungitur] puncta coniungetur A</w:t>
      </w:r>
    </w:p>
  </w:footnote>
  <w:footnote w:id="688">
    <w:p w14:paraId="45104955" w14:textId="77777777" w:rsidR="00242EFA" w:rsidRPr="00F47683" w:rsidRDefault="00242EFA" w:rsidP="00242EFA">
      <w:pPr>
        <w:pStyle w:val="FootnoteText"/>
        <w:ind w:firstLine="0"/>
        <w:rPr>
          <w:lang w:val="pt-PT"/>
        </w:rPr>
      </w:pPr>
      <w:r>
        <w:rPr>
          <w:rStyle w:val="FootnoteReference"/>
        </w:rPr>
        <w:footnoteRef/>
      </w:r>
      <w:r w:rsidRPr="00F47683">
        <w:rPr>
          <w:lang w:val="pt-PT"/>
        </w:rPr>
        <w:t xml:space="preserve"> </w:t>
      </w:r>
      <w:r>
        <w:rPr>
          <w:lang w:val="pt-PT"/>
        </w:rPr>
        <w:t>grandeque]</w:t>
      </w:r>
      <w:r w:rsidRPr="00F47683">
        <w:rPr>
          <w:lang w:val="pt-PT"/>
        </w:rPr>
        <w:t xml:space="preserve"> que grande</w:t>
      </w:r>
      <w:r>
        <w:rPr>
          <w:lang w:val="pt-PT"/>
        </w:rPr>
        <w:t xml:space="preserve"> O; grande A</w:t>
      </w:r>
    </w:p>
  </w:footnote>
  <w:footnote w:id="689">
    <w:p w14:paraId="1CDA1B7F" w14:textId="77777777" w:rsidR="00242EFA" w:rsidRPr="00622935" w:rsidRDefault="00242EFA" w:rsidP="00242EFA">
      <w:pPr>
        <w:pStyle w:val="FootnoteText"/>
        <w:ind w:firstLine="0"/>
        <w:rPr>
          <w:lang w:val="it-IT"/>
        </w:rPr>
      </w:pPr>
      <w:r>
        <w:rPr>
          <w:rStyle w:val="FootnoteReference"/>
        </w:rPr>
        <w:footnoteRef/>
      </w:r>
      <w:r w:rsidRPr="00622935">
        <w:rPr>
          <w:lang w:val="it-IT"/>
        </w:rPr>
        <w:t xml:space="preserve"> C </w:t>
      </w:r>
      <w:r w:rsidRPr="00622935">
        <w:rPr>
          <w:i/>
          <w:iCs/>
          <w:lang w:val="it-IT"/>
        </w:rPr>
        <w:t>illeg</w:t>
      </w:r>
      <w:r w:rsidRPr="00622935">
        <w:rPr>
          <w:lang w:val="it-IT"/>
        </w:rPr>
        <w:t>.</w:t>
      </w:r>
    </w:p>
  </w:footnote>
  <w:footnote w:id="690">
    <w:p w14:paraId="765D93E7" w14:textId="34A83FE4" w:rsidR="00242EFA" w:rsidRPr="00D50C75" w:rsidRDefault="00242EFA" w:rsidP="004B7B00">
      <w:pPr>
        <w:pStyle w:val="FootnoteText"/>
        <w:tabs>
          <w:tab w:val="left" w:pos="4994"/>
        </w:tabs>
        <w:ind w:firstLine="0"/>
        <w:rPr>
          <w:lang w:val="it-IT"/>
        </w:rPr>
      </w:pPr>
      <w:r>
        <w:rPr>
          <w:rStyle w:val="FootnoteReference"/>
        </w:rPr>
        <w:footnoteRef/>
      </w:r>
      <w:r w:rsidRPr="00D50C75">
        <w:rPr>
          <w:lang w:val="it-IT"/>
        </w:rPr>
        <w:t xml:space="preserve"> designabit] designat A</w:t>
      </w:r>
      <w:r w:rsidR="004B7B00">
        <w:rPr>
          <w:lang w:val="it-IT"/>
        </w:rPr>
        <w:tab/>
      </w:r>
    </w:p>
  </w:footnote>
  <w:footnote w:id="691">
    <w:p w14:paraId="7EFFEAAB" w14:textId="77777777" w:rsidR="00242EFA" w:rsidRPr="00D50C75" w:rsidRDefault="00242EFA" w:rsidP="00242EFA">
      <w:pPr>
        <w:pStyle w:val="FootnoteText"/>
        <w:ind w:firstLine="0"/>
        <w:rPr>
          <w:lang w:val="it-IT"/>
        </w:rPr>
      </w:pPr>
      <w:r>
        <w:rPr>
          <w:rStyle w:val="FootnoteReference"/>
        </w:rPr>
        <w:footnoteRef/>
      </w:r>
      <w:r w:rsidRPr="00D50C75">
        <w:rPr>
          <w:lang w:val="it-IT"/>
        </w:rPr>
        <w:t xml:space="preserve"> </w:t>
      </w:r>
      <w:r>
        <w:rPr>
          <w:lang w:val="it-IT"/>
        </w:rPr>
        <w:t>p</w:t>
      </w:r>
      <w:r w:rsidRPr="00D50C75">
        <w:rPr>
          <w:lang w:val="it-IT"/>
        </w:rPr>
        <w:t>ro vel</w:t>
      </w:r>
      <w:r>
        <w:rPr>
          <w:lang w:val="it-IT"/>
        </w:rPr>
        <w:t>le] pro vele A</w:t>
      </w:r>
    </w:p>
  </w:footnote>
  <w:footnote w:id="692">
    <w:p w14:paraId="3ADA95BC" w14:textId="77777777" w:rsidR="00242EFA" w:rsidRPr="00622935" w:rsidRDefault="00242EFA" w:rsidP="00242EFA">
      <w:pPr>
        <w:pStyle w:val="FootnoteText"/>
        <w:ind w:firstLine="0"/>
      </w:pPr>
      <w:r>
        <w:rPr>
          <w:rStyle w:val="FootnoteReference"/>
        </w:rPr>
        <w:footnoteRef/>
      </w:r>
      <w:r w:rsidRPr="00622935">
        <w:t xml:space="preserve"> geomentiam] </w:t>
      </w:r>
      <w:r w:rsidRPr="00622935">
        <w:rPr>
          <w:i/>
          <w:iCs/>
        </w:rPr>
        <w:t>recte</w:t>
      </w:r>
      <w:r w:rsidRPr="00622935">
        <w:t>: geomantia</w:t>
      </w:r>
    </w:p>
  </w:footnote>
  <w:footnote w:id="693">
    <w:p w14:paraId="6EAF31A0" w14:textId="0CC1D2C9" w:rsidR="00242EFA" w:rsidRPr="004B7B00" w:rsidRDefault="00242EFA" w:rsidP="00242EFA">
      <w:pPr>
        <w:pStyle w:val="FootnoteText"/>
        <w:ind w:firstLine="0"/>
        <w:rPr>
          <w:lang w:val="la-Latn"/>
        </w:rPr>
      </w:pPr>
      <w:r>
        <w:rPr>
          <w:rStyle w:val="FootnoteReference"/>
        </w:rPr>
        <w:footnoteRef/>
      </w:r>
      <w:r>
        <w:t xml:space="preserve"> </w:t>
      </w:r>
      <w:r w:rsidRPr="004B7B00">
        <w:rPr>
          <w:lang w:val="la-Latn"/>
        </w:rPr>
        <w:t xml:space="preserve">Cum igitur in geomantiam…operari debes] </w:t>
      </w:r>
      <w:r w:rsidRPr="004B7B00">
        <w:rPr>
          <w:i/>
          <w:iCs/>
          <w:lang w:val="la-Latn"/>
        </w:rPr>
        <w:t>om</w:t>
      </w:r>
      <w:r w:rsidRPr="004B7B00">
        <w:rPr>
          <w:lang w:val="la-Latn"/>
        </w:rPr>
        <w:t>. O: [38v] accipe bibulam(=porous) arenam et lapidibus p</w:t>
      </w:r>
      <w:r w:rsidR="00F839BE" w:rsidRPr="004B7B00">
        <w:rPr>
          <w:lang w:val="la-Latn"/>
        </w:rPr>
        <w:t>ur</w:t>
      </w:r>
      <w:r w:rsidRPr="004B7B00">
        <w:rPr>
          <w:lang w:val="la-Latn"/>
        </w:rPr>
        <w:t xml:space="preserve">gatam illo quem die aliqua re non tactam et e illo conculcatam in </w:t>
      </w:r>
      <w:r w:rsidR="004B7B00" w:rsidRPr="004B7B00">
        <w:rPr>
          <w:lang w:val="la-Latn"/>
        </w:rPr>
        <w:t>qualibet</w:t>
      </w:r>
      <w:r w:rsidRPr="004B7B00">
        <w:rPr>
          <w:lang w:val="la-Latn"/>
        </w:rPr>
        <w:t xml:space="preserve"> mundam superficie locus ac mundus prosterna(?) et demisso capite humili que …? </w:t>
      </w:r>
      <w:r w:rsidR="00BD0F7C">
        <w:t>d</w:t>
      </w:r>
      <w:r w:rsidRPr="004B7B00">
        <w:rPr>
          <w:lang w:val="la-Latn"/>
        </w:rPr>
        <w:t xml:space="preserve">eprecando </w:t>
      </w:r>
      <w:r w:rsidR="00BD0F7C">
        <w:t>C</w:t>
      </w:r>
      <w:r w:rsidRPr="004B7B00">
        <w:rPr>
          <w:lang w:val="la-Latn"/>
        </w:rPr>
        <w:t>reatorem invoca quatenus rei quesite veritatem tibi monstrare dignetur(?) prius hec conversus ad orientem digitorum dextra manus extremitate eiusdem arene modicum accipe dicens In dei nomine eius que summa ac inestimabili scientia confido. De hinc digites cum arena sumpta tibi circa(/certa?) labia tenes id quod scire desideras tecum mente revolve tactius(?) que nomina quo facto super reliqua faciei partem, arenam eam seminando proice praeter hoc 4 lineas non ad libitum, sed ut forte contingerit versus dextram extra procedens cum medio digito puncti. Quibus perfecte punctatis a prima linearum incipiens ex ea duos et duos punctos proice et si due vel unus remansit seorsum in arenam pingendo sua item de secunda prius de tertia deinde quarta linearum faciens filium omnibus primo servato(?) figuram formando gradatim potentiae scilicet secundum omnibus  primum tertium omnibus secondo quartum omnibus tertio de hinc vel lineis omnino deletis 4 rerum alius(?) lineas ut serius</w:t>
      </w:r>
      <w:r w:rsidR="007C0B77">
        <w:t xml:space="preserve"> </w:t>
      </w:r>
      <w:r w:rsidRPr="004B7B00">
        <w:rPr>
          <w:lang w:val="la-Latn"/>
        </w:rPr>
        <w:t>(</w:t>
      </w:r>
      <w:r w:rsidRPr="004B7B00">
        <w:rPr>
          <w:i/>
          <w:iCs/>
          <w:lang w:val="la-Latn"/>
        </w:rPr>
        <w:t>con.</w:t>
      </w:r>
      <w:r w:rsidRPr="004B7B00">
        <w:rPr>
          <w:lang w:val="la-Latn"/>
        </w:rPr>
        <w:t xml:space="preserve"> series?) punctas a quibus duobus ut serius proiecti relique seorsum inproa?? Primum versus sinistram in figura(?) gradatim reliqua. Con. quarter faciendo residuum semper in ordine versus sinistram figurando pone? Cumque id quarter faceris […]. </w:t>
      </w:r>
    </w:p>
  </w:footnote>
  <w:footnote w:id="694">
    <w:p w14:paraId="520FA948" w14:textId="77777777" w:rsidR="00242EFA" w:rsidRPr="00A9300C" w:rsidRDefault="00242EFA" w:rsidP="00242EFA">
      <w:pPr>
        <w:pStyle w:val="FootnoteText"/>
        <w:ind w:firstLine="0"/>
      </w:pPr>
      <w:r>
        <w:rPr>
          <w:rStyle w:val="FootnoteReference"/>
        </w:rPr>
        <w:footnoteRef/>
      </w:r>
      <w:r w:rsidRPr="00A9300C">
        <w:rPr>
          <w:i/>
          <w:iCs/>
        </w:rPr>
        <w:t xml:space="preserve"> </w:t>
      </w:r>
      <w:r w:rsidRPr="00456AD5">
        <w:rPr>
          <w:lang w:val="pt-PT"/>
        </w:rPr>
        <w:t>41 et 89</w:t>
      </w:r>
      <w:r>
        <w:rPr>
          <w:lang w:val="pt-PT"/>
        </w:rPr>
        <w:t xml:space="preserve">] </w:t>
      </w:r>
      <w:r w:rsidRPr="00A9300C">
        <w:rPr>
          <w:i/>
          <w:iCs/>
        </w:rPr>
        <w:t>marg</w:t>
      </w:r>
      <w:r>
        <w:rPr>
          <w:i/>
          <w:iCs/>
        </w:rPr>
        <w:t>.</w:t>
      </w:r>
    </w:p>
  </w:footnote>
  <w:footnote w:id="695">
    <w:p w14:paraId="3DDE0733" w14:textId="77777777" w:rsidR="00242EFA" w:rsidRDefault="00242EFA" w:rsidP="00242EFA">
      <w:pPr>
        <w:pStyle w:val="FootnoteText"/>
        <w:ind w:firstLine="0"/>
      </w:pPr>
      <w:r>
        <w:rPr>
          <w:rStyle w:val="FootnoteReference"/>
        </w:rPr>
        <w:footnoteRef/>
      </w:r>
      <w:r>
        <w:t xml:space="preserve"> </w:t>
      </w:r>
      <w:r w:rsidRPr="00F14176">
        <w:t>Similiter folio I […] item III</w:t>
      </w:r>
      <w:r>
        <w:t xml:space="preserve">] </w:t>
      </w:r>
      <w:r w:rsidRPr="00F14176">
        <w:rPr>
          <w:i/>
          <w:iCs/>
        </w:rPr>
        <w:t>marg</w:t>
      </w:r>
      <w:r>
        <w:t>.</w:t>
      </w:r>
    </w:p>
  </w:footnote>
  <w:footnote w:id="696">
    <w:p w14:paraId="09C6F36A" w14:textId="77777777" w:rsidR="00242EFA" w:rsidRDefault="00242EFA" w:rsidP="00242EFA">
      <w:pPr>
        <w:pStyle w:val="FootnoteText"/>
        <w:ind w:firstLine="0"/>
      </w:pPr>
      <w:r>
        <w:rPr>
          <w:rStyle w:val="FootnoteReference"/>
        </w:rPr>
        <w:footnoteRef/>
      </w:r>
      <w:r>
        <w:t xml:space="preserve"> ablitus] </w:t>
      </w:r>
      <w:r>
        <w:rPr>
          <w:i/>
          <w:iCs/>
        </w:rPr>
        <w:t xml:space="preserve">con. </w:t>
      </w:r>
      <w:r>
        <w:t>habitus?</w:t>
      </w:r>
    </w:p>
  </w:footnote>
  <w:footnote w:id="697">
    <w:p w14:paraId="3074F2B7" w14:textId="77777777" w:rsidR="00242EFA" w:rsidRPr="00A9300C" w:rsidRDefault="00242EFA" w:rsidP="00242EFA">
      <w:pPr>
        <w:pStyle w:val="FootnoteText"/>
        <w:ind w:firstLine="0"/>
        <w:rPr>
          <w:lang w:val="fr-FR"/>
        </w:rPr>
      </w:pPr>
      <w:r>
        <w:rPr>
          <w:rStyle w:val="FootnoteReference"/>
        </w:rPr>
        <w:footnoteRef/>
      </w:r>
      <w:r w:rsidRPr="00A9300C">
        <w:rPr>
          <w:lang w:val="fr-FR"/>
        </w:rPr>
        <w:t xml:space="preserve"> </w:t>
      </w:r>
      <w:r>
        <w:rPr>
          <w:lang w:val="fr-FR"/>
        </w:rPr>
        <w:t xml:space="preserve">tranciet] </w:t>
      </w:r>
      <w:r>
        <w:rPr>
          <w:i/>
          <w:iCs/>
          <w:lang w:val="fr-FR"/>
        </w:rPr>
        <w:t>r</w:t>
      </w:r>
      <w:r w:rsidRPr="00A9300C">
        <w:rPr>
          <w:i/>
          <w:iCs/>
          <w:lang w:val="fr-FR"/>
        </w:rPr>
        <w:t>ecte</w:t>
      </w:r>
      <w:r w:rsidRPr="00A9300C">
        <w:rPr>
          <w:lang w:val="fr-FR"/>
        </w:rPr>
        <w:t>: transiet</w:t>
      </w:r>
    </w:p>
  </w:footnote>
  <w:footnote w:id="698">
    <w:p w14:paraId="11901BB8" w14:textId="77777777" w:rsidR="00242EFA" w:rsidRPr="00494342" w:rsidRDefault="00242EFA" w:rsidP="00242EFA">
      <w:pPr>
        <w:pStyle w:val="FootnoteText"/>
        <w:ind w:firstLine="0"/>
        <w:rPr>
          <w:lang w:val="fr-FR"/>
        </w:rPr>
      </w:pPr>
      <w:r>
        <w:rPr>
          <w:rStyle w:val="FootnoteReference"/>
        </w:rPr>
        <w:footnoteRef/>
      </w:r>
      <w:r w:rsidRPr="00494342">
        <w:rPr>
          <w:lang w:val="fr-FR"/>
        </w:rPr>
        <w:t xml:space="preserve"> </w:t>
      </w:r>
      <w:r>
        <w:rPr>
          <w:lang w:val="fr-FR"/>
        </w:rPr>
        <w:t xml:space="preserve">desponsationem] </w:t>
      </w:r>
      <w:r>
        <w:rPr>
          <w:i/>
          <w:iCs/>
          <w:lang w:val="fr-FR"/>
        </w:rPr>
        <w:t>r</w:t>
      </w:r>
      <w:r w:rsidRPr="00494342">
        <w:rPr>
          <w:i/>
          <w:iCs/>
          <w:lang w:val="fr-FR"/>
        </w:rPr>
        <w:t>ecte</w:t>
      </w:r>
      <w:r w:rsidRPr="00494342">
        <w:rPr>
          <w:lang w:val="fr-FR"/>
        </w:rPr>
        <w:t>: dispositionem</w:t>
      </w:r>
    </w:p>
  </w:footnote>
  <w:footnote w:id="699">
    <w:p w14:paraId="60840F06" w14:textId="77777777" w:rsidR="00242EFA" w:rsidRPr="00494342" w:rsidRDefault="00242EFA" w:rsidP="00242EFA">
      <w:pPr>
        <w:pStyle w:val="FootnoteText"/>
        <w:ind w:firstLine="0"/>
        <w:rPr>
          <w:lang w:val="fr-FR"/>
        </w:rPr>
      </w:pPr>
      <w:r>
        <w:rPr>
          <w:rStyle w:val="FootnoteReference"/>
        </w:rPr>
        <w:footnoteRef/>
      </w:r>
      <w:r w:rsidRPr="00494342">
        <w:rPr>
          <w:lang w:val="fr-FR"/>
        </w:rPr>
        <w:t xml:space="preserve"> </w:t>
      </w:r>
      <w:r>
        <w:rPr>
          <w:lang w:val="fr-FR"/>
        </w:rPr>
        <w:t xml:space="preserve">disponitur] </w:t>
      </w:r>
      <w:r>
        <w:rPr>
          <w:i/>
          <w:iCs/>
          <w:lang w:val="fr-FR"/>
        </w:rPr>
        <w:t>r</w:t>
      </w:r>
      <w:r w:rsidRPr="00494342">
        <w:rPr>
          <w:i/>
          <w:iCs/>
          <w:lang w:val="fr-FR"/>
        </w:rPr>
        <w:t>ecte</w:t>
      </w:r>
      <w:r>
        <w:rPr>
          <w:lang w:val="fr-FR"/>
        </w:rPr>
        <w:t>: dispositis</w:t>
      </w:r>
    </w:p>
  </w:footnote>
  <w:footnote w:id="700">
    <w:p w14:paraId="45414753" w14:textId="77777777" w:rsidR="00242EFA" w:rsidRPr="00323631" w:rsidRDefault="00242EFA" w:rsidP="00242EFA">
      <w:pPr>
        <w:pStyle w:val="FootnoteText"/>
        <w:ind w:firstLine="0"/>
        <w:rPr>
          <w:lang w:val="fr-FR"/>
        </w:rPr>
      </w:pPr>
      <w:r>
        <w:rPr>
          <w:rStyle w:val="FootnoteReference"/>
        </w:rPr>
        <w:footnoteRef/>
      </w:r>
      <w:r w:rsidRPr="00323631">
        <w:rPr>
          <w:lang w:val="fr-FR"/>
        </w:rPr>
        <w:t xml:space="preserve"> </w:t>
      </w:r>
      <w:r>
        <w:rPr>
          <w:lang w:val="fr-FR"/>
        </w:rPr>
        <w:t xml:space="preserve">tertii] </w:t>
      </w:r>
      <w:r>
        <w:rPr>
          <w:i/>
          <w:iCs/>
          <w:lang w:val="fr-FR"/>
        </w:rPr>
        <w:t>r</w:t>
      </w:r>
      <w:r w:rsidRPr="00A214B6">
        <w:rPr>
          <w:i/>
          <w:iCs/>
          <w:lang w:val="fr-FR"/>
        </w:rPr>
        <w:t>ecte</w:t>
      </w:r>
      <w:r>
        <w:rPr>
          <w:lang w:val="fr-FR"/>
        </w:rPr>
        <w:t>: quarti</w:t>
      </w:r>
    </w:p>
  </w:footnote>
  <w:footnote w:id="701">
    <w:p w14:paraId="745A1570" w14:textId="77777777" w:rsidR="00242EFA" w:rsidRPr="00494342" w:rsidRDefault="00242EFA" w:rsidP="00242EFA">
      <w:pPr>
        <w:pStyle w:val="FootnoteText"/>
        <w:ind w:firstLine="0"/>
        <w:rPr>
          <w:lang w:val="fr-FR"/>
        </w:rPr>
      </w:pPr>
      <w:r>
        <w:rPr>
          <w:rStyle w:val="FootnoteReference"/>
        </w:rPr>
        <w:footnoteRef/>
      </w:r>
      <w:r w:rsidRPr="00494342">
        <w:rPr>
          <w:lang w:val="fr-FR"/>
        </w:rPr>
        <w:t xml:space="preserve"> </w:t>
      </w:r>
      <w:r>
        <w:rPr>
          <w:lang w:val="fr-FR"/>
        </w:rPr>
        <w:t xml:space="preserve">par] </w:t>
      </w:r>
      <w:r>
        <w:rPr>
          <w:i/>
          <w:iCs/>
          <w:lang w:val="fr-FR"/>
        </w:rPr>
        <w:t>recte :</w:t>
      </w:r>
      <w:r w:rsidRPr="00494342">
        <w:rPr>
          <w:lang w:val="fr-FR"/>
        </w:rPr>
        <w:t xml:space="preserve"> impar</w:t>
      </w:r>
    </w:p>
  </w:footnote>
  <w:footnote w:id="702">
    <w:p w14:paraId="3EF5652B" w14:textId="77777777" w:rsidR="00242EFA" w:rsidRPr="00E632C9" w:rsidRDefault="00242EFA" w:rsidP="00242EFA">
      <w:pPr>
        <w:pStyle w:val="FootnoteText"/>
        <w:ind w:firstLine="0"/>
        <w:rPr>
          <w:lang w:val="fr-FR"/>
        </w:rPr>
      </w:pPr>
      <w:r>
        <w:rPr>
          <w:rStyle w:val="FootnoteReference"/>
        </w:rPr>
        <w:footnoteRef/>
      </w:r>
      <w:r w:rsidRPr="00E632C9">
        <w:rPr>
          <w:lang w:val="fr-FR"/>
        </w:rPr>
        <w:t xml:space="preserve"> </w:t>
      </w:r>
      <w:r>
        <w:rPr>
          <w:lang w:val="fr-FR"/>
        </w:rPr>
        <w:t xml:space="preserve">tantum] </w:t>
      </w:r>
      <w:r>
        <w:rPr>
          <w:i/>
          <w:iCs/>
          <w:lang w:val="fr-FR"/>
        </w:rPr>
        <w:t>con.</w:t>
      </w:r>
      <w:r w:rsidRPr="00E632C9">
        <w:rPr>
          <w:lang w:val="fr-FR"/>
        </w:rPr>
        <w:t xml:space="preserve"> tamen</w:t>
      </w:r>
    </w:p>
  </w:footnote>
  <w:footnote w:id="703">
    <w:p w14:paraId="673709A5" w14:textId="77777777" w:rsidR="00242EFA" w:rsidRPr="00E632C9" w:rsidRDefault="00242EFA" w:rsidP="00242EFA">
      <w:pPr>
        <w:pStyle w:val="FootnoteText"/>
        <w:ind w:firstLine="0"/>
        <w:rPr>
          <w:lang w:val="fr-FR"/>
        </w:rPr>
      </w:pPr>
      <w:r>
        <w:rPr>
          <w:rStyle w:val="FootnoteReference"/>
        </w:rPr>
        <w:footnoteRef/>
      </w:r>
      <w:r w:rsidRPr="00E632C9">
        <w:rPr>
          <w:lang w:val="fr-FR"/>
        </w:rPr>
        <w:t xml:space="preserve"> </w:t>
      </w:r>
      <w:r>
        <w:rPr>
          <w:lang w:val="fr-FR"/>
        </w:rPr>
        <w:t xml:space="preserve">tamen] </w:t>
      </w:r>
      <w:r>
        <w:rPr>
          <w:i/>
          <w:iCs/>
          <w:lang w:val="fr-FR"/>
        </w:rPr>
        <w:t>r</w:t>
      </w:r>
      <w:r w:rsidRPr="00E632C9">
        <w:rPr>
          <w:i/>
          <w:iCs/>
          <w:lang w:val="fr-FR"/>
        </w:rPr>
        <w:t>ecte</w:t>
      </w:r>
      <w:r>
        <w:rPr>
          <w:i/>
          <w:iCs/>
          <w:lang w:val="fr-FR"/>
        </w:rPr>
        <w:t>:</w:t>
      </w:r>
      <w:r>
        <w:rPr>
          <w:lang w:val="fr-FR"/>
        </w:rPr>
        <w:t xml:space="preserve"> quam</w:t>
      </w:r>
    </w:p>
  </w:footnote>
  <w:footnote w:id="704">
    <w:p w14:paraId="4579F5C7" w14:textId="77777777" w:rsidR="00242EFA" w:rsidRPr="00E803B4" w:rsidRDefault="00242EFA" w:rsidP="00242EFA">
      <w:pPr>
        <w:pStyle w:val="FootnoteText"/>
        <w:ind w:firstLine="0"/>
        <w:rPr>
          <w:lang w:val="fr-FR"/>
        </w:rPr>
      </w:pPr>
      <w:r>
        <w:rPr>
          <w:rStyle w:val="FootnoteReference"/>
        </w:rPr>
        <w:footnoteRef/>
      </w:r>
      <w:r w:rsidRPr="00E803B4">
        <w:rPr>
          <w:lang w:val="fr-FR"/>
        </w:rPr>
        <w:t xml:space="preserve"> </w:t>
      </w:r>
      <w:r>
        <w:rPr>
          <w:lang w:val="fr-FR"/>
        </w:rPr>
        <w:t xml:space="preserve">qui] </w:t>
      </w:r>
      <w:r>
        <w:rPr>
          <w:i/>
          <w:iCs/>
          <w:lang w:val="fr-FR"/>
        </w:rPr>
        <w:t>r</w:t>
      </w:r>
      <w:r w:rsidRPr="00E803B4">
        <w:rPr>
          <w:i/>
          <w:iCs/>
          <w:lang w:val="fr-FR"/>
        </w:rPr>
        <w:t>ecte</w:t>
      </w:r>
      <w:r>
        <w:rPr>
          <w:i/>
          <w:iCs/>
          <w:lang w:val="fr-FR"/>
        </w:rPr>
        <w:t>:</w:t>
      </w:r>
      <w:r>
        <w:rPr>
          <w:lang w:val="fr-FR"/>
        </w:rPr>
        <w:t xml:space="preserve"> cui</w:t>
      </w:r>
    </w:p>
  </w:footnote>
  <w:footnote w:id="705">
    <w:p w14:paraId="72D6B047" w14:textId="77777777" w:rsidR="00242EFA" w:rsidRPr="00F35BF3" w:rsidRDefault="00242EFA" w:rsidP="00242EFA">
      <w:pPr>
        <w:pStyle w:val="FootnoteText"/>
        <w:ind w:firstLine="0"/>
        <w:rPr>
          <w:lang w:val="fr-FR"/>
        </w:rPr>
      </w:pPr>
      <w:r>
        <w:rPr>
          <w:rStyle w:val="FootnoteReference"/>
        </w:rPr>
        <w:footnoteRef/>
      </w:r>
      <w:r w:rsidRPr="00F35BF3">
        <w:rPr>
          <w:lang w:val="fr-FR"/>
        </w:rPr>
        <w:t xml:space="preserve"> </w:t>
      </w:r>
      <w:r>
        <w:rPr>
          <w:lang w:val="fr-FR"/>
        </w:rPr>
        <w:t xml:space="preserve">ab] </w:t>
      </w:r>
      <w:r>
        <w:rPr>
          <w:i/>
          <w:iCs/>
          <w:lang w:val="fr-FR"/>
        </w:rPr>
        <w:t>r</w:t>
      </w:r>
      <w:r w:rsidRPr="00F35BF3">
        <w:rPr>
          <w:i/>
          <w:iCs/>
          <w:lang w:val="fr-FR"/>
        </w:rPr>
        <w:t>ecte</w:t>
      </w:r>
      <w:r>
        <w:rPr>
          <w:i/>
          <w:iCs/>
          <w:lang w:val="fr-FR"/>
        </w:rPr>
        <w:t>:</w:t>
      </w:r>
      <w:r>
        <w:rPr>
          <w:lang w:val="fr-FR"/>
        </w:rPr>
        <w:t xml:space="preserve"> ad</w:t>
      </w:r>
    </w:p>
  </w:footnote>
  <w:footnote w:id="706">
    <w:p w14:paraId="31357D98" w14:textId="77777777" w:rsidR="00242EFA" w:rsidRPr="00E632C9" w:rsidRDefault="00242EFA" w:rsidP="00242EFA">
      <w:pPr>
        <w:pStyle w:val="FootnoteText"/>
        <w:ind w:firstLine="0"/>
        <w:rPr>
          <w:lang w:val="fr-FR"/>
        </w:rPr>
      </w:pPr>
      <w:r>
        <w:rPr>
          <w:rStyle w:val="FootnoteReference"/>
        </w:rPr>
        <w:footnoteRef/>
      </w:r>
      <w:r w:rsidRPr="00E632C9">
        <w:rPr>
          <w:lang w:val="fr-FR"/>
        </w:rPr>
        <w:t xml:space="preserve"> </w:t>
      </w:r>
      <w:r>
        <w:rPr>
          <w:lang w:val="fr-FR"/>
        </w:rPr>
        <w:t xml:space="preserve">patre] </w:t>
      </w:r>
      <w:r>
        <w:rPr>
          <w:i/>
          <w:iCs/>
          <w:lang w:val="fr-FR"/>
        </w:rPr>
        <w:t>r</w:t>
      </w:r>
      <w:r w:rsidRPr="00E632C9">
        <w:rPr>
          <w:i/>
          <w:iCs/>
          <w:lang w:val="fr-FR"/>
        </w:rPr>
        <w:t>ecte</w:t>
      </w:r>
      <w:r>
        <w:rPr>
          <w:i/>
          <w:iCs/>
          <w:lang w:val="fr-FR"/>
        </w:rPr>
        <w:t>:</w:t>
      </w:r>
      <w:r w:rsidRPr="00E632C9">
        <w:rPr>
          <w:lang w:val="fr-FR"/>
        </w:rPr>
        <w:t xml:space="preserve"> patris</w:t>
      </w:r>
    </w:p>
  </w:footnote>
  <w:footnote w:id="707">
    <w:p w14:paraId="6C1FF5FA" w14:textId="77777777" w:rsidR="00242EFA" w:rsidRPr="00A9300C" w:rsidRDefault="00242EFA" w:rsidP="00242EFA">
      <w:pPr>
        <w:pStyle w:val="FootnoteText"/>
        <w:ind w:firstLine="0"/>
        <w:rPr>
          <w:lang w:val="fr-FR"/>
        </w:rPr>
      </w:pPr>
      <w:r>
        <w:rPr>
          <w:rStyle w:val="FootnoteReference"/>
        </w:rPr>
        <w:footnoteRef/>
      </w:r>
      <w:r w:rsidRPr="00A9300C">
        <w:rPr>
          <w:lang w:val="fr-FR"/>
        </w:rPr>
        <w:t xml:space="preserve"> </w:t>
      </w:r>
      <w:r>
        <w:rPr>
          <w:lang w:val="fr-FR"/>
        </w:rPr>
        <w:t xml:space="preserve">querunt] </w:t>
      </w:r>
      <w:r>
        <w:rPr>
          <w:i/>
          <w:iCs/>
          <w:lang w:val="fr-FR"/>
        </w:rPr>
        <w:t>con.</w:t>
      </w:r>
      <w:r w:rsidRPr="00A9300C">
        <w:rPr>
          <w:lang w:val="fr-FR"/>
        </w:rPr>
        <w:t xml:space="preserve"> querit</w:t>
      </w:r>
    </w:p>
  </w:footnote>
  <w:footnote w:id="708">
    <w:p w14:paraId="212C55C8" w14:textId="77777777" w:rsidR="00242EFA" w:rsidRPr="009E77A4" w:rsidRDefault="00242EFA" w:rsidP="00242EFA">
      <w:pPr>
        <w:pStyle w:val="FootnoteText"/>
        <w:ind w:firstLine="0"/>
        <w:rPr>
          <w:lang w:val="fr-FR"/>
        </w:rPr>
      </w:pPr>
      <w:r>
        <w:rPr>
          <w:rStyle w:val="FootnoteReference"/>
        </w:rPr>
        <w:footnoteRef/>
      </w:r>
      <w:r w:rsidRPr="009E77A4">
        <w:rPr>
          <w:lang w:val="fr-FR"/>
        </w:rPr>
        <w:t xml:space="preserve"> </w:t>
      </w:r>
      <w:r>
        <w:rPr>
          <w:lang w:val="fr-FR"/>
        </w:rPr>
        <w:t xml:space="preserve">est] </w:t>
      </w:r>
      <w:r>
        <w:rPr>
          <w:i/>
          <w:iCs/>
          <w:lang w:val="fr-FR"/>
        </w:rPr>
        <w:t>con.</w:t>
      </w:r>
      <w:r w:rsidRPr="009E77A4">
        <w:rPr>
          <w:lang w:val="fr-FR"/>
        </w:rPr>
        <w:t xml:space="preserve"> eius</w:t>
      </w:r>
    </w:p>
  </w:footnote>
  <w:footnote w:id="709">
    <w:p w14:paraId="3CE3AB1B" w14:textId="77777777" w:rsidR="00242EFA" w:rsidRPr="009E77A4" w:rsidRDefault="00242EFA" w:rsidP="00242EFA">
      <w:pPr>
        <w:pStyle w:val="FootnoteText"/>
        <w:ind w:firstLine="0"/>
        <w:rPr>
          <w:lang w:val="fr-FR"/>
        </w:rPr>
      </w:pPr>
      <w:r>
        <w:rPr>
          <w:rStyle w:val="FootnoteReference"/>
        </w:rPr>
        <w:footnoteRef/>
      </w:r>
      <w:r w:rsidRPr="009E77A4">
        <w:rPr>
          <w:lang w:val="fr-FR"/>
        </w:rPr>
        <w:t xml:space="preserve"> </w:t>
      </w:r>
      <w:r>
        <w:rPr>
          <w:lang w:val="fr-FR"/>
        </w:rPr>
        <w:t xml:space="preserve">quod] </w:t>
      </w:r>
      <w:r>
        <w:rPr>
          <w:i/>
          <w:iCs/>
          <w:lang w:val="fr-FR"/>
        </w:rPr>
        <w:t>r</w:t>
      </w:r>
      <w:r w:rsidRPr="009E77A4">
        <w:rPr>
          <w:i/>
          <w:iCs/>
          <w:lang w:val="fr-FR"/>
        </w:rPr>
        <w:t>ecte</w:t>
      </w:r>
      <w:r>
        <w:rPr>
          <w:i/>
          <w:iCs/>
          <w:lang w:val="fr-FR"/>
        </w:rPr>
        <w:t>:</w:t>
      </w:r>
      <w:r>
        <w:rPr>
          <w:lang w:val="fr-FR"/>
        </w:rPr>
        <w:t xml:space="preserve"> qui</w:t>
      </w:r>
    </w:p>
  </w:footnote>
  <w:footnote w:id="710">
    <w:p w14:paraId="7952C99B" w14:textId="5EEEE38E" w:rsidR="008C4622" w:rsidRDefault="008C4622" w:rsidP="008C4622">
      <w:pPr>
        <w:pStyle w:val="FootnoteText"/>
        <w:ind w:firstLine="0"/>
      </w:pPr>
      <w:r>
        <w:rPr>
          <w:rStyle w:val="FootnoteReference"/>
        </w:rPr>
        <w:footnoteRef/>
      </w:r>
      <w:r>
        <w:t xml:space="preserve"> The fact that it was possible only to do a diplomatic edition of this treatise and that the reading of the Cambridge manuscript not always makes sense has affected its translation into English, which may therefore appear obscure in some passages.</w:t>
      </w:r>
    </w:p>
  </w:footnote>
  <w:footnote w:id="711">
    <w:p w14:paraId="50FB75BF" w14:textId="6BD132E8" w:rsidR="00E633FD" w:rsidRDefault="00E633FD" w:rsidP="00E633FD">
      <w:pPr>
        <w:pStyle w:val="FootnoteText"/>
        <w:ind w:firstLine="0"/>
      </w:pPr>
      <w:r>
        <w:rPr>
          <w:rStyle w:val="FootnoteReference"/>
        </w:rPr>
        <w:footnoteRef/>
      </w:r>
      <w:r>
        <w:t xml:space="preserve"> See passage 25.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3A18F33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C4851A5"/>
    <w:multiLevelType w:val="hybridMultilevel"/>
    <w:tmpl w:val="54247736"/>
    <w:lvl w:ilvl="0" w:tplc="B22CE16A">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D01199"/>
    <w:multiLevelType w:val="hybridMultilevel"/>
    <w:tmpl w:val="073014E8"/>
    <w:lvl w:ilvl="0" w:tplc="0C08D86A">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A6367F"/>
    <w:multiLevelType w:val="hybridMultilevel"/>
    <w:tmpl w:val="C6BA8A44"/>
    <w:lvl w:ilvl="0" w:tplc="C37A9DB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784DA7"/>
    <w:multiLevelType w:val="hybridMultilevel"/>
    <w:tmpl w:val="A796A196"/>
    <w:lvl w:ilvl="0" w:tplc="DFECDB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922043"/>
    <w:multiLevelType w:val="hybridMultilevel"/>
    <w:tmpl w:val="7FFECD7E"/>
    <w:lvl w:ilvl="0" w:tplc="569653FC">
      <w:start w:val="1"/>
      <w:numFmt w:val="decimal"/>
      <w:lvlText w:val="%1."/>
      <w:lvlJc w:val="left"/>
      <w:pPr>
        <w:ind w:left="720" w:hanging="360"/>
      </w:pPr>
      <w:rPr>
        <w:rFonts w:hint="default"/>
        <w:b w:val="0"/>
        <w:bCs w:val="0"/>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25B3F2E"/>
    <w:multiLevelType w:val="hybridMultilevel"/>
    <w:tmpl w:val="32C4D8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F880934"/>
    <w:multiLevelType w:val="hybridMultilevel"/>
    <w:tmpl w:val="CCD8F4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B733FD2"/>
    <w:multiLevelType w:val="hybridMultilevel"/>
    <w:tmpl w:val="503A17B0"/>
    <w:lvl w:ilvl="0" w:tplc="DFECDB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33F6A61"/>
    <w:multiLevelType w:val="hybridMultilevel"/>
    <w:tmpl w:val="77C8CAB2"/>
    <w:lvl w:ilvl="0" w:tplc="F336272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922082"/>
    <w:multiLevelType w:val="hybridMultilevel"/>
    <w:tmpl w:val="13B2DB36"/>
    <w:lvl w:ilvl="0" w:tplc="EE0E0D4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8814D3F"/>
    <w:multiLevelType w:val="hybridMultilevel"/>
    <w:tmpl w:val="CDFE2C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A3634F8"/>
    <w:multiLevelType w:val="hybridMultilevel"/>
    <w:tmpl w:val="EB84D630"/>
    <w:lvl w:ilvl="0" w:tplc="63DC8F7C">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C910D98"/>
    <w:multiLevelType w:val="hybridMultilevel"/>
    <w:tmpl w:val="14241724"/>
    <w:lvl w:ilvl="0" w:tplc="777413CA">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num w:numId="1" w16cid:durableId="2144344182">
    <w:abstractNumId w:val="3"/>
  </w:num>
  <w:num w:numId="2" w16cid:durableId="115829793">
    <w:abstractNumId w:val="0"/>
  </w:num>
  <w:num w:numId="3" w16cid:durableId="936644253">
    <w:abstractNumId w:val="2"/>
  </w:num>
  <w:num w:numId="4" w16cid:durableId="1981761291">
    <w:abstractNumId w:val="9"/>
  </w:num>
  <w:num w:numId="5" w16cid:durableId="1551113766">
    <w:abstractNumId w:val="13"/>
  </w:num>
  <w:num w:numId="6" w16cid:durableId="253830494">
    <w:abstractNumId w:val="11"/>
  </w:num>
  <w:num w:numId="7" w16cid:durableId="468939910">
    <w:abstractNumId w:val="7"/>
  </w:num>
  <w:num w:numId="8" w16cid:durableId="1073505214">
    <w:abstractNumId w:val="5"/>
  </w:num>
  <w:num w:numId="9" w16cid:durableId="1685552323">
    <w:abstractNumId w:val="6"/>
  </w:num>
  <w:num w:numId="10" w16cid:durableId="704410150">
    <w:abstractNumId w:val="1"/>
  </w:num>
  <w:num w:numId="11" w16cid:durableId="1082606449">
    <w:abstractNumId w:val="4"/>
  </w:num>
  <w:num w:numId="12" w16cid:durableId="1937130288">
    <w:abstractNumId w:val="8"/>
  </w:num>
  <w:num w:numId="13" w16cid:durableId="1793598315">
    <w:abstractNumId w:val="10"/>
  </w:num>
  <w:num w:numId="14" w16cid:durableId="11016838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7"/>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791488"/>
    <w:rsid w:val="000018BF"/>
    <w:rsid w:val="00002385"/>
    <w:rsid w:val="000028D0"/>
    <w:rsid w:val="00004DD5"/>
    <w:rsid w:val="00004E12"/>
    <w:rsid w:val="00005140"/>
    <w:rsid w:val="00005DC5"/>
    <w:rsid w:val="00005FE2"/>
    <w:rsid w:val="00006401"/>
    <w:rsid w:val="000067F2"/>
    <w:rsid w:val="00006E43"/>
    <w:rsid w:val="00011343"/>
    <w:rsid w:val="00011365"/>
    <w:rsid w:val="00011906"/>
    <w:rsid w:val="000121CB"/>
    <w:rsid w:val="0001258F"/>
    <w:rsid w:val="00012862"/>
    <w:rsid w:val="000159D3"/>
    <w:rsid w:val="0001613C"/>
    <w:rsid w:val="0002087D"/>
    <w:rsid w:val="00021C52"/>
    <w:rsid w:val="00025414"/>
    <w:rsid w:val="00025FCF"/>
    <w:rsid w:val="00026478"/>
    <w:rsid w:val="00026CBA"/>
    <w:rsid w:val="000274DD"/>
    <w:rsid w:val="00027D8B"/>
    <w:rsid w:val="00030B74"/>
    <w:rsid w:val="00030C27"/>
    <w:rsid w:val="000317A8"/>
    <w:rsid w:val="00031F52"/>
    <w:rsid w:val="0003235A"/>
    <w:rsid w:val="000327D5"/>
    <w:rsid w:val="00033882"/>
    <w:rsid w:val="00034DC1"/>
    <w:rsid w:val="000361A3"/>
    <w:rsid w:val="00036C29"/>
    <w:rsid w:val="00040EF8"/>
    <w:rsid w:val="00041B01"/>
    <w:rsid w:val="0004237F"/>
    <w:rsid w:val="000444E0"/>
    <w:rsid w:val="00044CD7"/>
    <w:rsid w:val="00044E79"/>
    <w:rsid w:val="000507AE"/>
    <w:rsid w:val="00050852"/>
    <w:rsid w:val="00050FD4"/>
    <w:rsid w:val="00051EEC"/>
    <w:rsid w:val="00052005"/>
    <w:rsid w:val="000522F2"/>
    <w:rsid w:val="000551F9"/>
    <w:rsid w:val="00056FAF"/>
    <w:rsid w:val="00057713"/>
    <w:rsid w:val="00060914"/>
    <w:rsid w:val="00062121"/>
    <w:rsid w:val="00064591"/>
    <w:rsid w:val="000648BE"/>
    <w:rsid w:val="00065636"/>
    <w:rsid w:val="000659C2"/>
    <w:rsid w:val="0006688A"/>
    <w:rsid w:val="00067066"/>
    <w:rsid w:val="00070EE3"/>
    <w:rsid w:val="00071FE1"/>
    <w:rsid w:val="0007232F"/>
    <w:rsid w:val="00073390"/>
    <w:rsid w:val="00074EF6"/>
    <w:rsid w:val="000752B9"/>
    <w:rsid w:val="00075BFC"/>
    <w:rsid w:val="00075DBA"/>
    <w:rsid w:val="00077489"/>
    <w:rsid w:val="00080178"/>
    <w:rsid w:val="0008174E"/>
    <w:rsid w:val="0008293A"/>
    <w:rsid w:val="000839E2"/>
    <w:rsid w:val="00084750"/>
    <w:rsid w:val="00085056"/>
    <w:rsid w:val="00085E71"/>
    <w:rsid w:val="00086C3E"/>
    <w:rsid w:val="000901CF"/>
    <w:rsid w:val="00090E14"/>
    <w:rsid w:val="000921B8"/>
    <w:rsid w:val="00093432"/>
    <w:rsid w:val="000934AC"/>
    <w:rsid w:val="000943CA"/>
    <w:rsid w:val="000966B6"/>
    <w:rsid w:val="000A0F32"/>
    <w:rsid w:val="000A209F"/>
    <w:rsid w:val="000A2491"/>
    <w:rsid w:val="000A31AD"/>
    <w:rsid w:val="000A333A"/>
    <w:rsid w:val="000A583E"/>
    <w:rsid w:val="000A732C"/>
    <w:rsid w:val="000B0696"/>
    <w:rsid w:val="000B1A23"/>
    <w:rsid w:val="000B22E2"/>
    <w:rsid w:val="000B245D"/>
    <w:rsid w:val="000B2685"/>
    <w:rsid w:val="000B2A5C"/>
    <w:rsid w:val="000B3172"/>
    <w:rsid w:val="000B3EEB"/>
    <w:rsid w:val="000B5E3A"/>
    <w:rsid w:val="000C0761"/>
    <w:rsid w:val="000C0EC8"/>
    <w:rsid w:val="000C1441"/>
    <w:rsid w:val="000C173F"/>
    <w:rsid w:val="000C38D1"/>
    <w:rsid w:val="000C407B"/>
    <w:rsid w:val="000C4268"/>
    <w:rsid w:val="000C7E73"/>
    <w:rsid w:val="000D192A"/>
    <w:rsid w:val="000D1C5B"/>
    <w:rsid w:val="000D2277"/>
    <w:rsid w:val="000D2E42"/>
    <w:rsid w:val="000D354E"/>
    <w:rsid w:val="000D38BA"/>
    <w:rsid w:val="000D4058"/>
    <w:rsid w:val="000D4540"/>
    <w:rsid w:val="000D79F7"/>
    <w:rsid w:val="000D7B7D"/>
    <w:rsid w:val="000D7E2C"/>
    <w:rsid w:val="000E09C8"/>
    <w:rsid w:val="000E2983"/>
    <w:rsid w:val="000E3C3D"/>
    <w:rsid w:val="000E4EF2"/>
    <w:rsid w:val="000E7BFA"/>
    <w:rsid w:val="000F413D"/>
    <w:rsid w:val="000F508A"/>
    <w:rsid w:val="000F660F"/>
    <w:rsid w:val="000F7C99"/>
    <w:rsid w:val="00101043"/>
    <w:rsid w:val="00101673"/>
    <w:rsid w:val="00101A66"/>
    <w:rsid w:val="00102D17"/>
    <w:rsid w:val="001033C6"/>
    <w:rsid w:val="001035DA"/>
    <w:rsid w:val="00104C38"/>
    <w:rsid w:val="001052DA"/>
    <w:rsid w:val="00105B2C"/>
    <w:rsid w:val="00105D7A"/>
    <w:rsid w:val="00105EED"/>
    <w:rsid w:val="0011071B"/>
    <w:rsid w:val="001117E1"/>
    <w:rsid w:val="00111848"/>
    <w:rsid w:val="00111BC4"/>
    <w:rsid w:val="00112182"/>
    <w:rsid w:val="00114F06"/>
    <w:rsid w:val="00116AD5"/>
    <w:rsid w:val="00116D49"/>
    <w:rsid w:val="001179A2"/>
    <w:rsid w:val="00121487"/>
    <w:rsid w:val="001250EA"/>
    <w:rsid w:val="00126F41"/>
    <w:rsid w:val="0013136C"/>
    <w:rsid w:val="00131D8B"/>
    <w:rsid w:val="00132DFE"/>
    <w:rsid w:val="0013351A"/>
    <w:rsid w:val="00134B32"/>
    <w:rsid w:val="001354B1"/>
    <w:rsid w:val="001431A6"/>
    <w:rsid w:val="001442D1"/>
    <w:rsid w:val="001461AA"/>
    <w:rsid w:val="0014728A"/>
    <w:rsid w:val="0014763C"/>
    <w:rsid w:val="0014796D"/>
    <w:rsid w:val="0015184D"/>
    <w:rsid w:val="001546AB"/>
    <w:rsid w:val="001550A3"/>
    <w:rsid w:val="00155221"/>
    <w:rsid w:val="00155780"/>
    <w:rsid w:val="00156BFC"/>
    <w:rsid w:val="00157B3C"/>
    <w:rsid w:val="00157E04"/>
    <w:rsid w:val="00164FA4"/>
    <w:rsid w:val="00165536"/>
    <w:rsid w:val="00165919"/>
    <w:rsid w:val="00166206"/>
    <w:rsid w:val="00166686"/>
    <w:rsid w:val="00166BE5"/>
    <w:rsid w:val="00170D70"/>
    <w:rsid w:val="00170E9C"/>
    <w:rsid w:val="001713F4"/>
    <w:rsid w:val="00171432"/>
    <w:rsid w:val="001721FD"/>
    <w:rsid w:val="001729C2"/>
    <w:rsid w:val="001730DD"/>
    <w:rsid w:val="00173883"/>
    <w:rsid w:val="00174DF8"/>
    <w:rsid w:val="00175175"/>
    <w:rsid w:val="0017573F"/>
    <w:rsid w:val="00175D1D"/>
    <w:rsid w:val="00177F25"/>
    <w:rsid w:val="0018056F"/>
    <w:rsid w:val="0018066D"/>
    <w:rsid w:val="0018080C"/>
    <w:rsid w:val="001812F7"/>
    <w:rsid w:val="00182FB7"/>
    <w:rsid w:val="00183CE0"/>
    <w:rsid w:val="001841B7"/>
    <w:rsid w:val="001855D8"/>
    <w:rsid w:val="00185774"/>
    <w:rsid w:val="0018597E"/>
    <w:rsid w:val="00186177"/>
    <w:rsid w:val="00186BC8"/>
    <w:rsid w:val="00187E59"/>
    <w:rsid w:val="001910BC"/>
    <w:rsid w:val="001926AA"/>
    <w:rsid w:val="001930ED"/>
    <w:rsid w:val="0019333A"/>
    <w:rsid w:val="0019439E"/>
    <w:rsid w:val="00195C95"/>
    <w:rsid w:val="001A08FD"/>
    <w:rsid w:val="001A0AD1"/>
    <w:rsid w:val="001A47C8"/>
    <w:rsid w:val="001A4BA7"/>
    <w:rsid w:val="001A5612"/>
    <w:rsid w:val="001A568A"/>
    <w:rsid w:val="001A6203"/>
    <w:rsid w:val="001A7420"/>
    <w:rsid w:val="001B062D"/>
    <w:rsid w:val="001B1209"/>
    <w:rsid w:val="001B1780"/>
    <w:rsid w:val="001B3057"/>
    <w:rsid w:val="001B4AA1"/>
    <w:rsid w:val="001B5475"/>
    <w:rsid w:val="001B593E"/>
    <w:rsid w:val="001B6E11"/>
    <w:rsid w:val="001B7EE2"/>
    <w:rsid w:val="001C25F6"/>
    <w:rsid w:val="001C309C"/>
    <w:rsid w:val="001C3CC4"/>
    <w:rsid w:val="001C6F90"/>
    <w:rsid w:val="001D10DD"/>
    <w:rsid w:val="001D14B6"/>
    <w:rsid w:val="001D6272"/>
    <w:rsid w:val="001D6FF8"/>
    <w:rsid w:val="001D7D18"/>
    <w:rsid w:val="001E0265"/>
    <w:rsid w:val="001E16C2"/>
    <w:rsid w:val="001E2954"/>
    <w:rsid w:val="001E340B"/>
    <w:rsid w:val="001E3DD9"/>
    <w:rsid w:val="001E54AB"/>
    <w:rsid w:val="001E5E65"/>
    <w:rsid w:val="001F2D52"/>
    <w:rsid w:val="001F3B1D"/>
    <w:rsid w:val="001F5738"/>
    <w:rsid w:val="001F640C"/>
    <w:rsid w:val="00200881"/>
    <w:rsid w:val="002010E3"/>
    <w:rsid w:val="002015EA"/>
    <w:rsid w:val="00204647"/>
    <w:rsid w:val="00204C11"/>
    <w:rsid w:val="002065B5"/>
    <w:rsid w:val="00207316"/>
    <w:rsid w:val="002077B9"/>
    <w:rsid w:val="00214D2C"/>
    <w:rsid w:val="002152D8"/>
    <w:rsid w:val="00215CA2"/>
    <w:rsid w:val="00216DE9"/>
    <w:rsid w:val="00217C9D"/>
    <w:rsid w:val="002201C0"/>
    <w:rsid w:val="00220DA2"/>
    <w:rsid w:val="002211FA"/>
    <w:rsid w:val="00221A39"/>
    <w:rsid w:val="00221DED"/>
    <w:rsid w:val="002272FF"/>
    <w:rsid w:val="00227DF0"/>
    <w:rsid w:val="00230CF5"/>
    <w:rsid w:val="002331F1"/>
    <w:rsid w:val="00234D1C"/>
    <w:rsid w:val="00234E6D"/>
    <w:rsid w:val="00235E97"/>
    <w:rsid w:val="0024082D"/>
    <w:rsid w:val="00241FA0"/>
    <w:rsid w:val="00242EFA"/>
    <w:rsid w:val="0024393C"/>
    <w:rsid w:val="00244379"/>
    <w:rsid w:val="00244D6E"/>
    <w:rsid w:val="00244DED"/>
    <w:rsid w:val="00244FB6"/>
    <w:rsid w:val="00245627"/>
    <w:rsid w:val="00250626"/>
    <w:rsid w:val="002508D2"/>
    <w:rsid w:val="00251693"/>
    <w:rsid w:val="0025359C"/>
    <w:rsid w:val="0025404C"/>
    <w:rsid w:val="0025518E"/>
    <w:rsid w:val="00257B4F"/>
    <w:rsid w:val="002647C3"/>
    <w:rsid w:val="0026528A"/>
    <w:rsid w:val="00266683"/>
    <w:rsid w:val="0026704B"/>
    <w:rsid w:val="00267747"/>
    <w:rsid w:val="00272942"/>
    <w:rsid w:val="0027588C"/>
    <w:rsid w:val="0027721A"/>
    <w:rsid w:val="00280F20"/>
    <w:rsid w:val="00283E9C"/>
    <w:rsid w:val="002844B3"/>
    <w:rsid w:val="00287023"/>
    <w:rsid w:val="00290018"/>
    <w:rsid w:val="00290046"/>
    <w:rsid w:val="002907E5"/>
    <w:rsid w:val="0029594E"/>
    <w:rsid w:val="00295C60"/>
    <w:rsid w:val="00297395"/>
    <w:rsid w:val="002973A6"/>
    <w:rsid w:val="00297D8E"/>
    <w:rsid w:val="00297E5C"/>
    <w:rsid w:val="002A03C5"/>
    <w:rsid w:val="002A67F1"/>
    <w:rsid w:val="002A6C4D"/>
    <w:rsid w:val="002A7ABB"/>
    <w:rsid w:val="002B0285"/>
    <w:rsid w:val="002B0996"/>
    <w:rsid w:val="002B1610"/>
    <w:rsid w:val="002B52AF"/>
    <w:rsid w:val="002B5A3B"/>
    <w:rsid w:val="002B6190"/>
    <w:rsid w:val="002C0114"/>
    <w:rsid w:val="002C026D"/>
    <w:rsid w:val="002C163D"/>
    <w:rsid w:val="002C1AE7"/>
    <w:rsid w:val="002C605E"/>
    <w:rsid w:val="002C62FC"/>
    <w:rsid w:val="002C7FE9"/>
    <w:rsid w:val="002D1133"/>
    <w:rsid w:val="002D1A3E"/>
    <w:rsid w:val="002D1E3A"/>
    <w:rsid w:val="002D2207"/>
    <w:rsid w:val="002D3D36"/>
    <w:rsid w:val="002D4A0A"/>
    <w:rsid w:val="002D6E30"/>
    <w:rsid w:val="002D7423"/>
    <w:rsid w:val="002D768E"/>
    <w:rsid w:val="002E0188"/>
    <w:rsid w:val="002E14B4"/>
    <w:rsid w:val="002E5776"/>
    <w:rsid w:val="002E65BE"/>
    <w:rsid w:val="002E6E88"/>
    <w:rsid w:val="002E72CA"/>
    <w:rsid w:val="002E746F"/>
    <w:rsid w:val="002E7650"/>
    <w:rsid w:val="002F042E"/>
    <w:rsid w:val="002F1376"/>
    <w:rsid w:val="002F1903"/>
    <w:rsid w:val="002F2880"/>
    <w:rsid w:val="002F2B5B"/>
    <w:rsid w:val="002F2BE4"/>
    <w:rsid w:val="002F2E48"/>
    <w:rsid w:val="002F39FF"/>
    <w:rsid w:val="002F7C0C"/>
    <w:rsid w:val="003020AB"/>
    <w:rsid w:val="00302F57"/>
    <w:rsid w:val="003044B5"/>
    <w:rsid w:val="003047FA"/>
    <w:rsid w:val="00304871"/>
    <w:rsid w:val="0030553C"/>
    <w:rsid w:val="003057B9"/>
    <w:rsid w:val="00306C0C"/>
    <w:rsid w:val="00307203"/>
    <w:rsid w:val="003077DF"/>
    <w:rsid w:val="003078EE"/>
    <w:rsid w:val="003115B3"/>
    <w:rsid w:val="0031183A"/>
    <w:rsid w:val="0031281B"/>
    <w:rsid w:val="00314D52"/>
    <w:rsid w:val="00314D7A"/>
    <w:rsid w:val="00317F1A"/>
    <w:rsid w:val="00320425"/>
    <w:rsid w:val="003210D4"/>
    <w:rsid w:val="00321357"/>
    <w:rsid w:val="0032303F"/>
    <w:rsid w:val="00327FA1"/>
    <w:rsid w:val="00330151"/>
    <w:rsid w:val="00332195"/>
    <w:rsid w:val="00332F83"/>
    <w:rsid w:val="003333BB"/>
    <w:rsid w:val="0033343F"/>
    <w:rsid w:val="003343CC"/>
    <w:rsid w:val="00334A0C"/>
    <w:rsid w:val="00334BD4"/>
    <w:rsid w:val="00334D17"/>
    <w:rsid w:val="00335012"/>
    <w:rsid w:val="0033559E"/>
    <w:rsid w:val="00337D5A"/>
    <w:rsid w:val="00340F04"/>
    <w:rsid w:val="00345145"/>
    <w:rsid w:val="00345BD5"/>
    <w:rsid w:val="00345C07"/>
    <w:rsid w:val="00347277"/>
    <w:rsid w:val="003500C8"/>
    <w:rsid w:val="00350EF7"/>
    <w:rsid w:val="00355BFA"/>
    <w:rsid w:val="003568BA"/>
    <w:rsid w:val="00360C13"/>
    <w:rsid w:val="00361F33"/>
    <w:rsid w:val="0036389C"/>
    <w:rsid w:val="00363A10"/>
    <w:rsid w:val="00365D93"/>
    <w:rsid w:val="00367994"/>
    <w:rsid w:val="0036799F"/>
    <w:rsid w:val="0037072E"/>
    <w:rsid w:val="0037147D"/>
    <w:rsid w:val="00372846"/>
    <w:rsid w:val="00373746"/>
    <w:rsid w:val="00376245"/>
    <w:rsid w:val="00377D1C"/>
    <w:rsid w:val="00377D98"/>
    <w:rsid w:val="00380E88"/>
    <w:rsid w:val="00384615"/>
    <w:rsid w:val="00386C14"/>
    <w:rsid w:val="00387377"/>
    <w:rsid w:val="00390650"/>
    <w:rsid w:val="00391224"/>
    <w:rsid w:val="00391E05"/>
    <w:rsid w:val="0039340E"/>
    <w:rsid w:val="00393FD0"/>
    <w:rsid w:val="00394646"/>
    <w:rsid w:val="003965EC"/>
    <w:rsid w:val="0039725E"/>
    <w:rsid w:val="00397AFB"/>
    <w:rsid w:val="003A0ABF"/>
    <w:rsid w:val="003A1B92"/>
    <w:rsid w:val="003A423F"/>
    <w:rsid w:val="003B1158"/>
    <w:rsid w:val="003B22FC"/>
    <w:rsid w:val="003B2591"/>
    <w:rsid w:val="003B2614"/>
    <w:rsid w:val="003B342F"/>
    <w:rsid w:val="003B369A"/>
    <w:rsid w:val="003B3D85"/>
    <w:rsid w:val="003B41BA"/>
    <w:rsid w:val="003B4C7A"/>
    <w:rsid w:val="003B4E1B"/>
    <w:rsid w:val="003B5DD2"/>
    <w:rsid w:val="003C01A3"/>
    <w:rsid w:val="003C2E56"/>
    <w:rsid w:val="003C3536"/>
    <w:rsid w:val="003C38C5"/>
    <w:rsid w:val="003C3F23"/>
    <w:rsid w:val="003C7DAF"/>
    <w:rsid w:val="003D0131"/>
    <w:rsid w:val="003D1D5E"/>
    <w:rsid w:val="003D1DD4"/>
    <w:rsid w:val="003D5791"/>
    <w:rsid w:val="003D6681"/>
    <w:rsid w:val="003E0149"/>
    <w:rsid w:val="003E03A0"/>
    <w:rsid w:val="003E064F"/>
    <w:rsid w:val="003E2403"/>
    <w:rsid w:val="003E3EBD"/>
    <w:rsid w:val="003E5CFC"/>
    <w:rsid w:val="003E69B9"/>
    <w:rsid w:val="003E7428"/>
    <w:rsid w:val="003F1AC3"/>
    <w:rsid w:val="003F1E78"/>
    <w:rsid w:val="003F21AA"/>
    <w:rsid w:val="003F2211"/>
    <w:rsid w:val="003F27EE"/>
    <w:rsid w:val="003F2A45"/>
    <w:rsid w:val="003F2FDC"/>
    <w:rsid w:val="003F4480"/>
    <w:rsid w:val="003F49D3"/>
    <w:rsid w:val="003F4D82"/>
    <w:rsid w:val="003F735F"/>
    <w:rsid w:val="00403911"/>
    <w:rsid w:val="00405898"/>
    <w:rsid w:val="0040665D"/>
    <w:rsid w:val="00407654"/>
    <w:rsid w:val="00407805"/>
    <w:rsid w:val="00410981"/>
    <w:rsid w:val="004136DB"/>
    <w:rsid w:val="0041398B"/>
    <w:rsid w:val="00413AAF"/>
    <w:rsid w:val="00414AAB"/>
    <w:rsid w:val="00417592"/>
    <w:rsid w:val="004207F2"/>
    <w:rsid w:val="004219F4"/>
    <w:rsid w:val="00422EFC"/>
    <w:rsid w:val="00424E00"/>
    <w:rsid w:val="0042577F"/>
    <w:rsid w:val="00430FFD"/>
    <w:rsid w:val="004343F1"/>
    <w:rsid w:val="004353DB"/>
    <w:rsid w:val="00437F50"/>
    <w:rsid w:val="00442450"/>
    <w:rsid w:val="004429CA"/>
    <w:rsid w:val="00443A83"/>
    <w:rsid w:val="00444030"/>
    <w:rsid w:val="00445CC1"/>
    <w:rsid w:val="00445EAF"/>
    <w:rsid w:val="00446CF8"/>
    <w:rsid w:val="00447D90"/>
    <w:rsid w:val="0045086D"/>
    <w:rsid w:val="00452175"/>
    <w:rsid w:val="004521E2"/>
    <w:rsid w:val="0045279B"/>
    <w:rsid w:val="0045374D"/>
    <w:rsid w:val="00454205"/>
    <w:rsid w:val="0045512F"/>
    <w:rsid w:val="00455263"/>
    <w:rsid w:val="00461D5F"/>
    <w:rsid w:val="00462DBB"/>
    <w:rsid w:val="00463EA1"/>
    <w:rsid w:val="00466BD3"/>
    <w:rsid w:val="004674C5"/>
    <w:rsid w:val="00470473"/>
    <w:rsid w:val="00470DAC"/>
    <w:rsid w:val="00471087"/>
    <w:rsid w:val="004751BF"/>
    <w:rsid w:val="00475AF4"/>
    <w:rsid w:val="00476D35"/>
    <w:rsid w:val="0047768D"/>
    <w:rsid w:val="004804F5"/>
    <w:rsid w:val="004807D7"/>
    <w:rsid w:val="00481994"/>
    <w:rsid w:val="00482954"/>
    <w:rsid w:val="00482D72"/>
    <w:rsid w:val="004863E7"/>
    <w:rsid w:val="004866BD"/>
    <w:rsid w:val="00491102"/>
    <w:rsid w:val="004932C4"/>
    <w:rsid w:val="00493698"/>
    <w:rsid w:val="00493BF1"/>
    <w:rsid w:val="00493EB4"/>
    <w:rsid w:val="0049445C"/>
    <w:rsid w:val="0049573B"/>
    <w:rsid w:val="00495993"/>
    <w:rsid w:val="00496F54"/>
    <w:rsid w:val="004977E7"/>
    <w:rsid w:val="004A0096"/>
    <w:rsid w:val="004A0230"/>
    <w:rsid w:val="004A1865"/>
    <w:rsid w:val="004A256A"/>
    <w:rsid w:val="004A4F69"/>
    <w:rsid w:val="004B10DF"/>
    <w:rsid w:val="004B3881"/>
    <w:rsid w:val="004B6474"/>
    <w:rsid w:val="004B722A"/>
    <w:rsid w:val="004B7B00"/>
    <w:rsid w:val="004C09B8"/>
    <w:rsid w:val="004C162F"/>
    <w:rsid w:val="004C1904"/>
    <w:rsid w:val="004C1CEF"/>
    <w:rsid w:val="004C23B2"/>
    <w:rsid w:val="004C2F09"/>
    <w:rsid w:val="004C36BF"/>
    <w:rsid w:val="004C40FF"/>
    <w:rsid w:val="004C62C4"/>
    <w:rsid w:val="004C6598"/>
    <w:rsid w:val="004C6AF7"/>
    <w:rsid w:val="004C7B4D"/>
    <w:rsid w:val="004C7E6B"/>
    <w:rsid w:val="004D1260"/>
    <w:rsid w:val="004D1C18"/>
    <w:rsid w:val="004D274E"/>
    <w:rsid w:val="004D3A8D"/>
    <w:rsid w:val="004D3D86"/>
    <w:rsid w:val="004D3E3C"/>
    <w:rsid w:val="004D45A6"/>
    <w:rsid w:val="004D6479"/>
    <w:rsid w:val="004E03D4"/>
    <w:rsid w:val="004E2104"/>
    <w:rsid w:val="004E5B50"/>
    <w:rsid w:val="004E71C2"/>
    <w:rsid w:val="004E736B"/>
    <w:rsid w:val="004E7643"/>
    <w:rsid w:val="004F0972"/>
    <w:rsid w:val="004F0F38"/>
    <w:rsid w:val="004F1A27"/>
    <w:rsid w:val="004F3F57"/>
    <w:rsid w:val="004F528D"/>
    <w:rsid w:val="004F5690"/>
    <w:rsid w:val="004F5730"/>
    <w:rsid w:val="004F60CD"/>
    <w:rsid w:val="004F661F"/>
    <w:rsid w:val="00504A91"/>
    <w:rsid w:val="005072A9"/>
    <w:rsid w:val="005145BA"/>
    <w:rsid w:val="00514774"/>
    <w:rsid w:val="00516BA8"/>
    <w:rsid w:val="005173BA"/>
    <w:rsid w:val="00520988"/>
    <w:rsid w:val="00520CC2"/>
    <w:rsid w:val="00520E62"/>
    <w:rsid w:val="00522360"/>
    <w:rsid w:val="00525A70"/>
    <w:rsid w:val="00525AFF"/>
    <w:rsid w:val="00525E13"/>
    <w:rsid w:val="0053014F"/>
    <w:rsid w:val="00531245"/>
    <w:rsid w:val="0053137A"/>
    <w:rsid w:val="00531401"/>
    <w:rsid w:val="00533D10"/>
    <w:rsid w:val="0053639E"/>
    <w:rsid w:val="00536503"/>
    <w:rsid w:val="00536CED"/>
    <w:rsid w:val="0053744B"/>
    <w:rsid w:val="005409E2"/>
    <w:rsid w:val="00541100"/>
    <w:rsid w:val="00542528"/>
    <w:rsid w:val="005442AA"/>
    <w:rsid w:val="005467E9"/>
    <w:rsid w:val="00546C4D"/>
    <w:rsid w:val="00546FB0"/>
    <w:rsid w:val="005510E3"/>
    <w:rsid w:val="00553A6A"/>
    <w:rsid w:val="00555ECF"/>
    <w:rsid w:val="00560228"/>
    <w:rsid w:val="00563DD1"/>
    <w:rsid w:val="00565D15"/>
    <w:rsid w:val="0057003C"/>
    <w:rsid w:val="005708C6"/>
    <w:rsid w:val="0057098E"/>
    <w:rsid w:val="00570B79"/>
    <w:rsid w:val="00570EDC"/>
    <w:rsid w:val="00571570"/>
    <w:rsid w:val="005715D7"/>
    <w:rsid w:val="005716AF"/>
    <w:rsid w:val="00572AA8"/>
    <w:rsid w:val="00573775"/>
    <w:rsid w:val="00575914"/>
    <w:rsid w:val="00576284"/>
    <w:rsid w:val="0058193A"/>
    <w:rsid w:val="005824E8"/>
    <w:rsid w:val="005857AC"/>
    <w:rsid w:val="00585E76"/>
    <w:rsid w:val="00587303"/>
    <w:rsid w:val="0059058E"/>
    <w:rsid w:val="005919D5"/>
    <w:rsid w:val="00592AA8"/>
    <w:rsid w:val="00593113"/>
    <w:rsid w:val="00595C0C"/>
    <w:rsid w:val="00595C78"/>
    <w:rsid w:val="00595DB9"/>
    <w:rsid w:val="005964A3"/>
    <w:rsid w:val="00597C5D"/>
    <w:rsid w:val="005A1128"/>
    <w:rsid w:val="005A2574"/>
    <w:rsid w:val="005A3F55"/>
    <w:rsid w:val="005A55ED"/>
    <w:rsid w:val="005A6245"/>
    <w:rsid w:val="005A6688"/>
    <w:rsid w:val="005A6770"/>
    <w:rsid w:val="005A78F2"/>
    <w:rsid w:val="005B0069"/>
    <w:rsid w:val="005B15E8"/>
    <w:rsid w:val="005B386B"/>
    <w:rsid w:val="005B58DF"/>
    <w:rsid w:val="005B7B71"/>
    <w:rsid w:val="005C07B8"/>
    <w:rsid w:val="005C31D1"/>
    <w:rsid w:val="005C3677"/>
    <w:rsid w:val="005C3A6B"/>
    <w:rsid w:val="005C3AF0"/>
    <w:rsid w:val="005C54B3"/>
    <w:rsid w:val="005C55CD"/>
    <w:rsid w:val="005D18B1"/>
    <w:rsid w:val="005D302A"/>
    <w:rsid w:val="005D32F0"/>
    <w:rsid w:val="005D57F8"/>
    <w:rsid w:val="005D5DF6"/>
    <w:rsid w:val="005D6C8C"/>
    <w:rsid w:val="005D7086"/>
    <w:rsid w:val="005D72B7"/>
    <w:rsid w:val="005E1720"/>
    <w:rsid w:val="005E1CE1"/>
    <w:rsid w:val="005E2D56"/>
    <w:rsid w:val="005E2EEC"/>
    <w:rsid w:val="005E31A0"/>
    <w:rsid w:val="005E3FB2"/>
    <w:rsid w:val="005E4D09"/>
    <w:rsid w:val="005E59A9"/>
    <w:rsid w:val="005E5E5F"/>
    <w:rsid w:val="005E6C8C"/>
    <w:rsid w:val="005E6EE2"/>
    <w:rsid w:val="005F00D1"/>
    <w:rsid w:val="005F0CE3"/>
    <w:rsid w:val="005F2222"/>
    <w:rsid w:val="005F2E81"/>
    <w:rsid w:val="005F3255"/>
    <w:rsid w:val="005F45F6"/>
    <w:rsid w:val="005F4920"/>
    <w:rsid w:val="005F63F5"/>
    <w:rsid w:val="00600E24"/>
    <w:rsid w:val="0060271D"/>
    <w:rsid w:val="00602C5B"/>
    <w:rsid w:val="006056AE"/>
    <w:rsid w:val="006061A8"/>
    <w:rsid w:val="00606891"/>
    <w:rsid w:val="0061125E"/>
    <w:rsid w:val="00617AEA"/>
    <w:rsid w:val="0062608A"/>
    <w:rsid w:val="0062609A"/>
    <w:rsid w:val="00626193"/>
    <w:rsid w:val="00626C9D"/>
    <w:rsid w:val="00626DC6"/>
    <w:rsid w:val="00630289"/>
    <w:rsid w:val="006302FA"/>
    <w:rsid w:val="00630391"/>
    <w:rsid w:val="00632019"/>
    <w:rsid w:val="00632502"/>
    <w:rsid w:val="006326D8"/>
    <w:rsid w:val="00632EA0"/>
    <w:rsid w:val="00635873"/>
    <w:rsid w:val="00635BE6"/>
    <w:rsid w:val="006365AD"/>
    <w:rsid w:val="00636708"/>
    <w:rsid w:val="00636C34"/>
    <w:rsid w:val="006370FD"/>
    <w:rsid w:val="0064028F"/>
    <w:rsid w:val="00641CFF"/>
    <w:rsid w:val="00641DB1"/>
    <w:rsid w:val="0064350E"/>
    <w:rsid w:val="006442AE"/>
    <w:rsid w:val="0064538C"/>
    <w:rsid w:val="00646471"/>
    <w:rsid w:val="006465F7"/>
    <w:rsid w:val="006522F7"/>
    <w:rsid w:val="00652E75"/>
    <w:rsid w:val="006558F1"/>
    <w:rsid w:val="00656428"/>
    <w:rsid w:val="0066267E"/>
    <w:rsid w:val="006646BB"/>
    <w:rsid w:val="00665203"/>
    <w:rsid w:val="0066619B"/>
    <w:rsid w:val="00667A81"/>
    <w:rsid w:val="00671BB2"/>
    <w:rsid w:val="00673636"/>
    <w:rsid w:val="006747E7"/>
    <w:rsid w:val="006749C6"/>
    <w:rsid w:val="00674C95"/>
    <w:rsid w:val="00676A01"/>
    <w:rsid w:val="00677E60"/>
    <w:rsid w:val="006813C4"/>
    <w:rsid w:val="00683347"/>
    <w:rsid w:val="00685473"/>
    <w:rsid w:val="0068584F"/>
    <w:rsid w:val="006861F6"/>
    <w:rsid w:val="00686918"/>
    <w:rsid w:val="00686AC6"/>
    <w:rsid w:val="006879B7"/>
    <w:rsid w:val="006909E3"/>
    <w:rsid w:val="00692801"/>
    <w:rsid w:val="00692930"/>
    <w:rsid w:val="006969DF"/>
    <w:rsid w:val="006A10DA"/>
    <w:rsid w:val="006A26B1"/>
    <w:rsid w:val="006A302A"/>
    <w:rsid w:val="006A39CF"/>
    <w:rsid w:val="006A41EB"/>
    <w:rsid w:val="006A4331"/>
    <w:rsid w:val="006A5AFF"/>
    <w:rsid w:val="006A6671"/>
    <w:rsid w:val="006A6926"/>
    <w:rsid w:val="006A6A7A"/>
    <w:rsid w:val="006B00A2"/>
    <w:rsid w:val="006B0695"/>
    <w:rsid w:val="006B15AF"/>
    <w:rsid w:val="006B2139"/>
    <w:rsid w:val="006B253D"/>
    <w:rsid w:val="006B4AB7"/>
    <w:rsid w:val="006B53A8"/>
    <w:rsid w:val="006B55CF"/>
    <w:rsid w:val="006B61F7"/>
    <w:rsid w:val="006B716D"/>
    <w:rsid w:val="006C06CD"/>
    <w:rsid w:val="006C2568"/>
    <w:rsid w:val="006C5E51"/>
    <w:rsid w:val="006C77C3"/>
    <w:rsid w:val="006C79F3"/>
    <w:rsid w:val="006D31EE"/>
    <w:rsid w:val="006D3572"/>
    <w:rsid w:val="006D44E1"/>
    <w:rsid w:val="006D56E6"/>
    <w:rsid w:val="006D57A5"/>
    <w:rsid w:val="006D743F"/>
    <w:rsid w:val="006D7589"/>
    <w:rsid w:val="006E0041"/>
    <w:rsid w:val="006E0282"/>
    <w:rsid w:val="006E070E"/>
    <w:rsid w:val="006E07BF"/>
    <w:rsid w:val="006E0C52"/>
    <w:rsid w:val="006E0EB9"/>
    <w:rsid w:val="006E138C"/>
    <w:rsid w:val="006E1403"/>
    <w:rsid w:val="006E1772"/>
    <w:rsid w:val="006E2640"/>
    <w:rsid w:val="006E2AB1"/>
    <w:rsid w:val="006E4620"/>
    <w:rsid w:val="006E490E"/>
    <w:rsid w:val="006E5C71"/>
    <w:rsid w:val="006E65D4"/>
    <w:rsid w:val="006F141D"/>
    <w:rsid w:val="006F2CA6"/>
    <w:rsid w:val="006F3BBB"/>
    <w:rsid w:val="006F3DC9"/>
    <w:rsid w:val="006F49FD"/>
    <w:rsid w:val="006F5899"/>
    <w:rsid w:val="006F6CCE"/>
    <w:rsid w:val="006F6E65"/>
    <w:rsid w:val="00702EB2"/>
    <w:rsid w:val="0070361C"/>
    <w:rsid w:val="00706CE2"/>
    <w:rsid w:val="00706E41"/>
    <w:rsid w:val="00710C6C"/>
    <w:rsid w:val="007121B7"/>
    <w:rsid w:val="00713051"/>
    <w:rsid w:val="0071387E"/>
    <w:rsid w:val="00715306"/>
    <w:rsid w:val="0071539C"/>
    <w:rsid w:val="00715EF5"/>
    <w:rsid w:val="00716CD2"/>
    <w:rsid w:val="0072143E"/>
    <w:rsid w:val="00721995"/>
    <w:rsid w:val="00721D38"/>
    <w:rsid w:val="00722C27"/>
    <w:rsid w:val="00725BA9"/>
    <w:rsid w:val="00725D73"/>
    <w:rsid w:val="007266D8"/>
    <w:rsid w:val="0072771C"/>
    <w:rsid w:val="00730935"/>
    <w:rsid w:val="00730C21"/>
    <w:rsid w:val="00731490"/>
    <w:rsid w:val="00732475"/>
    <w:rsid w:val="0073402C"/>
    <w:rsid w:val="00734441"/>
    <w:rsid w:val="00734D19"/>
    <w:rsid w:val="00735BBA"/>
    <w:rsid w:val="0073792D"/>
    <w:rsid w:val="00737ACA"/>
    <w:rsid w:val="00743F7F"/>
    <w:rsid w:val="007456E6"/>
    <w:rsid w:val="007457D6"/>
    <w:rsid w:val="0074626F"/>
    <w:rsid w:val="00747394"/>
    <w:rsid w:val="00750A8B"/>
    <w:rsid w:val="00750CC9"/>
    <w:rsid w:val="00751BF1"/>
    <w:rsid w:val="00755896"/>
    <w:rsid w:val="00755F44"/>
    <w:rsid w:val="00757D7C"/>
    <w:rsid w:val="00760157"/>
    <w:rsid w:val="0076102D"/>
    <w:rsid w:val="00763E8B"/>
    <w:rsid w:val="00764116"/>
    <w:rsid w:val="00764AD4"/>
    <w:rsid w:val="007669BF"/>
    <w:rsid w:val="0077109D"/>
    <w:rsid w:val="00772B48"/>
    <w:rsid w:val="00772B62"/>
    <w:rsid w:val="00773565"/>
    <w:rsid w:val="00774265"/>
    <w:rsid w:val="007748C7"/>
    <w:rsid w:val="00775B3C"/>
    <w:rsid w:val="00781702"/>
    <w:rsid w:val="00781C57"/>
    <w:rsid w:val="0078272D"/>
    <w:rsid w:val="00784071"/>
    <w:rsid w:val="00785926"/>
    <w:rsid w:val="00787D18"/>
    <w:rsid w:val="00790BEB"/>
    <w:rsid w:val="0079102B"/>
    <w:rsid w:val="00791488"/>
    <w:rsid w:val="007920EC"/>
    <w:rsid w:val="007921BE"/>
    <w:rsid w:val="007927C0"/>
    <w:rsid w:val="00793B2A"/>
    <w:rsid w:val="00793C14"/>
    <w:rsid w:val="00793F11"/>
    <w:rsid w:val="00795679"/>
    <w:rsid w:val="00796575"/>
    <w:rsid w:val="007A0590"/>
    <w:rsid w:val="007A0AB9"/>
    <w:rsid w:val="007A1CC6"/>
    <w:rsid w:val="007A2924"/>
    <w:rsid w:val="007A29E3"/>
    <w:rsid w:val="007A707E"/>
    <w:rsid w:val="007B066F"/>
    <w:rsid w:val="007B0B4E"/>
    <w:rsid w:val="007B0BA2"/>
    <w:rsid w:val="007B2049"/>
    <w:rsid w:val="007B28DC"/>
    <w:rsid w:val="007B2C44"/>
    <w:rsid w:val="007B3B43"/>
    <w:rsid w:val="007B3C7C"/>
    <w:rsid w:val="007B402C"/>
    <w:rsid w:val="007B51E4"/>
    <w:rsid w:val="007B5D56"/>
    <w:rsid w:val="007C035F"/>
    <w:rsid w:val="007C0B77"/>
    <w:rsid w:val="007C1888"/>
    <w:rsid w:val="007C25BA"/>
    <w:rsid w:val="007C3E4F"/>
    <w:rsid w:val="007C423D"/>
    <w:rsid w:val="007C4E4C"/>
    <w:rsid w:val="007C540E"/>
    <w:rsid w:val="007C5DB4"/>
    <w:rsid w:val="007C6DDC"/>
    <w:rsid w:val="007C71DF"/>
    <w:rsid w:val="007C78E9"/>
    <w:rsid w:val="007C79FE"/>
    <w:rsid w:val="007C7E9E"/>
    <w:rsid w:val="007D187E"/>
    <w:rsid w:val="007D499B"/>
    <w:rsid w:val="007D51C1"/>
    <w:rsid w:val="007D6CF2"/>
    <w:rsid w:val="007D79B7"/>
    <w:rsid w:val="007E0027"/>
    <w:rsid w:val="007E00C6"/>
    <w:rsid w:val="007E0588"/>
    <w:rsid w:val="007E0AD7"/>
    <w:rsid w:val="007E1342"/>
    <w:rsid w:val="007E35A4"/>
    <w:rsid w:val="007E3BBC"/>
    <w:rsid w:val="007E3DEF"/>
    <w:rsid w:val="007E3ECC"/>
    <w:rsid w:val="007E56AF"/>
    <w:rsid w:val="007E7DFE"/>
    <w:rsid w:val="007E7F82"/>
    <w:rsid w:val="007F392A"/>
    <w:rsid w:val="007F3F59"/>
    <w:rsid w:val="007F56B5"/>
    <w:rsid w:val="007F6B09"/>
    <w:rsid w:val="007F7350"/>
    <w:rsid w:val="00800F7F"/>
    <w:rsid w:val="00803DAC"/>
    <w:rsid w:val="00804436"/>
    <w:rsid w:val="00804A5F"/>
    <w:rsid w:val="00813332"/>
    <w:rsid w:val="00814AD1"/>
    <w:rsid w:val="00814DE7"/>
    <w:rsid w:val="00815A93"/>
    <w:rsid w:val="0082006D"/>
    <w:rsid w:val="0082062C"/>
    <w:rsid w:val="00820A51"/>
    <w:rsid w:val="008213A2"/>
    <w:rsid w:val="00821BC8"/>
    <w:rsid w:val="00825719"/>
    <w:rsid w:val="00825E91"/>
    <w:rsid w:val="00826414"/>
    <w:rsid w:val="00826ADE"/>
    <w:rsid w:val="00827932"/>
    <w:rsid w:val="008303F7"/>
    <w:rsid w:val="00830F4B"/>
    <w:rsid w:val="00832A84"/>
    <w:rsid w:val="00832F62"/>
    <w:rsid w:val="00835289"/>
    <w:rsid w:val="00835825"/>
    <w:rsid w:val="008404CB"/>
    <w:rsid w:val="00841DCF"/>
    <w:rsid w:val="00841E64"/>
    <w:rsid w:val="008426FE"/>
    <w:rsid w:val="00843666"/>
    <w:rsid w:val="00843EE0"/>
    <w:rsid w:val="0084705D"/>
    <w:rsid w:val="00847709"/>
    <w:rsid w:val="00847878"/>
    <w:rsid w:val="0085036D"/>
    <w:rsid w:val="00850972"/>
    <w:rsid w:val="00850EA8"/>
    <w:rsid w:val="008530BA"/>
    <w:rsid w:val="00855177"/>
    <w:rsid w:val="0085776D"/>
    <w:rsid w:val="00861115"/>
    <w:rsid w:val="008628D2"/>
    <w:rsid w:val="008635A8"/>
    <w:rsid w:val="00865663"/>
    <w:rsid w:val="00865CC4"/>
    <w:rsid w:val="00866356"/>
    <w:rsid w:val="0086743C"/>
    <w:rsid w:val="00867E96"/>
    <w:rsid w:val="0087252B"/>
    <w:rsid w:val="008730C5"/>
    <w:rsid w:val="00873B12"/>
    <w:rsid w:val="00875BA6"/>
    <w:rsid w:val="00875CCB"/>
    <w:rsid w:val="00876E06"/>
    <w:rsid w:val="008772F8"/>
    <w:rsid w:val="0088099B"/>
    <w:rsid w:val="008817C6"/>
    <w:rsid w:val="00881F80"/>
    <w:rsid w:val="0088210B"/>
    <w:rsid w:val="008834D9"/>
    <w:rsid w:val="0088418C"/>
    <w:rsid w:val="0088486A"/>
    <w:rsid w:val="00885FCF"/>
    <w:rsid w:val="00890076"/>
    <w:rsid w:val="00890245"/>
    <w:rsid w:val="00893E3A"/>
    <w:rsid w:val="00895375"/>
    <w:rsid w:val="0089585E"/>
    <w:rsid w:val="00895D4F"/>
    <w:rsid w:val="00896373"/>
    <w:rsid w:val="008967A4"/>
    <w:rsid w:val="00896B13"/>
    <w:rsid w:val="008A0C71"/>
    <w:rsid w:val="008A5442"/>
    <w:rsid w:val="008A54A4"/>
    <w:rsid w:val="008A57E6"/>
    <w:rsid w:val="008A77A2"/>
    <w:rsid w:val="008A78FA"/>
    <w:rsid w:val="008B0D92"/>
    <w:rsid w:val="008B208F"/>
    <w:rsid w:val="008B250B"/>
    <w:rsid w:val="008B2914"/>
    <w:rsid w:val="008B2C2B"/>
    <w:rsid w:val="008B4323"/>
    <w:rsid w:val="008B64A3"/>
    <w:rsid w:val="008B68C5"/>
    <w:rsid w:val="008B7D70"/>
    <w:rsid w:val="008C069C"/>
    <w:rsid w:val="008C0E35"/>
    <w:rsid w:val="008C3184"/>
    <w:rsid w:val="008C35C6"/>
    <w:rsid w:val="008C36DE"/>
    <w:rsid w:val="008C4622"/>
    <w:rsid w:val="008C4D7B"/>
    <w:rsid w:val="008D066E"/>
    <w:rsid w:val="008D06F9"/>
    <w:rsid w:val="008D15CD"/>
    <w:rsid w:val="008D1C3B"/>
    <w:rsid w:val="008D1E93"/>
    <w:rsid w:val="008D2967"/>
    <w:rsid w:val="008D3806"/>
    <w:rsid w:val="008D3C91"/>
    <w:rsid w:val="008D4B8D"/>
    <w:rsid w:val="008D61C1"/>
    <w:rsid w:val="008D71BD"/>
    <w:rsid w:val="008E102C"/>
    <w:rsid w:val="008E1484"/>
    <w:rsid w:val="008E1659"/>
    <w:rsid w:val="008E2CF3"/>
    <w:rsid w:val="008E37D3"/>
    <w:rsid w:val="008E3D00"/>
    <w:rsid w:val="008E4BC2"/>
    <w:rsid w:val="008E5A98"/>
    <w:rsid w:val="008E686F"/>
    <w:rsid w:val="008F049D"/>
    <w:rsid w:val="008F0B90"/>
    <w:rsid w:val="008F27D0"/>
    <w:rsid w:val="00900C93"/>
    <w:rsid w:val="00901331"/>
    <w:rsid w:val="0090249E"/>
    <w:rsid w:val="009056FB"/>
    <w:rsid w:val="009059E4"/>
    <w:rsid w:val="00905E9B"/>
    <w:rsid w:val="00906402"/>
    <w:rsid w:val="0090762B"/>
    <w:rsid w:val="009100F0"/>
    <w:rsid w:val="0091012B"/>
    <w:rsid w:val="00910513"/>
    <w:rsid w:val="0091114A"/>
    <w:rsid w:val="00911276"/>
    <w:rsid w:val="00911958"/>
    <w:rsid w:val="009133F7"/>
    <w:rsid w:val="00914D6A"/>
    <w:rsid w:val="0091638C"/>
    <w:rsid w:val="00916650"/>
    <w:rsid w:val="00917C09"/>
    <w:rsid w:val="00924003"/>
    <w:rsid w:val="00925821"/>
    <w:rsid w:val="00925F50"/>
    <w:rsid w:val="00930A01"/>
    <w:rsid w:val="00931BCE"/>
    <w:rsid w:val="00931C4A"/>
    <w:rsid w:val="009325C0"/>
    <w:rsid w:val="00932F46"/>
    <w:rsid w:val="00934671"/>
    <w:rsid w:val="00936D5C"/>
    <w:rsid w:val="00940B94"/>
    <w:rsid w:val="009426B7"/>
    <w:rsid w:val="009445BF"/>
    <w:rsid w:val="0094594F"/>
    <w:rsid w:val="00945E98"/>
    <w:rsid w:val="009518B1"/>
    <w:rsid w:val="00951F42"/>
    <w:rsid w:val="00952046"/>
    <w:rsid w:val="00952C81"/>
    <w:rsid w:val="0095391A"/>
    <w:rsid w:val="00953D45"/>
    <w:rsid w:val="00957D27"/>
    <w:rsid w:val="00960502"/>
    <w:rsid w:val="00960D40"/>
    <w:rsid w:val="00961D61"/>
    <w:rsid w:val="00962E81"/>
    <w:rsid w:val="00966074"/>
    <w:rsid w:val="009661CD"/>
    <w:rsid w:val="009666D7"/>
    <w:rsid w:val="00970C00"/>
    <w:rsid w:val="0097111F"/>
    <w:rsid w:val="00972368"/>
    <w:rsid w:val="00973042"/>
    <w:rsid w:val="009730EA"/>
    <w:rsid w:val="009736CF"/>
    <w:rsid w:val="00974509"/>
    <w:rsid w:val="0097507B"/>
    <w:rsid w:val="009757FC"/>
    <w:rsid w:val="00975E21"/>
    <w:rsid w:val="00976E47"/>
    <w:rsid w:val="009774B9"/>
    <w:rsid w:val="009825D4"/>
    <w:rsid w:val="00985184"/>
    <w:rsid w:val="009859F2"/>
    <w:rsid w:val="00986E1F"/>
    <w:rsid w:val="009872BC"/>
    <w:rsid w:val="0098796C"/>
    <w:rsid w:val="0099097C"/>
    <w:rsid w:val="00991E78"/>
    <w:rsid w:val="00992C38"/>
    <w:rsid w:val="00994A14"/>
    <w:rsid w:val="00996AA1"/>
    <w:rsid w:val="009A0A93"/>
    <w:rsid w:val="009A18AF"/>
    <w:rsid w:val="009A3628"/>
    <w:rsid w:val="009A434A"/>
    <w:rsid w:val="009A577F"/>
    <w:rsid w:val="009A5F3A"/>
    <w:rsid w:val="009A7D51"/>
    <w:rsid w:val="009B3DCC"/>
    <w:rsid w:val="009B4145"/>
    <w:rsid w:val="009B5324"/>
    <w:rsid w:val="009B5C1D"/>
    <w:rsid w:val="009C0663"/>
    <w:rsid w:val="009C0EA4"/>
    <w:rsid w:val="009C2ACA"/>
    <w:rsid w:val="009C31D9"/>
    <w:rsid w:val="009C465A"/>
    <w:rsid w:val="009C48DC"/>
    <w:rsid w:val="009C5EEB"/>
    <w:rsid w:val="009C6749"/>
    <w:rsid w:val="009C7967"/>
    <w:rsid w:val="009C7FA1"/>
    <w:rsid w:val="009D02A2"/>
    <w:rsid w:val="009D0B6C"/>
    <w:rsid w:val="009D2086"/>
    <w:rsid w:val="009D2A6C"/>
    <w:rsid w:val="009E2D67"/>
    <w:rsid w:val="009E2E66"/>
    <w:rsid w:val="009E2ECC"/>
    <w:rsid w:val="009E4CE3"/>
    <w:rsid w:val="009E5C3B"/>
    <w:rsid w:val="009E6E12"/>
    <w:rsid w:val="009E7DE4"/>
    <w:rsid w:val="009F1855"/>
    <w:rsid w:val="009F28FF"/>
    <w:rsid w:val="009F4D40"/>
    <w:rsid w:val="009F5A03"/>
    <w:rsid w:val="00A024E3"/>
    <w:rsid w:val="00A027C0"/>
    <w:rsid w:val="00A038AA"/>
    <w:rsid w:val="00A046D3"/>
    <w:rsid w:val="00A0587B"/>
    <w:rsid w:val="00A06295"/>
    <w:rsid w:val="00A11A36"/>
    <w:rsid w:val="00A11C9E"/>
    <w:rsid w:val="00A11D94"/>
    <w:rsid w:val="00A11FD3"/>
    <w:rsid w:val="00A14775"/>
    <w:rsid w:val="00A16C9C"/>
    <w:rsid w:val="00A17B21"/>
    <w:rsid w:val="00A21A8D"/>
    <w:rsid w:val="00A22301"/>
    <w:rsid w:val="00A241BF"/>
    <w:rsid w:val="00A24DF8"/>
    <w:rsid w:val="00A25BA5"/>
    <w:rsid w:val="00A2644F"/>
    <w:rsid w:val="00A26895"/>
    <w:rsid w:val="00A27115"/>
    <w:rsid w:val="00A27A52"/>
    <w:rsid w:val="00A31A95"/>
    <w:rsid w:val="00A32B80"/>
    <w:rsid w:val="00A3308F"/>
    <w:rsid w:val="00A403D7"/>
    <w:rsid w:val="00A40C71"/>
    <w:rsid w:val="00A430F0"/>
    <w:rsid w:val="00A443F5"/>
    <w:rsid w:val="00A44AC6"/>
    <w:rsid w:val="00A45759"/>
    <w:rsid w:val="00A45AF3"/>
    <w:rsid w:val="00A46BCC"/>
    <w:rsid w:val="00A4765C"/>
    <w:rsid w:val="00A47853"/>
    <w:rsid w:val="00A47A5B"/>
    <w:rsid w:val="00A50A2F"/>
    <w:rsid w:val="00A510D3"/>
    <w:rsid w:val="00A5218A"/>
    <w:rsid w:val="00A543E5"/>
    <w:rsid w:val="00A54EB2"/>
    <w:rsid w:val="00A553E4"/>
    <w:rsid w:val="00A55656"/>
    <w:rsid w:val="00A55F07"/>
    <w:rsid w:val="00A56612"/>
    <w:rsid w:val="00A57524"/>
    <w:rsid w:val="00A6139B"/>
    <w:rsid w:val="00A6177A"/>
    <w:rsid w:val="00A61EEF"/>
    <w:rsid w:val="00A62C19"/>
    <w:rsid w:val="00A651C3"/>
    <w:rsid w:val="00A654F9"/>
    <w:rsid w:val="00A67B1E"/>
    <w:rsid w:val="00A7185D"/>
    <w:rsid w:val="00A725DB"/>
    <w:rsid w:val="00A73897"/>
    <w:rsid w:val="00A73F68"/>
    <w:rsid w:val="00A74BEA"/>
    <w:rsid w:val="00A76528"/>
    <w:rsid w:val="00A76A3D"/>
    <w:rsid w:val="00A81152"/>
    <w:rsid w:val="00A82409"/>
    <w:rsid w:val="00A82BF2"/>
    <w:rsid w:val="00A84307"/>
    <w:rsid w:val="00A8470C"/>
    <w:rsid w:val="00A85800"/>
    <w:rsid w:val="00A8609A"/>
    <w:rsid w:val="00A861A4"/>
    <w:rsid w:val="00A8633C"/>
    <w:rsid w:val="00A87718"/>
    <w:rsid w:val="00A9142C"/>
    <w:rsid w:val="00A933BE"/>
    <w:rsid w:val="00A934A2"/>
    <w:rsid w:val="00A93CEA"/>
    <w:rsid w:val="00A9411E"/>
    <w:rsid w:val="00A94996"/>
    <w:rsid w:val="00A964B1"/>
    <w:rsid w:val="00AA0501"/>
    <w:rsid w:val="00AA22EF"/>
    <w:rsid w:val="00AA5C7A"/>
    <w:rsid w:val="00AA5DAC"/>
    <w:rsid w:val="00AA6B00"/>
    <w:rsid w:val="00AA72BD"/>
    <w:rsid w:val="00AB2645"/>
    <w:rsid w:val="00AB43B1"/>
    <w:rsid w:val="00AB47CC"/>
    <w:rsid w:val="00AB4CFD"/>
    <w:rsid w:val="00AB54B3"/>
    <w:rsid w:val="00AB6C85"/>
    <w:rsid w:val="00AC0B7F"/>
    <w:rsid w:val="00AC24FD"/>
    <w:rsid w:val="00AC2DA8"/>
    <w:rsid w:val="00AC3F2F"/>
    <w:rsid w:val="00AC62DA"/>
    <w:rsid w:val="00AD11BC"/>
    <w:rsid w:val="00AD5032"/>
    <w:rsid w:val="00AD6828"/>
    <w:rsid w:val="00AE0BE5"/>
    <w:rsid w:val="00AE2ED6"/>
    <w:rsid w:val="00AE37B3"/>
    <w:rsid w:val="00AE4A7B"/>
    <w:rsid w:val="00AE621F"/>
    <w:rsid w:val="00AE6D52"/>
    <w:rsid w:val="00AE7C32"/>
    <w:rsid w:val="00AE7EF3"/>
    <w:rsid w:val="00AF136B"/>
    <w:rsid w:val="00AF36EA"/>
    <w:rsid w:val="00AF3701"/>
    <w:rsid w:val="00AF4CC4"/>
    <w:rsid w:val="00AF4DD1"/>
    <w:rsid w:val="00AF5B59"/>
    <w:rsid w:val="00AF61AD"/>
    <w:rsid w:val="00B01632"/>
    <w:rsid w:val="00B028C1"/>
    <w:rsid w:val="00B03BBC"/>
    <w:rsid w:val="00B048D5"/>
    <w:rsid w:val="00B0554E"/>
    <w:rsid w:val="00B06F4E"/>
    <w:rsid w:val="00B07151"/>
    <w:rsid w:val="00B07345"/>
    <w:rsid w:val="00B12F36"/>
    <w:rsid w:val="00B13068"/>
    <w:rsid w:val="00B14233"/>
    <w:rsid w:val="00B15EDE"/>
    <w:rsid w:val="00B15F29"/>
    <w:rsid w:val="00B16347"/>
    <w:rsid w:val="00B174BC"/>
    <w:rsid w:val="00B175E7"/>
    <w:rsid w:val="00B17E99"/>
    <w:rsid w:val="00B2160D"/>
    <w:rsid w:val="00B2247A"/>
    <w:rsid w:val="00B22C9F"/>
    <w:rsid w:val="00B23DE2"/>
    <w:rsid w:val="00B23E14"/>
    <w:rsid w:val="00B24528"/>
    <w:rsid w:val="00B276A3"/>
    <w:rsid w:val="00B31181"/>
    <w:rsid w:val="00B313B1"/>
    <w:rsid w:val="00B3209A"/>
    <w:rsid w:val="00B3267B"/>
    <w:rsid w:val="00B332D6"/>
    <w:rsid w:val="00B342D4"/>
    <w:rsid w:val="00B367AE"/>
    <w:rsid w:val="00B368A8"/>
    <w:rsid w:val="00B374B1"/>
    <w:rsid w:val="00B3790E"/>
    <w:rsid w:val="00B40F30"/>
    <w:rsid w:val="00B42185"/>
    <w:rsid w:val="00B42B54"/>
    <w:rsid w:val="00B50597"/>
    <w:rsid w:val="00B507B1"/>
    <w:rsid w:val="00B50FBC"/>
    <w:rsid w:val="00B513E1"/>
    <w:rsid w:val="00B51696"/>
    <w:rsid w:val="00B54F43"/>
    <w:rsid w:val="00B5623A"/>
    <w:rsid w:val="00B60B3F"/>
    <w:rsid w:val="00B63C37"/>
    <w:rsid w:val="00B63CF8"/>
    <w:rsid w:val="00B65376"/>
    <w:rsid w:val="00B673B7"/>
    <w:rsid w:val="00B704E5"/>
    <w:rsid w:val="00B70676"/>
    <w:rsid w:val="00B7106C"/>
    <w:rsid w:val="00B72EBB"/>
    <w:rsid w:val="00B73BBB"/>
    <w:rsid w:val="00B7468C"/>
    <w:rsid w:val="00B75298"/>
    <w:rsid w:val="00B75540"/>
    <w:rsid w:val="00B7561A"/>
    <w:rsid w:val="00B75ABA"/>
    <w:rsid w:val="00B75BA8"/>
    <w:rsid w:val="00B76524"/>
    <w:rsid w:val="00B76D58"/>
    <w:rsid w:val="00B7722D"/>
    <w:rsid w:val="00B77522"/>
    <w:rsid w:val="00B77590"/>
    <w:rsid w:val="00B80168"/>
    <w:rsid w:val="00B81656"/>
    <w:rsid w:val="00B81CDB"/>
    <w:rsid w:val="00B8342F"/>
    <w:rsid w:val="00B866BB"/>
    <w:rsid w:val="00B87B45"/>
    <w:rsid w:val="00B903FB"/>
    <w:rsid w:val="00B93A42"/>
    <w:rsid w:val="00B94956"/>
    <w:rsid w:val="00B94CF3"/>
    <w:rsid w:val="00B95CDD"/>
    <w:rsid w:val="00B95DC9"/>
    <w:rsid w:val="00BA0090"/>
    <w:rsid w:val="00BA040B"/>
    <w:rsid w:val="00BA1BE1"/>
    <w:rsid w:val="00BA1FD0"/>
    <w:rsid w:val="00BA2326"/>
    <w:rsid w:val="00BA2731"/>
    <w:rsid w:val="00BA2F7F"/>
    <w:rsid w:val="00BA3754"/>
    <w:rsid w:val="00BA3FF7"/>
    <w:rsid w:val="00BA67F4"/>
    <w:rsid w:val="00BA6A36"/>
    <w:rsid w:val="00BA754E"/>
    <w:rsid w:val="00BB0C7D"/>
    <w:rsid w:val="00BB0F88"/>
    <w:rsid w:val="00BB1019"/>
    <w:rsid w:val="00BB175E"/>
    <w:rsid w:val="00BB34BC"/>
    <w:rsid w:val="00BB3614"/>
    <w:rsid w:val="00BB3E8C"/>
    <w:rsid w:val="00BB444A"/>
    <w:rsid w:val="00BB6015"/>
    <w:rsid w:val="00BC0812"/>
    <w:rsid w:val="00BC3B70"/>
    <w:rsid w:val="00BC5722"/>
    <w:rsid w:val="00BC7B46"/>
    <w:rsid w:val="00BD0F7C"/>
    <w:rsid w:val="00BD281B"/>
    <w:rsid w:val="00BD4D9D"/>
    <w:rsid w:val="00BD6084"/>
    <w:rsid w:val="00BE03C3"/>
    <w:rsid w:val="00BE2F17"/>
    <w:rsid w:val="00BE430C"/>
    <w:rsid w:val="00BE445A"/>
    <w:rsid w:val="00BE46FE"/>
    <w:rsid w:val="00BE5F2A"/>
    <w:rsid w:val="00BE63E4"/>
    <w:rsid w:val="00BF1420"/>
    <w:rsid w:val="00BF37D0"/>
    <w:rsid w:val="00BF3D96"/>
    <w:rsid w:val="00BF3E76"/>
    <w:rsid w:val="00BF6F8F"/>
    <w:rsid w:val="00BF720A"/>
    <w:rsid w:val="00C027CC"/>
    <w:rsid w:val="00C053BD"/>
    <w:rsid w:val="00C066DC"/>
    <w:rsid w:val="00C067A2"/>
    <w:rsid w:val="00C06931"/>
    <w:rsid w:val="00C07455"/>
    <w:rsid w:val="00C10DC8"/>
    <w:rsid w:val="00C134CA"/>
    <w:rsid w:val="00C13BD4"/>
    <w:rsid w:val="00C1504B"/>
    <w:rsid w:val="00C1517E"/>
    <w:rsid w:val="00C158AE"/>
    <w:rsid w:val="00C16305"/>
    <w:rsid w:val="00C17956"/>
    <w:rsid w:val="00C2013C"/>
    <w:rsid w:val="00C21168"/>
    <w:rsid w:val="00C2148D"/>
    <w:rsid w:val="00C21CF2"/>
    <w:rsid w:val="00C2234C"/>
    <w:rsid w:val="00C2550C"/>
    <w:rsid w:val="00C26935"/>
    <w:rsid w:val="00C26D58"/>
    <w:rsid w:val="00C27490"/>
    <w:rsid w:val="00C27935"/>
    <w:rsid w:val="00C27EC1"/>
    <w:rsid w:val="00C31287"/>
    <w:rsid w:val="00C319CD"/>
    <w:rsid w:val="00C3252C"/>
    <w:rsid w:val="00C32AC2"/>
    <w:rsid w:val="00C36318"/>
    <w:rsid w:val="00C40069"/>
    <w:rsid w:val="00C419AC"/>
    <w:rsid w:val="00C42B30"/>
    <w:rsid w:val="00C450A2"/>
    <w:rsid w:val="00C46020"/>
    <w:rsid w:val="00C47062"/>
    <w:rsid w:val="00C47F12"/>
    <w:rsid w:val="00C50E19"/>
    <w:rsid w:val="00C5228D"/>
    <w:rsid w:val="00C5344D"/>
    <w:rsid w:val="00C541A8"/>
    <w:rsid w:val="00C577CD"/>
    <w:rsid w:val="00C61126"/>
    <w:rsid w:val="00C61834"/>
    <w:rsid w:val="00C61AD1"/>
    <w:rsid w:val="00C61E37"/>
    <w:rsid w:val="00C61EDF"/>
    <w:rsid w:val="00C629B9"/>
    <w:rsid w:val="00C63151"/>
    <w:rsid w:val="00C64914"/>
    <w:rsid w:val="00C651EC"/>
    <w:rsid w:val="00C65320"/>
    <w:rsid w:val="00C661C5"/>
    <w:rsid w:val="00C67F90"/>
    <w:rsid w:val="00C71E61"/>
    <w:rsid w:val="00C72EC1"/>
    <w:rsid w:val="00C74DA2"/>
    <w:rsid w:val="00C76105"/>
    <w:rsid w:val="00C77D14"/>
    <w:rsid w:val="00C81E5D"/>
    <w:rsid w:val="00C81F03"/>
    <w:rsid w:val="00C82031"/>
    <w:rsid w:val="00C82395"/>
    <w:rsid w:val="00C824C8"/>
    <w:rsid w:val="00C8670E"/>
    <w:rsid w:val="00C86AE9"/>
    <w:rsid w:val="00C873FE"/>
    <w:rsid w:val="00C879EF"/>
    <w:rsid w:val="00C87BAF"/>
    <w:rsid w:val="00C913F3"/>
    <w:rsid w:val="00C917A1"/>
    <w:rsid w:val="00C92204"/>
    <w:rsid w:val="00C9222B"/>
    <w:rsid w:val="00C92C05"/>
    <w:rsid w:val="00C93063"/>
    <w:rsid w:val="00C9412B"/>
    <w:rsid w:val="00C9553E"/>
    <w:rsid w:val="00C97B74"/>
    <w:rsid w:val="00CA4EFE"/>
    <w:rsid w:val="00CA52F7"/>
    <w:rsid w:val="00CA6674"/>
    <w:rsid w:val="00CA7356"/>
    <w:rsid w:val="00CB1B6A"/>
    <w:rsid w:val="00CB1EF4"/>
    <w:rsid w:val="00CB45CE"/>
    <w:rsid w:val="00CB6829"/>
    <w:rsid w:val="00CC484D"/>
    <w:rsid w:val="00CC49C0"/>
    <w:rsid w:val="00CC4B26"/>
    <w:rsid w:val="00CC5632"/>
    <w:rsid w:val="00CC63A8"/>
    <w:rsid w:val="00CC6DDC"/>
    <w:rsid w:val="00CD2366"/>
    <w:rsid w:val="00CD26D4"/>
    <w:rsid w:val="00CD29F7"/>
    <w:rsid w:val="00CD5B2E"/>
    <w:rsid w:val="00CD7732"/>
    <w:rsid w:val="00CE165F"/>
    <w:rsid w:val="00CE1A54"/>
    <w:rsid w:val="00CE1D4D"/>
    <w:rsid w:val="00CE2DC3"/>
    <w:rsid w:val="00CE3C4E"/>
    <w:rsid w:val="00CE46AA"/>
    <w:rsid w:val="00CE6861"/>
    <w:rsid w:val="00CF0D7C"/>
    <w:rsid w:val="00CF25F4"/>
    <w:rsid w:val="00CF3D77"/>
    <w:rsid w:val="00CF4A3F"/>
    <w:rsid w:val="00CF634F"/>
    <w:rsid w:val="00CF7D6F"/>
    <w:rsid w:val="00D0234A"/>
    <w:rsid w:val="00D02C6B"/>
    <w:rsid w:val="00D06E0D"/>
    <w:rsid w:val="00D07892"/>
    <w:rsid w:val="00D07D4A"/>
    <w:rsid w:val="00D1337A"/>
    <w:rsid w:val="00D1424E"/>
    <w:rsid w:val="00D159A9"/>
    <w:rsid w:val="00D16EE5"/>
    <w:rsid w:val="00D177C1"/>
    <w:rsid w:val="00D20250"/>
    <w:rsid w:val="00D2070D"/>
    <w:rsid w:val="00D20C52"/>
    <w:rsid w:val="00D219FF"/>
    <w:rsid w:val="00D224AD"/>
    <w:rsid w:val="00D22590"/>
    <w:rsid w:val="00D26FA5"/>
    <w:rsid w:val="00D270F7"/>
    <w:rsid w:val="00D30753"/>
    <w:rsid w:val="00D30D0D"/>
    <w:rsid w:val="00D31BD0"/>
    <w:rsid w:val="00D33099"/>
    <w:rsid w:val="00D348D7"/>
    <w:rsid w:val="00D34CFF"/>
    <w:rsid w:val="00D36B20"/>
    <w:rsid w:val="00D36D2B"/>
    <w:rsid w:val="00D37B58"/>
    <w:rsid w:val="00D37CBA"/>
    <w:rsid w:val="00D40D33"/>
    <w:rsid w:val="00D4118F"/>
    <w:rsid w:val="00D43485"/>
    <w:rsid w:val="00D46C36"/>
    <w:rsid w:val="00D504E6"/>
    <w:rsid w:val="00D51144"/>
    <w:rsid w:val="00D5310C"/>
    <w:rsid w:val="00D539D2"/>
    <w:rsid w:val="00D53D51"/>
    <w:rsid w:val="00D55451"/>
    <w:rsid w:val="00D55B6C"/>
    <w:rsid w:val="00D5658F"/>
    <w:rsid w:val="00D56D1B"/>
    <w:rsid w:val="00D57B5B"/>
    <w:rsid w:val="00D60A85"/>
    <w:rsid w:val="00D60ADC"/>
    <w:rsid w:val="00D624B5"/>
    <w:rsid w:val="00D624DF"/>
    <w:rsid w:val="00D65497"/>
    <w:rsid w:val="00D66E35"/>
    <w:rsid w:val="00D670BB"/>
    <w:rsid w:val="00D706D8"/>
    <w:rsid w:val="00D7181D"/>
    <w:rsid w:val="00D72F5A"/>
    <w:rsid w:val="00D7495B"/>
    <w:rsid w:val="00D75A48"/>
    <w:rsid w:val="00D75A63"/>
    <w:rsid w:val="00D77F4B"/>
    <w:rsid w:val="00D828DE"/>
    <w:rsid w:val="00D833D5"/>
    <w:rsid w:val="00D834A9"/>
    <w:rsid w:val="00D8538D"/>
    <w:rsid w:val="00D9162D"/>
    <w:rsid w:val="00D91D72"/>
    <w:rsid w:val="00D920C0"/>
    <w:rsid w:val="00D93906"/>
    <w:rsid w:val="00D9396D"/>
    <w:rsid w:val="00D94C31"/>
    <w:rsid w:val="00DA0A2C"/>
    <w:rsid w:val="00DA1CDE"/>
    <w:rsid w:val="00DA24B0"/>
    <w:rsid w:val="00DA2D82"/>
    <w:rsid w:val="00DA2F0D"/>
    <w:rsid w:val="00DA5B7F"/>
    <w:rsid w:val="00DA60E1"/>
    <w:rsid w:val="00DA7405"/>
    <w:rsid w:val="00DA77EF"/>
    <w:rsid w:val="00DA7C10"/>
    <w:rsid w:val="00DA7E5E"/>
    <w:rsid w:val="00DB16EF"/>
    <w:rsid w:val="00DB1DB6"/>
    <w:rsid w:val="00DB471C"/>
    <w:rsid w:val="00DB5321"/>
    <w:rsid w:val="00DB7459"/>
    <w:rsid w:val="00DC173F"/>
    <w:rsid w:val="00DC190C"/>
    <w:rsid w:val="00DC28E0"/>
    <w:rsid w:val="00DC2D4A"/>
    <w:rsid w:val="00DC2E92"/>
    <w:rsid w:val="00DC5237"/>
    <w:rsid w:val="00DC6842"/>
    <w:rsid w:val="00DD097B"/>
    <w:rsid w:val="00DD09FC"/>
    <w:rsid w:val="00DD293B"/>
    <w:rsid w:val="00DD2AC4"/>
    <w:rsid w:val="00DD3D06"/>
    <w:rsid w:val="00DD5706"/>
    <w:rsid w:val="00DD6175"/>
    <w:rsid w:val="00DD61CD"/>
    <w:rsid w:val="00DD6AD0"/>
    <w:rsid w:val="00DD6C19"/>
    <w:rsid w:val="00DD7637"/>
    <w:rsid w:val="00DE0A9C"/>
    <w:rsid w:val="00DE1546"/>
    <w:rsid w:val="00DE4F41"/>
    <w:rsid w:val="00DE64DE"/>
    <w:rsid w:val="00DE6A20"/>
    <w:rsid w:val="00DE7FF6"/>
    <w:rsid w:val="00DF1579"/>
    <w:rsid w:val="00DF15C8"/>
    <w:rsid w:val="00DF2E92"/>
    <w:rsid w:val="00DF3C9A"/>
    <w:rsid w:val="00DF4003"/>
    <w:rsid w:val="00DF4818"/>
    <w:rsid w:val="00DF55A9"/>
    <w:rsid w:val="00E01CC6"/>
    <w:rsid w:val="00E05B24"/>
    <w:rsid w:val="00E10D0C"/>
    <w:rsid w:val="00E11980"/>
    <w:rsid w:val="00E122B2"/>
    <w:rsid w:val="00E12841"/>
    <w:rsid w:val="00E14294"/>
    <w:rsid w:val="00E14A62"/>
    <w:rsid w:val="00E17BB8"/>
    <w:rsid w:val="00E204CD"/>
    <w:rsid w:val="00E213BA"/>
    <w:rsid w:val="00E236D7"/>
    <w:rsid w:val="00E25750"/>
    <w:rsid w:val="00E3073B"/>
    <w:rsid w:val="00E30886"/>
    <w:rsid w:val="00E3096A"/>
    <w:rsid w:val="00E34188"/>
    <w:rsid w:val="00E350A6"/>
    <w:rsid w:val="00E364C7"/>
    <w:rsid w:val="00E43B85"/>
    <w:rsid w:val="00E458ED"/>
    <w:rsid w:val="00E45BEE"/>
    <w:rsid w:val="00E46B72"/>
    <w:rsid w:val="00E47E20"/>
    <w:rsid w:val="00E541CE"/>
    <w:rsid w:val="00E54727"/>
    <w:rsid w:val="00E54CF1"/>
    <w:rsid w:val="00E54FA9"/>
    <w:rsid w:val="00E554E7"/>
    <w:rsid w:val="00E56A01"/>
    <w:rsid w:val="00E56DDF"/>
    <w:rsid w:val="00E57673"/>
    <w:rsid w:val="00E6172B"/>
    <w:rsid w:val="00E633FD"/>
    <w:rsid w:val="00E6485C"/>
    <w:rsid w:val="00E6655E"/>
    <w:rsid w:val="00E722E5"/>
    <w:rsid w:val="00E72837"/>
    <w:rsid w:val="00E73605"/>
    <w:rsid w:val="00E739E3"/>
    <w:rsid w:val="00E8106D"/>
    <w:rsid w:val="00E82C25"/>
    <w:rsid w:val="00E82C9E"/>
    <w:rsid w:val="00E83321"/>
    <w:rsid w:val="00E8429E"/>
    <w:rsid w:val="00E87533"/>
    <w:rsid w:val="00E87AF1"/>
    <w:rsid w:val="00E91A98"/>
    <w:rsid w:val="00E93225"/>
    <w:rsid w:val="00E9378D"/>
    <w:rsid w:val="00E95BC9"/>
    <w:rsid w:val="00E95F12"/>
    <w:rsid w:val="00EA1020"/>
    <w:rsid w:val="00EA31C4"/>
    <w:rsid w:val="00EA388A"/>
    <w:rsid w:val="00EA5EBD"/>
    <w:rsid w:val="00EA5FCE"/>
    <w:rsid w:val="00EA7F9D"/>
    <w:rsid w:val="00EB18F1"/>
    <w:rsid w:val="00EB4026"/>
    <w:rsid w:val="00EB4112"/>
    <w:rsid w:val="00EB5CD3"/>
    <w:rsid w:val="00EB605C"/>
    <w:rsid w:val="00EB6770"/>
    <w:rsid w:val="00EB7261"/>
    <w:rsid w:val="00EC0010"/>
    <w:rsid w:val="00EC056A"/>
    <w:rsid w:val="00EC2B58"/>
    <w:rsid w:val="00EC2B7E"/>
    <w:rsid w:val="00EC3271"/>
    <w:rsid w:val="00EC39B9"/>
    <w:rsid w:val="00EC5DFD"/>
    <w:rsid w:val="00EC7364"/>
    <w:rsid w:val="00EC768D"/>
    <w:rsid w:val="00EC7B6C"/>
    <w:rsid w:val="00ED3443"/>
    <w:rsid w:val="00ED45CD"/>
    <w:rsid w:val="00ED5320"/>
    <w:rsid w:val="00ED5F38"/>
    <w:rsid w:val="00ED6A42"/>
    <w:rsid w:val="00EE0D27"/>
    <w:rsid w:val="00EE158E"/>
    <w:rsid w:val="00EE216A"/>
    <w:rsid w:val="00EE232E"/>
    <w:rsid w:val="00EE30A4"/>
    <w:rsid w:val="00EE4B17"/>
    <w:rsid w:val="00EE539F"/>
    <w:rsid w:val="00EE6988"/>
    <w:rsid w:val="00EE75EF"/>
    <w:rsid w:val="00EF246C"/>
    <w:rsid w:val="00EF2848"/>
    <w:rsid w:val="00EF4605"/>
    <w:rsid w:val="00EF4E4C"/>
    <w:rsid w:val="00F001AE"/>
    <w:rsid w:val="00F019CA"/>
    <w:rsid w:val="00F0287C"/>
    <w:rsid w:val="00F028F8"/>
    <w:rsid w:val="00F02953"/>
    <w:rsid w:val="00F030FE"/>
    <w:rsid w:val="00F0459C"/>
    <w:rsid w:val="00F055DE"/>
    <w:rsid w:val="00F05B4E"/>
    <w:rsid w:val="00F0792D"/>
    <w:rsid w:val="00F0795E"/>
    <w:rsid w:val="00F11C93"/>
    <w:rsid w:val="00F13869"/>
    <w:rsid w:val="00F14D4A"/>
    <w:rsid w:val="00F1687D"/>
    <w:rsid w:val="00F17C30"/>
    <w:rsid w:val="00F20172"/>
    <w:rsid w:val="00F20DBA"/>
    <w:rsid w:val="00F210A8"/>
    <w:rsid w:val="00F2123C"/>
    <w:rsid w:val="00F21F39"/>
    <w:rsid w:val="00F22EEC"/>
    <w:rsid w:val="00F23274"/>
    <w:rsid w:val="00F2400C"/>
    <w:rsid w:val="00F245C0"/>
    <w:rsid w:val="00F24EB1"/>
    <w:rsid w:val="00F252EC"/>
    <w:rsid w:val="00F2567A"/>
    <w:rsid w:val="00F25EFB"/>
    <w:rsid w:val="00F30230"/>
    <w:rsid w:val="00F31520"/>
    <w:rsid w:val="00F32368"/>
    <w:rsid w:val="00F34934"/>
    <w:rsid w:val="00F35259"/>
    <w:rsid w:val="00F362D8"/>
    <w:rsid w:val="00F36DC6"/>
    <w:rsid w:val="00F36FF3"/>
    <w:rsid w:val="00F3762F"/>
    <w:rsid w:val="00F37711"/>
    <w:rsid w:val="00F41639"/>
    <w:rsid w:val="00F41B05"/>
    <w:rsid w:val="00F422B7"/>
    <w:rsid w:val="00F42366"/>
    <w:rsid w:val="00F42EDF"/>
    <w:rsid w:val="00F4378C"/>
    <w:rsid w:val="00F43BED"/>
    <w:rsid w:val="00F43DC6"/>
    <w:rsid w:val="00F4446C"/>
    <w:rsid w:val="00F46D0F"/>
    <w:rsid w:val="00F47279"/>
    <w:rsid w:val="00F51A47"/>
    <w:rsid w:val="00F5393C"/>
    <w:rsid w:val="00F5427C"/>
    <w:rsid w:val="00F54BF2"/>
    <w:rsid w:val="00F5599D"/>
    <w:rsid w:val="00F56947"/>
    <w:rsid w:val="00F56E5A"/>
    <w:rsid w:val="00F570F0"/>
    <w:rsid w:val="00F57BCC"/>
    <w:rsid w:val="00F60753"/>
    <w:rsid w:val="00F622DC"/>
    <w:rsid w:val="00F62D0B"/>
    <w:rsid w:val="00F63A53"/>
    <w:rsid w:val="00F63CDD"/>
    <w:rsid w:val="00F66CD1"/>
    <w:rsid w:val="00F66FF5"/>
    <w:rsid w:val="00F70932"/>
    <w:rsid w:val="00F7099F"/>
    <w:rsid w:val="00F7179D"/>
    <w:rsid w:val="00F71940"/>
    <w:rsid w:val="00F71AD3"/>
    <w:rsid w:val="00F74AC8"/>
    <w:rsid w:val="00F7584E"/>
    <w:rsid w:val="00F80E54"/>
    <w:rsid w:val="00F82666"/>
    <w:rsid w:val="00F8361E"/>
    <w:rsid w:val="00F839BE"/>
    <w:rsid w:val="00F852BB"/>
    <w:rsid w:val="00F862BE"/>
    <w:rsid w:val="00F8694A"/>
    <w:rsid w:val="00F86C94"/>
    <w:rsid w:val="00F86CDC"/>
    <w:rsid w:val="00F87177"/>
    <w:rsid w:val="00F900BF"/>
    <w:rsid w:val="00F91069"/>
    <w:rsid w:val="00F94AED"/>
    <w:rsid w:val="00F966BE"/>
    <w:rsid w:val="00F97784"/>
    <w:rsid w:val="00FA0FFF"/>
    <w:rsid w:val="00FA2192"/>
    <w:rsid w:val="00FA3C6F"/>
    <w:rsid w:val="00FA455B"/>
    <w:rsid w:val="00FA5145"/>
    <w:rsid w:val="00FA69C4"/>
    <w:rsid w:val="00FA6A2A"/>
    <w:rsid w:val="00FA7E88"/>
    <w:rsid w:val="00FB000A"/>
    <w:rsid w:val="00FB0D62"/>
    <w:rsid w:val="00FB0DBE"/>
    <w:rsid w:val="00FB1172"/>
    <w:rsid w:val="00FB244C"/>
    <w:rsid w:val="00FB4CF8"/>
    <w:rsid w:val="00FB7CEA"/>
    <w:rsid w:val="00FC0143"/>
    <w:rsid w:val="00FC0F00"/>
    <w:rsid w:val="00FC280C"/>
    <w:rsid w:val="00FC7E72"/>
    <w:rsid w:val="00FD030E"/>
    <w:rsid w:val="00FD036E"/>
    <w:rsid w:val="00FD586B"/>
    <w:rsid w:val="00FD64FC"/>
    <w:rsid w:val="00FD70AB"/>
    <w:rsid w:val="00FD74BC"/>
    <w:rsid w:val="00FD7B30"/>
    <w:rsid w:val="00FD7DBC"/>
    <w:rsid w:val="00FE00BB"/>
    <w:rsid w:val="00FE0E91"/>
    <w:rsid w:val="00FE1A3B"/>
    <w:rsid w:val="00FE3E47"/>
    <w:rsid w:val="00FE3FA3"/>
    <w:rsid w:val="00FE6956"/>
    <w:rsid w:val="00FE7D7D"/>
    <w:rsid w:val="00FF09B4"/>
    <w:rsid w:val="00FF16AD"/>
    <w:rsid w:val="00FF1FDD"/>
    <w:rsid w:val="00FF20BB"/>
    <w:rsid w:val="00FF3BC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87B5D6"/>
  <w15:docId w15:val="{ADA1BCB0-7A56-4676-ABC3-1A48B4D48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ajorBidi" w:eastAsiaTheme="minorHAnsi" w:hAnsiTheme="majorBidi" w:cstheme="majorBidi"/>
        <w:kern w:val="2"/>
        <w:sz w:val="24"/>
        <w:szCs w:val="24"/>
        <w:lang w:val="en-GB" w:eastAsia="en-US" w:bidi="ar-SA"/>
        <w14:ligatures w14:val="standardContextual"/>
      </w:rPr>
    </w:rPrDefault>
    <w:pPrDefault>
      <w:pPr>
        <w:spacing w:line="48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57FC"/>
    <w:rPr>
      <w:kern w:val="0"/>
    </w:rPr>
  </w:style>
  <w:style w:type="paragraph" w:styleId="Heading1">
    <w:name w:val="heading 1"/>
    <w:basedOn w:val="Normal"/>
    <w:next w:val="Normal"/>
    <w:link w:val="Heading1Char"/>
    <w:uiPriority w:val="9"/>
    <w:qFormat/>
    <w:rsid w:val="00FF1FDD"/>
    <w:pPr>
      <w:keepNext/>
      <w:keepLines/>
      <w:spacing w:before="240"/>
      <w:outlineLvl w:val="0"/>
    </w:pPr>
    <w:rPr>
      <w:rFonts w:asciiTheme="majorHAnsi" w:eastAsiaTheme="majorEastAsia" w:hAnsiTheme="majorHAnsi"/>
      <w:color w:val="2F5496" w:themeColor="accent1" w:themeShade="BF"/>
      <w:sz w:val="32"/>
      <w:szCs w:val="32"/>
    </w:rPr>
  </w:style>
  <w:style w:type="paragraph" w:styleId="Heading2">
    <w:name w:val="heading 2"/>
    <w:basedOn w:val="Normal"/>
    <w:next w:val="Normal"/>
    <w:link w:val="Heading2Char"/>
    <w:uiPriority w:val="9"/>
    <w:unhideWhenUsed/>
    <w:qFormat/>
    <w:rsid w:val="00FF1FDD"/>
    <w:pPr>
      <w:keepNext/>
      <w:keepLines/>
      <w:spacing w:before="40"/>
      <w:outlineLvl w:val="1"/>
    </w:pPr>
    <w:rPr>
      <w:rFonts w:asciiTheme="majorHAnsi" w:eastAsiaTheme="majorEastAsia" w:hAnsiTheme="majorHAnsi"/>
      <w:color w:val="2F5496" w:themeColor="accent1" w:themeShade="BF"/>
      <w:sz w:val="26"/>
      <w:szCs w:val="26"/>
    </w:rPr>
  </w:style>
  <w:style w:type="paragraph" w:styleId="Heading3">
    <w:name w:val="heading 3"/>
    <w:basedOn w:val="Normal"/>
    <w:next w:val="Normal"/>
    <w:link w:val="Heading3Char"/>
    <w:uiPriority w:val="9"/>
    <w:unhideWhenUsed/>
    <w:qFormat/>
    <w:rsid w:val="00244FB6"/>
    <w:pPr>
      <w:keepNext/>
      <w:keepLines/>
      <w:spacing w:before="40"/>
      <w:ind w:firstLine="709"/>
      <w:outlineLvl w:val="2"/>
    </w:pPr>
    <w:rPr>
      <w:rFonts w:asciiTheme="majorHAnsi" w:eastAsiaTheme="majorEastAsia" w:hAnsiTheme="majorHAns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B64A3"/>
    <w:pPr>
      <w:spacing w:line="240" w:lineRule="auto"/>
    </w:pPr>
    <w:rPr>
      <w:sz w:val="20"/>
      <w:szCs w:val="20"/>
    </w:rPr>
  </w:style>
  <w:style w:type="character" w:customStyle="1" w:styleId="FootnoteTextChar">
    <w:name w:val="Footnote Text Char"/>
    <w:basedOn w:val="DefaultParagraphFont"/>
    <w:link w:val="FootnoteText"/>
    <w:uiPriority w:val="99"/>
    <w:rsid w:val="008B64A3"/>
    <w:rPr>
      <w:kern w:val="0"/>
      <w:sz w:val="20"/>
      <w:szCs w:val="20"/>
    </w:rPr>
  </w:style>
  <w:style w:type="character" w:styleId="FootnoteReference">
    <w:name w:val="footnote reference"/>
    <w:basedOn w:val="DefaultParagraphFont"/>
    <w:uiPriority w:val="99"/>
    <w:semiHidden/>
    <w:unhideWhenUsed/>
    <w:rsid w:val="008B64A3"/>
    <w:rPr>
      <w:vertAlign w:val="superscript"/>
    </w:rPr>
  </w:style>
  <w:style w:type="paragraph" w:styleId="ListParagraph">
    <w:name w:val="List Paragraph"/>
    <w:basedOn w:val="Normal"/>
    <w:uiPriority w:val="34"/>
    <w:qFormat/>
    <w:rsid w:val="008B64A3"/>
    <w:pPr>
      <w:ind w:left="720"/>
      <w:contextualSpacing/>
    </w:pPr>
  </w:style>
  <w:style w:type="character" w:customStyle="1" w:styleId="cf01">
    <w:name w:val="cf01"/>
    <w:basedOn w:val="DefaultParagraphFont"/>
    <w:rsid w:val="008B64A3"/>
    <w:rPr>
      <w:rFonts w:ascii="Segoe UI" w:hAnsi="Segoe UI" w:cs="Segoe UI" w:hint="default"/>
      <w:sz w:val="18"/>
      <w:szCs w:val="18"/>
    </w:rPr>
  </w:style>
  <w:style w:type="paragraph" w:styleId="Header">
    <w:name w:val="header"/>
    <w:basedOn w:val="Normal"/>
    <w:link w:val="HeaderChar"/>
    <w:uiPriority w:val="99"/>
    <w:unhideWhenUsed/>
    <w:rsid w:val="008B64A3"/>
    <w:pPr>
      <w:tabs>
        <w:tab w:val="center" w:pos="4513"/>
        <w:tab w:val="right" w:pos="9026"/>
      </w:tabs>
      <w:spacing w:line="240" w:lineRule="auto"/>
    </w:pPr>
  </w:style>
  <w:style w:type="character" w:customStyle="1" w:styleId="HeaderChar">
    <w:name w:val="Header Char"/>
    <w:basedOn w:val="DefaultParagraphFont"/>
    <w:link w:val="Header"/>
    <w:uiPriority w:val="99"/>
    <w:rsid w:val="008B64A3"/>
    <w:rPr>
      <w:kern w:val="0"/>
    </w:rPr>
  </w:style>
  <w:style w:type="paragraph" w:styleId="Footer">
    <w:name w:val="footer"/>
    <w:basedOn w:val="Normal"/>
    <w:link w:val="FooterChar"/>
    <w:uiPriority w:val="99"/>
    <w:unhideWhenUsed/>
    <w:rsid w:val="008B64A3"/>
    <w:pPr>
      <w:tabs>
        <w:tab w:val="center" w:pos="4513"/>
        <w:tab w:val="right" w:pos="9026"/>
      </w:tabs>
      <w:spacing w:line="240" w:lineRule="auto"/>
    </w:pPr>
  </w:style>
  <w:style w:type="character" w:customStyle="1" w:styleId="FooterChar">
    <w:name w:val="Footer Char"/>
    <w:basedOn w:val="DefaultParagraphFont"/>
    <w:link w:val="Footer"/>
    <w:uiPriority w:val="99"/>
    <w:rsid w:val="008B64A3"/>
    <w:rPr>
      <w:kern w:val="0"/>
    </w:rPr>
  </w:style>
  <w:style w:type="character" w:styleId="PlaceholderText">
    <w:name w:val="Placeholder Text"/>
    <w:basedOn w:val="DefaultParagraphFont"/>
    <w:uiPriority w:val="99"/>
    <w:semiHidden/>
    <w:rsid w:val="008B64A3"/>
    <w:rPr>
      <w:color w:val="808080"/>
    </w:rPr>
  </w:style>
  <w:style w:type="character" w:styleId="Hyperlink">
    <w:name w:val="Hyperlink"/>
    <w:basedOn w:val="DefaultParagraphFont"/>
    <w:uiPriority w:val="99"/>
    <w:unhideWhenUsed/>
    <w:rsid w:val="008B64A3"/>
    <w:rPr>
      <w:color w:val="0563C1" w:themeColor="hyperlink"/>
      <w:u w:val="single"/>
    </w:rPr>
  </w:style>
  <w:style w:type="character" w:styleId="UnresolvedMention">
    <w:name w:val="Unresolved Mention"/>
    <w:basedOn w:val="DefaultParagraphFont"/>
    <w:uiPriority w:val="99"/>
    <w:semiHidden/>
    <w:unhideWhenUsed/>
    <w:rsid w:val="008B64A3"/>
    <w:rPr>
      <w:color w:val="605E5C"/>
      <w:shd w:val="clear" w:color="auto" w:fill="E1DFDD"/>
    </w:rPr>
  </w:style>
  <w:style w:type="paragraph" w:styleId="ListBullet">
    <w:name w:val="List Bullet"/>
    <w:basedOn w:val="Normal"/>
    <w:uiPriority w:val="99"/>
    <w:unhideWhenUsed/>
    <w:rsid w:val="008B64A3"/>
    <w:pPr>
      <w:numPr>
        <w:numId w:val="2"/>
      </w:numPr>
      <w:contextualSpacing/>
    </w:pPr>
  </w:style>
  <w:style w:type="character" w:customStyle="1" w:styleId="Heading3Char">
    <w:name w:val="Heading 3 Char"/>
    <w:basedOn w:val="DefaultParagraphFont"/>
    <w:link w:val="Heading3"/>
    <w:uiPriority w:val="9"/>
    <w:rsid w:val="00244FB6"/>
    <w:rPr>
      <w:rFonts w:asciiTheme="majorHAnsi" w:eastAsiaTheme="majorEastAsia" w:hAnsiTheme="majorHAnsi"/>
      <w:color w:val="1F3763" w:themeColor="accent1" w:themeShade="7F"/>
      <w:kern w:val="0"/>
    </w:rPr>
  </w:style>
  <w:style w:type="table" w:styleId="TableGrid">
    <w:name w:val="Table Grid"/>
    <w:basedOn w:val="TableNormal"/>
    <w:uiPriority w:val="39"/>
    <w:rsid w:val="00244FB6"/>
    <w:pPr>
      <w:spacing w:line="240" w:lineRule="auto"/>
      <w:ind w:firstLine="709"/>
    </w:pPr>
    <w:rPr>
      <w:rFonts w:cstheme="minorHAnsi"/>
      <w:kern w:val="0"/>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44FB6"/>
    <w:pPr>
      <w:spacing w:before="100" w:beforeAutospacing="1" w:after="100" w:afterAutospacing="1" w:line="240" w:lineRule="auto"/>
      <w:ind w:firstLine="0"/>
      <w:jc w:val="left"/>
    </w:pPr>
    <w:rPr>
      <w:rFonts w:ascii="Times New Roman" w:eastAsia="Times New Roman" w:hAnsi="Times New Roman" w:cs="Times New Roman"/>
      <w:lang w:eastAsia="en-GB"/>
    </w:rPr>
  </w:style>
  <w:style w:type="paragraph" w:customStyle="1" w:styleId="pf0">
    <w:name w:val="pf0"/>
    <w:basedOn w:val="Normal"/>
    <w:rsid w:val="00244FB6"/>
    <w:pPr>
      <w:spacing w:before="100" w:beforeAutospacing="1" w:after="100" w:afterAutospacing="1" w:line="240" w:lineRule="auto"/>
      <w:ind w:firstLine="0"/>
      <w:jc w:val="left"/>
    </w:pPr>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244FB6"/>
    <w:rPr>
      <w:sz w:val="16"/>
      <w:szCs w:val="16"/>
    </w:rPr>
  </w:style>
  <w:style w:type="paragraph" w:styleId="CommentText">
    <w:name w:val="annotation text"/>
    <w:basedOn w:val="Normal"/>
    <w:link w:val="CommentTextChar"/>
    <w:uiPriority w:val="99"/>
    <w:unhideWhenUsed/>
    <w:rsid w:val="00244FB6"/>
    <w:pPr>
      <w:spacing w:line="240" w:lineRule="auto"/>
      <w:ind w:firstLine="0"/>
    </w:pPr>
    <w:rPr>
      <w:sz w:val="20"/>
      <w:szCs w:val="20"/>
    </w:rPr>
  </w:style>
  <w:style w:type="character" w:customStyle="1" w:styleId="CommentTextChar">
    <w:name w:val="Comment Text Char"/>
    <w:basedOn w:val="DefaultParagraphFont"/>
    <w:link w:val="CommentText"/>
    <w:uiPriority w:val="99"/>
    <w:rsid w:val="00244FB6"/>
    <w:rPr>
      <w:kern w:val="0"/>
      <w:sz w:val="20"/>
      <w:szCs w:val="20"/>
    </w:rPr>
  </w:style>
  <w:style w:type="character" w:customStyle="1" w:styleId="Heading1Char">
    <w:name w:val="Heading 1 Char"/>
    <w:basedOn w:val="DefaultParagraphFont"/>
    <w:link w:val="Heading1"/>
    <w:uiPriority w:val="9"/>
    <w:rsid w:val="00FF1FDD"/>
    <w:rPr>
      <w:rFonts w:asciiTheme="majorHAnsi" w:eastAsiaTheme="majorEastAsia" w:hAnsiTheme="majorHAnsi"/>
      <w:color w:val="2F5496" w:themeColor="accent1" w:themeShade="BF"/>
      <w:kern w:val="0"/>
      <w:sz w:val="32"/>
      <w:szCs w:val="32"/>
    </w:rPr>
  </w:style>
  <w:style w:type="character" w:customStyle="1" w:styleId="Heading2Char">
    <w:name w:val="Heading 2 Char"/>
    <w:basedOn w:val="DefaultParagraphFont"/>
    <w:link w:val="Heading2"/>
    <w:uiPriority w:val="9"/>
    <w:rsid w:val="00FF1FDD"/>
    <w:rPr>
      <w:rFonts w:asciiTheme="majorHAnsi" w:eastAsiaTheme="majorEastAsia" w:hAnsiTheme="majorHAnsi"/>
      <w:color w:val="2F5496" w:themeColor="accent1" w:themeShade="BF"/>
      <w:kern w:val="0"/>
      <w:sz w:val="26"/>
      <w:szCs w:val="26"/>
    </w:rPr>
  </w:style>
  <w:style w:type="paragraph" w:styleId="TOCHeading">
    <w:name w:val="TOC Heading"/>
    <w:basedOn w:val="Heading1"/>
    <w:next w:val="Normal"/>
    <w:uiPriority w:val="39"/>
    <w:unhideWhenUsed/>
    <w:qFormat/>
    <w:rsid w:val="00093432"/>
    <w:pPr>
      <w:spacing w:line="259" w:lineRule="auto"/>
      <w:ind w:firstLine="0"/>
      <w:jc w:val="left"/>
      <w:outlineLvl w:val="9"/>
    </w:pPr>
    <w:rPr>
      <w:lang w:val="en-US"/>
    </w:rPr>
  </w:style>
  <w:style w:type="paragraph" w:styleId="TOC1">
    <w:name w:val="toc 1"/>
    <w:basedOn w:val="Normal"/>
    <w:next w:val="Normal"/>
    <w:autoRedefine/>
    <w:uiPriority w:val="39"/>
    <w:unhideWhenUsed/>
    <w:rsid w:val="00093432"/>
    <w:pPr>
      <w:spacing w:after="100"/>
    </w:pPr>
  </w:style>
  <w:style w:type="paragraph" w:styleId="TOC3">
    <w:name w:val="toc 3"/>
    <w:basedOn w:val="Normal"/>
    <w:next w:val="Normal"/>
    <w:autoRedefine/>
    <w:uiPriority w:val="39"/>
    <w:unhideWhenUsed/>
    <w:rsid w:val="00093432"/>
    <w:pPr>
      <w:spacing w:after="100"/>
      <w:ind w:left="480"/>
    </w:pPr>
  </w:style>
  <w:style w:type="paragraph" w:styleId="TOC2">
    <w:name w:val="toc 2"/>
    <w:basedOn w:val="Normal"/>
    <w:next w:val="Normal"/>
    <w:autoRedefine/>
    <w:uiPriority w:val="39"/>
    <w:unhideWhenUsed/>
    <w:rsid w:val="00093432"/>
    <w:pPr>
      <w:tabs>
        <w:tab w:val="right" w:leader="dot" w:pos="9016"/>
      </w:tabs>
      <w:spacing w:after="100"/>
      <w:ind w:firstLine="567"/>
    </w:pPr>
    <w:rPr>
      <w:noProof/>
      <w:sz w:val="20"/>
      <w:szCs w:val="20"/>
    </w:rPr>
  </w:style>
  <w:style w:type="character" w:styleId="Strong">
    <w:name w:val="Strong"/>
    <w:basedOn w:val="DefaultParagraphFont"/>
    <w:uiPriority w:val="22"/>
    <w:qFormat/>
    <w:rsid w:val="00FD030E"/>
    <w:rPr>
      <w:b/>
      <w:bCs/>
    </w:rPr>
  </w:style>
  <w:style w:type="character" w:styleId="Emphasis">
    <w:name w:val="Emphasis"/>
    <w:basedOn w:val="DefaultParagraphFont"/>
    <w:uiPriority w:val="20"/>
    <w:qFormat/>
    <w:rsid w:val="00FD030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4759457">
      <w:bodyDiv w:val="1"/>
      <w:marLeft w:val="0"/>
      <w:marRight w:val="0"/>
      <w:marTop w:val="0"/>
      <w:marBottom w:val="0"/>
      <w:divBdr>
        <w:top w:val="none" w:sz="0" w:space="0" w:color="auto"/>
        <w:left w:val="none" w:sz="0" w:space="0" w:color="auto"/>
        <w:bottom w:val="none" w:sz="0" w:space="0" w:color="auto"/>
        <w:right w:val="none" w:sz="0" w:space="0" w:color="auto"/>
      </w:divBdr>
    </w:div>
    <w:div w:id="17970638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s://ptolemaeus.badw.de/ms/608?mark=%28%3Fis%29%28magdalene%5C%20college%2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algloss.de.dariah.eu/?lemma=intentio&amp;var=la&amp;nav=i"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s://ilanot.org/detail?id=https://ilanot.org/resource/item/manuscript3r0g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dx.doi.org/10.1163/1573-3912_islam_COM_0206" TargetMode="External"/><Relationship Id="rId35" Type="http://schemas.openxmlformats.org/officeDocument/2006/relationships/theme" Target="theme/theme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algloss.de.dariah.eu/?lemma=intentio&amp;var=la&amp;nav=i" TargetMode="External"/><Relationship Id="rId2" Type="http://schemas.openxmlformats.org/officeDocument/2006/relationships/hyperlink" Target="https://algloss.de.dariah.eu/?lemma=intentio&amp;var=la&amp;nav=i" TargetMode="External"/><Relationship Id="rId1" Type="http://schemas.openxmlformats.org/officeDocument/2006/relationships/hyperlink" Target="https://www.treccani.it/enciclopedia/gherardo-da-cremona_%28Dizionario-Biografico%29/" TargetMode="External"/><Relationship Id="rId5" Type="http://schemas.openxmlformats.org/officeDocument/2006/relationships/hyperlink" Target="https://ptolemaeus.badw.de/ms/608?mark=%28%3Fis%29%28magdalene%5C%20college%29" TargetMode="External"/><Relationship Id="rId4" Type="http://schemas.openxmlformats.org/officeDocument/2006/relationships/hyperlink" Target="http://dx.doi.org/10.1163/1573-3912_islam_COM_02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BFD502-6324-4EAA-A5EF-C01EDA62BB84}">
  <ds:schemaRefs>
    <ds:schemaRef ds:uri="http://schemas.openxmlformats.org/officeDocument/2006/bibliography"/>
  </ds:schemaRefs>
</ds:datastoreItem>
</file>

<file path=docMetadata/LabelInfo.xml><?xml version="1.0" encoding="utf-8"?>
<clbl:labelList xmlns:clbl="http://schemas.microsoft.com/office/2020/mipLabelMetadata">
  <clbl:label id="{78a249c6-2aae-4ca7-a679-0abab9361116}" enabled="1" method="Privileged" siteId="{185280ba-7a00-42ea-9408-19eafd13552e}" removed="0"/>
</clbl:labelList>
</file>

<file path=docProps/app.xml><?xml version="1.0" encoding="utf-8"?>
<Properties xmlns="http://schemas.openxmlformats.org/officeDocument/2006/extended-properties" xmlns:vt="http://schemas.openxmlformats.org/officeDocument/2006/docPropsVTypes">
  <Template>Normal</Template>
  <TotalTime>0</TotalTime>
  <Pages>211</Pages>
  <Words>82984</Words>
  <Characters>473011</Characters>
  <Application>Microsoft Office Word</Application>
  <DocSecurity>0</DocSecurity>
  <Lines>3941</Lines>
  <Paragraphs>1109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arianna dalla costa</dc:creator>
  <cp:keywords/>
  <dc:description/>
  <cp:lastModifiedBy>Arianna Dalla Costa</cp:lastModifiedBy>
  <cp:revision>152</cp:revision>
  <cp:lastPrinted>2024-01-04T11:10:00Z</cp:lastPrinted>
  <dcterms:created xsi:type="dcterms:W3CDTF">2023-10-26T16:13:00Z</dcterms:created>
  <dcterms:modified xsi:type="dcterms:W3CDTF">2024-11-04T14:10:00Z</dcterms:modified>
</cp:coreProperties>
</file>